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2026-08-13</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~4,811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(CMMC-compliant, no Graph API)</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worked around 2026-08-11, root cause still open. The macOS File Provider remounted the SpectrumSolutionsInc SharePoint library on 2026-08-10, leaving four mount points instead of two; the canonical one every RFP_PROJECT_ROOTS path targeted lost the UMCS and MRR libraries. Because discover_configured_projects skips a missing root silently, the live dashboard registry collapsed from 230 projects to 1 and was rewritten that way every poll — which stuck a real amendment on an active bid in needs_review behind a nonsense candidate, with the operator’s manual-merge path blocked too because the merge resolver reads the same degraded list. The operator repointed RFP_PROJECT_ROOTS at the fully-synced “SpectrumSolutionsInc 2” duplicate mount and discovery returned to 232 projects with no data lost, but the canonical mount is still collapsed on disk and the File-Provider cause is still unexplained, so a .env revert or a stalled duplicate mount reintroduces it. Two hardening candidates remain queued for review, not auto-application: log the silent missing-root skip, and refuse to let one bad poll overwrite a much larger prior project count. The structural answer is the nine-slice Graph Files API migration started 2026-08-11 (.plans/graph-migration/), which replaces the local OneDrive sync client with direct Graph reads/writes over a /delta-refreshed local cache mirror: slices 01–04 complete, 05–08 partial — their primitives are done and call sites are being converted incrementally (deliverable and ingestion write-through, dashboard serving, Graph-aware process_project() reads, and as of 2026-08-12 cyber_summary.py and cyber_spec_extractor.py) — all behind a fail-closed site+drive allow-list, If-Match on simple-PUT overwrites (the chunked path above the 10 MiB ceiling can only set conflictBehavior and is documented as advisory-safe rather than conflict-proof), and a crash-safe outbox. 2026-08-12/13 went entirely to correctness on that migration rather than new surface: a local _email_attachments overlay so pipeline-synthesized email attachments (including ZIP members) are not invisible to Graph-backed parsing, cross-tree name+size dedup deliberately removed there because silently dropping an attachment is worse than parsing a duplicate twice, graph_cache recovery from a delete-and-reupload at the same path with full ancestor healing, and a stale-snapshot race in resolve() closed. Separately, an unimplemented apply_force_drawing_matches call had been raising ImportError and silently failing every non-locked project’s run until it was found and removed. It stays inert until an operator lists a root in RFP_GRAPH_BACKEND_ROOTS (unset in the live .env) and restarts the services; slice 09 — rollout to UMCS V / MRR VII and deletion of the OneDrive-workaround code — is blocked on the pilot soak, and the 4th SharePoint site hosting RFP_STAGING_ROOT is still unresolved via Graph.</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