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2026-09-03</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5,488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Current state as of 2026-09-02: health is ok on every check including the index gate, the monitor payload reports 255 projects, root probing remains at zero configured by design, state integrity is three checked and zero invalid, the watcher heartbeat is current and not running stale code, and the plain-HTTP transport warning above is still the only non-clean signal. The pricing and artifact-consistency work described above remains uncommitted in the working tree, alongside the parked vision-QC filter.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