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2026-08-31.</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5,312 tests across 279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and 08-31 produced no code</w:t>
      </w:r>
      <w:r>
        <w:t xml:space="preserve"> — two commits, both SENTRY_IMPROVEMENTS.md recurrence logs, so e1d900d remains the newest code change.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Live state as of 2026-08-31: /healthz returns ok on every check including graph_indexes (nothing syncing or unreadable), monitor_payload reports </w:t>
      </w:r>
      <w:r>
        <w:rPr>
          <w:b/>
        </w:rPr>
        <w:t>253 projects</w:t>
      </w:r>
      <w:r>
        <w:t>, runtime is current on a ~37-hour-old watcher process still on e1d900d (both log-only commits left the source fingerprint untouched, so no re-exec), project_roots is 0 configured / 0 unavailable (the post-migration normal), and state_integrity is 3 checked / 0 invalid. 5,312 tests collected across 279 files — but only with account_store on PYTHONPATH, which is how this project binds that dependency; without it two auth test modules fail to import and the count reads 5,270. The delta over the pushed tree is the still-uncommitted pricing/artifact-consistency work (including a graph_cache.py change and its test), plus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