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2026-09-27</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local main, which carries the mold-risk classifier rules (a DEWPOINT role, a DEHUM rule and CURRENT classification) merged on 2026-09-26 but not yet pushed.</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7,909 (rfp-automation).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09-26/27 was log-only (seven SENTRY commits, no code): GRAPH-RECONCILE ticked to 130, and a second rename-husk data point was logged — NAVFAC Indian Island P620's GraphCache mirror still holds a full stale tree at the pre-rename path beside the live one, which no current reaper scans; not causing damage, nothing queued. Live state unchanged on 09-27.</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Next is pushing the mold-risk work — the Phases 6–8 design addendum and the Phase 6 humidity detector set were merged into local main on 2026-09-26 (31 commits ahead of origin/main, the polk-mold-risk branch and worktree removed) — and committing or discarding the large uncommitted working tree on the primary checkout's codex/project-improvements-20260905 branch.</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