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2026-08-14</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~4,856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(CMMC-compliant, no Graph API)</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worked around 2026-08-11, root cause still open. The macOS File Provider remounted the SpectrumSolutionsInc SharePoint library on 2026-08-10, leaving four mount points instead of two; the canonical one every RFP_PROJECT_ROOTS path targeted lost the UMCS and MRR libraries. Because discover_configured_projects skips a missing root silently, the live dashboard registry collapsed from 230 projects to 1 and was rewritten that way every poll — which stuck a real amendment on an active bid in needs_review behind a nonsense candidate, with the operator’s manual-merge path blocked too because the merge resolver reads the same degraded list. The operator repointed RFP_PROJECT_ROOTS at the fully-synced “SpectrumSolutionsInc 2” duplicate mount and discovery returned to 232 projects with no data lost, but the canonical mount is still collapsed on disk and the File-Provider cause is still unexplained, so a .env revert or a stalled duplicate mount reintroduces it. Two hardening candidates remain queued for review, not auto-application: log the silent missing-root skip, and refuse to let one bad poll overwrite a much larger prior project count. The structural answer is the nine-slice Graph Files API migration started 2026-08-11 (.plans/graph-migration/), which replaces the local OneDrive sync client with direct Graph reads/writes over a /delta-refreshed local cache mirror: slices 01–04 complete, 05–08 partial — their primitives are done and call sites are being converted incrementally (deliverable and ingestion write-through, dashboard serving, Graph-aware process_project() reads, and as of 2026-08-12 cyber_summary.py and cyber_spec_extractor.py) — all behind a fail-closed site+drive allow-list, If-Match on simple-PUT overwrites (the chunked path above the 10 MiB ceiling can only set conflictBehavior and is documented as advisory-safe rather than conflict-proof), and a crash-safe outbox. 2026-08-12/13 went entirely to correctness on that migration rather than new surface: a local _email_attachments overlay so pipeline-synthesized email attachments (including ZIP members) are not invisible to Graph-backed parsing, cross-tree name+size dedup deliberately removed there because silently dropping an attachment is worse than parsing a duplicate twice, graph_cache recovery from a delete-and-reupload at the same path with full ancestor healing, and a stale-snapshot race in resolve() closed. Separately, an unimplemented apply_force_drawing_matches call had been raising ImportError and silently failing every non-locked project’s run until it was found and removed. It stays inert until an operator lists a root in RFP_GRAPH_BACKEND_ROOTS (unset in the live .env) and restarts the services; slice 09 — rollout to UMCS V / MRR VII and deletion of the OneDrive-workaround code — is blocked on the pilot soak, and the 4th SharePoint site hosting RFP_STAGING_ROOT is still unresolved via Graph. On 2026-08-13 the incident’s most operator-visible fallout got a direct code fix: missing-docs tracking no longer keys a folder by its resolved absolute path — the mount-alias repoint rewrote every key, so acknowledged doc-less folders kept reappearing as fresh, unacknowledged cards — and is now keyed by library scope plus folder name, the two parts that survive a mount-alias drift, with legacy entries auto-migrated on the next reconciliation. The two hardening candidates above are still queued for review.</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