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Vorstandsvorlage Robotik-Krisenstab</w:t>
      </w:r>
    </w:p>
    <w:p>
      <w:pPr>
        <w:pStyle w:val="Heading1"/>
      </w:pPr>
      <w:r>
        <w:t>Ausgangslage</w:t>
      </w:r>
    </w:p>
    <w:p>
      <w:r>
        <w:rPr>
          <w:b/>
        </w:rPr>
        <w:t xml:space="preserve">Ausgangslage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Ausgangslage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Ausgangslage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Rechtliche Kernrisiken</w:t>
      </w:r>
    </w:p>
    <w:p>
      <w:r>
        <w:rPr>
          <w:b/>
        </w:rPr>
        <w:t xml:space="preserve">Rechtliche Kernrisiken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Rechtliche Kernrisiken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Rechtliche Kernrisiken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Sofortmaßnahmen</w:t>
      </w:r>
    </w:p>
    <w:p>
      <w:r>
        <w:rPr>
          <w:b/>
        </w:rPr>
        <w:t xml:space="preserve">Sofortmaßnahmen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Sofortmaßnahmen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Sofortmaßnahmen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Entscheidungspunkte</w:t>
      </w:r>
    </w:p>
    <w:p>
      <w:r>
        <w:rPr>
          <w:b/>
        </w:rPr>
        <w:t xml:space="preserve">Entscheidungspunkte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Entscheidungspunkte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Entscheidungspunkte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pPr>
        <w:pStyle w:val="Heading1"/>
      </w:pPr>
      <w:r>
        <w:t>Anlagen und Nachweise</w:t>
      </w:r>
    </w:p>
    <w:p>
      <w:r>
        <w:rPr>
          <w:b/>
        </w:rPr>
        <w:t xml:space="preserve">Anlagen und Nachweise 1: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Anlagen und Nachweise 2: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p>
      <w:r>
        <w:rPr>
          <w:b/>
        </w:rPr>
        <w:t xml:space="preserve">Anlagen und Nachweise 3: </w:t>
      </w:r>
      <w:r>
        <w:t>Die Entscheidung sollte erst nach Abgleich von Produktakte, Logdaten, Vertragslage und Behördenkommunikation getroffen werden. Besonders kritisch sind Zweckbestimmung, wesentliche Veränderung, Datenschutz-Folgenabschätzung, Cyber-Patch und Rückrufschwelle.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