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Akte Lichtenberg: Hilfsmittel, Krankengeld, PKV-Tarifwechsel und Beihilfechaos</w:t>
      </w:r>
    </w:p>
    <w:p>
      <w:r>
        <w:t>Mehrspurige Krankenversicherungsakte mit GKV, PKV, Beihilfe, Krankengeld und Sozialgerichtsfristen.</w:t>
      </w:r>
    </w:p>
    <w:p>
      <w:pPr>
        <w:pStyle w:val="Heading2"/>
      </w:pPr>
      <w:r>
        <w:t>Eine gesetzlich Versicherte erhält Ablehnung für einen Aktiv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Der Arbeitgeber meldet Ende der Entgeltfortzahlung, aber die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Ein pensionierter Lehrer streitet parallel mit PKV und Beihi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Ein Selbstständiger schuldet Beiträge und versteht nicht, we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Die Familie will die Kasse wechseln, übersieht aber Bindungs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Im Ausland wurde eine Notfallbehandlung bezahlt; die Erstatt</w:t>
      </w:r>
    </w:p>
    <w:p>
      <w:r>
        <w:t>Arbeitsvermerk: Unterlage, Rechtsfrage, Beweisrisiko und nächster Schritt trennen. Keine Fundstelle ohne Prüfung übernehmen.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