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Akte Rotorwerk: Maschinenleasing, Restwert und Insolvenzgerücht</w:t>
      </w:r>
    </w:p>
    <w:p>
      <w:r>
        <w:t>Leasingakte mit Dreiecksverhältnis, Mangel, Restwert, Refinanzierung und Insolvenzrisiko.</w:t>
      </w:r>
    </w:p>
    <w:p>
      <w:pPr>
        <w:pStyle w:val="Heading2"/>
      </w:pPr>
      <w:r>
        <w:t>Ein Maschinenbauer least zwölf CNC-Anlagen; drei stehen wege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Der Leasinggeber droht Kündigung wegen Zahlungsverzugs, obwo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Die Restwertgarantie ist hoch; der Marktpreis ist eingebroch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Ein Sale-and-lease-back wurde sechs Monate vor Krise abgesch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Die finanzierende Bank will Forderungen und Sicherheiten ver</w:t>
      </w:r>
    </w:p>
    <w:p>
      <w:r>
        <w:t>Arbeitsvermerk: Unterlage, Rechtsfrage, Beweisrisiko und nächster Schritt trennen. Keine Fundstelle ohne Prüfung übernehmen.</w:t>
      </w:r>
    </w:p>
    <w:p>
      <w:pPr>
        <w:pStyle w:val="Heading2"/>
      </w:pPr>
      <w:r>
        <w:t>Gerüchte über Insolvenzantrag machen Fortführung und Herausg</w:t>
      </w:r>
    </w:p>
    <w:p>
      <w:r>
        <w:t>Arbeitsvermerk: Unterlage, Rechtsfrage, Beweisrisiko und nächster Schritt trennen. Keine Fundstelle ohne Prüfung übernehmen.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