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Akte Waldwinkel: GmbH-Anteile, Hofgrundstück, Erbfolge und drei Registerrückfragen</w:t>
      </w:r>
    </w:p>
    <w:p>
      <w:r>
        <w:t>Notariatstag mit lauter kleinen Bruchstellen: Grundbuch, Register, Vollzug, Geldwäsche und Kosten müssen gleichzeitig sauber laufen.</w:t>
      </w:r>
    </w:p>
    <w:p>
      <w:pPr>
        <w:pStyle w:val="Heading2"/>
      </w:pPr>
      <w:r>
        <w:t>GmbH-Anteilsabtretung soll am selben Tag wie ein Grundstücks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Das Grundbuch zeigt in Abteilung II ein altes Wegerecht, das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Die Bank verlangt Auszahlung erst nach Rangbestätigung, währ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 Beteiligter spricht kaum Deutsch; unklar ist, ob Dolmets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Das Registergericht beanstandet die Gesellschafterliste nach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Die Geldwäscheprüfung hängt an einem Treuhandkonstrukt mit a</w:t>
      </w:r>
    </w:p>
    <w:p>
      <w:r>
        <w:t>Arbeitsvermerk: Unterlage, Rechtsfrage, Beweisrisiko und nächster Schritt trennen. Keine Fundstelle ohne Prüfung übernehmen.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