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Lilienfeld Verlag: Fachbuch, E-Book-Bundle, Remittenden und Preisbindungsabmahnung</w:t>
      </w:r>
    </w:p>
    <w:p>
      <w:r>
        <w:t>Verlagsakte zwischen Vertrag, Preisbindung, Vertrieb, Rechten und redaktionellem Alltag.</w:t>
      </w:r>
    </w:p>
    <w:p>
      <w:pPr>
        <w:pStyle w:val="Heading2"/>
      </w:pPr>
      <w:r>
        <w:t>Ein Fachverlag verkauft Printbuch, E-Book und Datenbankzugan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Der Autor verlangt Nachvergütung und Auskunft über Plattform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Händler bietet Mängelexemplare online zu früh und zu bil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Redaktion will ein Kapitel mit KI-Unterstützung aktualis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Eine Bibliothek fordert Campuslizenz und E-Lending-Rechte.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Eine Abmahnung behauptet Verstoß gegen die Buchpreisbindung.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