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Akte Nordlicht-Orbit: Satellitenschwarm, Küstenstartplatz und Absturzrisiko</w:t>
      </w:r>
    </w:p>
    <w:p>
      <w:r>
        <w:t>Die Akte verbindet Völkerrecht, Genehmigung, Frequenz, Haftung, Umwelt, Cybersecurity und Finanzierung.</w:t>
      </w:r>
    </w:p>
    <w:p>
      <w:pPr>
        <w:pStyle w:val="Heading2"/>
      </w:pPr>
      <w:r>
        <w:t>Ein deutsches Start-up plant 240 Kleinsatelliten für Erdbeob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 xml:space="preserve">Die Frequenzplanung kollidiert mit bestehenden Zuteilungen; 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Raketenstufen-Test soll über See niedergehen, aber ein F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ausländischer Launch Provider verlangt Haftungsfreistell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Die Investoren wollen wissen, ob Satellitenrechte, Datenströ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Prototyp verliert Telemetrie; es gibt einen Cyberverdach</w:t>
      </w:r>
    </w:p>
    <w:p>
      <w:r>
        <w:t>Arbeitsvermerk: Unterlage, Rechtsfrage, Beweisrisiko und nächster Schritt trennen. Keine Fundstelle ohne Prüfung übernehmen.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