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60" w:right="1440" w:bottom="1440" w:left="1440" w:header="720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E1" w:sz="4" w:space="6"/>
      </w:pBdr>
      <w:jc w:val="center"/>
    </w:pPr>
    <w:r>
      <w:rPr>
        <w:rFonts w:ascii="Arial" w:cs="Arial" w:eastAsia="Arial" w:hAnsi="Arial"/>
        <w:color w:val="727275"/>
        <w:sz w:val="16"/>
        <w:szCs w:val="16"/>
      </w:rPr>
      <w:t xml:space="preserve">kasarose.com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760"/>
      <w:gridCol w:w="5600"/>
    </w:tblGrid>
    <w:tr>
      <w:tc>
        <w:tcPr>
          <w:tcW w:type="dxa" w:w="3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200275" cy="495300"/>
                <wp:effectExtent t="0" r="0" b="0" l="0"/>
                <wp:docPr id="1" name="KASAROSE LOGISTICS logo" descr="KASAROSE LOGISTICS logo" title="KASAROSE LOGIS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027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0"/>
          </w:tcMar>
          <w:vAlign w:val="center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>GH</w:t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  —  Adako Jachie, Ejisu – Kumasi, Ghana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/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+233 54 517 0568  /  +233 50 972 5081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>USA</w:t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  —  Westfield, Indiana, USA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/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+1 (574) 440-7460  /  +1 (773) 970-0129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/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support@kasarose.com</w:t>
          </w:r>
        </w:p>
      </w:tc>
    </w:tr>
  </w:tbl>
  <w:p>
    <w:pPr>
      <w:pBdr>
        <w:bottom w:val="single" w:color="052240" w:sz="18" w:space="1"/>
      </w:pBdr>
      <w:spacing w:after="0" w:before="0"/>
    </w:pPr>
    <w:r>
      <w:rPr>
        <w:sz w:val="2"/>
        <w:szCs w:val="2"/>
      </w:rPr>
      <w:t xml:space="preserve"/>
    </w:r>
  </w:p>
  <w:p>
    <w:pPr>
      <w:pBdr>
        <w:bottom w:val="single" w:color="E4252C" w:sz="6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c053918b608f4f076a993bb06879af90a204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2026-08-27T17:05:07.476Z</dcterms:created>
  <dcterms:modified xsi:type="dcterms:W3CDTF">2026-08-27T17:05:07.477Z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