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F3DE34" w14:textId="77777777" w:rsidR="009972CD" w:rsidRPr="007B5A38" w:rsidRDefault="009972CD" w:rsidP="007B5A38">
      <w:pPr>
        <w:keepNext/>
        <w:keepLines/>
        <w:spacing w:before="480" w:after="0"/>
        <w:jc w:val="center"/>
        <w:outlineLvl w:val="0"/>
        <w:rPr>
          <w:sz w:val="36"/>
          <w:shd w:val="clear" w:color="auto" w:fill="FAFAFA"/>
        </w:rPr>
      </w:pPr>
      <w:r w:rsidRPr="007B5A38">
        <w:rPr>
          <w:b/>
          <w:sz w:val="36"/>
          <w:shd w:val="clear" w:color="auto" w:fill="FAFAFA"/>
        </w:rPr>
        <w:t>Presupuesto por ODS</w:t>
      </w:r>
    </w:p>
    <w:p w14:paraId="50A0445C" w14:textId="1194C7E5" w:rsidR="00E25DE7" w:rsidRDefault="00B02B66" w:rsidP="007B5A38">
      <w:pPr>
        <w:pStyle w:val="Ttulo1"/>
        <w:numPr>
          <w:ilvl w:val="0"/>
          <w:numId w:val="9"/>
        </w:numPr>
        <w:rPr>
          <w:shd w:val="clear" w:color="auto" w:fill="FAFAFA"/>
        </w:rPr>
      </w:pPr>
      <w:r>
        <w:rPr>
          <w:shd w:val="clear" w:color="auto" w:fill="FAFAFA"/>
        </w:rPr>
        <w:t>Introducción</w:t>
      </w:r>
      <w:bookmarkStart w:id="0" w:name="_GoBack"/>
      <w:bookmarkEnd w:id="0"/>
    </w:p>
    <w:p w14:paraId="45FF1FFE" w14:textId="77777777" w:rsidR="00453669" w:rsidRDefault="00453669" w:rsidP="00453669">
      <w:pPr>
        <w:spacing w:line="269" w:lineRule="auto"/>
      </w:pPr>
      <w:r>
        <w:t>Los Objetivos de Desarrollo Sostenible</w:t>
      </w:r>
      <w:r w:rsidR="000A19CE">
        <w:t xml:space="preserve"> (ODS)</w:t>
      </w:r>
      <w:r>
        <w:t xml:space="preserve"> asumidos en septiembre de 2015 representan el compromiso de los países integrantes de la Organización de Naciones Unidas para erradicar la pobreza, proteger el planeta y asegurar la paz y prosperidad de todos sus habitantes, como parte de una nueva agenda de desarrollo sostenible. </w:t>
      </w:r>
    </w:p>
    <w:tbl>
      <w:tblPr>
        <w:tblStyle w:val="Cuadrculamedia1-nfasis1"/>
        <w:tblW w:w="0" w:type="auto"/>
        <w:tblLook w:val="04A0" w:firstRow="1" w:lastRow="0" w:firstColumn="1" w:lastColumn="0" w:noHBand="0" w:noVBand="1"/>
      </w:tblPr>
      <w:tblGrid>
        <w:gridCol w:w="9286"/>
      </w:tblGrid>
      <w:tr w:rsidR="002A0091" w:rsidRPr="000A19CE" w14:paraId="2438769A" w14:textId="77777777" w:rsidTr="00B23201">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hideMark/>
          </w:tcPr>
          <w:p w14:paraId="0721514C" w14:textId="77777777" w:rsidR="002A0091" w:rsidRPr="000A19CE" w:rsidRDefault="002A0091" w:rsidP="00B23201">
            <w:pPr>
              <w:pStyle w:val="Pa12"/>
              <w:rPr>
                <w:rFonts w:asciiTheme="minorHAnsi" w:hAnsiTheme="minorHAnsi" w:cs="Rambla Libro"/>
                <w:b w:val="0"/>
                <w:color w:val="000000"/>
                <w:sz w:val="20"/>
                <w:szCs w:val="20"/>
              </w:rPr>
            </w:pPr>
            <w:r w:rsidRPr="000A19CE">
              <w:rPr>
                <w:rFonts w:asciiTheme="minorHAnsi" w:hAnsiTheme="minorHAnsi" w:cs="Rambla Libro"/>
                <w:b w:val="0"/>
                <w:color w:val="000000"/>
                <w:sz w:val="20"/>
                <w:szCs w:val="20"/>
              </w:rPr>
              <w:t xml:space="preserve">Objetivo 1. Poner fin a la pobreza en todas sus formas y en todo el mundo </w:t>
            </w:r>
          </w:p>
        </w:tc>
      </w:tr>
      <w:tr w:rsidR="002A0091" w:rsidRPr="000A19CE" w14:paraId="70A00BD3" w14:textId="77777777" w:rsidTr="00B2320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hideMark/>
          </w:tcPr>
          <w:p w14:paraId="252AA8F2" w14:textId="77777777" w:rsidR="002A0091" w:rsidRPr="000A19CE" w:rsidRDefault="002A0091" w:rsidP="00B23201">
            <w:pPr>
              <w:pStyle w:val="Pa12"/>
              <w:rPr>
                <w:rFonts w:asciiTheme="minorHAnsi" w:hAnsiTheme="minorHAnsi" w:cs="Rambla Libro"/>
                <w:b w:val="0"/>
                <w:color w:val="000000"/>
                <w:sz w:val="20"/>
                <w:szCs w:val="20"/>
              </w:rPr>
            </w:pPr>
            <w:r w:rsidRPr="000A19CE">
              <w:rPr>
                <w:rFonts w:asciiTheme="minorHAnsi" w:hAnsiTheme="minorHAnsi" w:cs="Rambla Libro"/>
                <w:b w:val="0"/>
                <w:color w:val="000000"/>
                <w:sz w:val="20"/>
                <w:szCs w:val="20"/>
              </w:rPr>
              <w:t>Objetivo 2. Poner fin al hambre, lograr la seguridad alimentaria y la mejora de la nutrición y promover la agricultura sostenible</w:t>
            </w:r>
          </w:p>
        </w:tc>
      </w:tr>
      <w:tr w:rsidR="002A0091" w:rsidRPr="000A19CE" w14:paraId="6445903D" w14:textId="77777777" w:rsidTr="00B23201">
        <w:trPr>
          <w:trHeight w:val="255"/>
        </w:trPr>
        <w:tc>
          <w:tcPr>
            <w:cnfStyle w:val="001000000000" w:firstRow="0" w:lastRow="0" w:firstColumn="1" w:lastColumn="0" w:oddVBand="0" w:evenVBand="0" w:oddHBand="0" w:evenHBand="0" w:firstRowFirstColumn="0" w:firstRowLastColumn="0" w:lastRowFirstColumn="0" w:lastRowLastColumn="0"/>
            <w:tcW w:w="0" w:type="auto"/>
            <w:hideMark/>
          </w:tcPr>
          <w:p w14:paraId="46F29B88" w14:textId="77777777" w:rsidR="002A0091" w:rsidRPr="000A19CE" w:rsidRDefault="002A0091" w:rsidP="00B23201">
            <w:pPr>
              <w:pStyle w:val="Pa12"/>
              <w:rPr>
                <w:rFonts w:asciiTheme="minorHAnsi" w:hAnsiTheme="minorHAnsi" w:cs="Rambla Libro"/>
                <w:b w:val="0"/>
                <w:color w:val="000000"/>
                <w:sz w:val="20"/>
                <w:szCs w:val="20"/>
              </w:rPr>
            </w:pPr>
            <w:r w:rsidRPr="000A19CE">
              <w:rPr>
                <w:rFonts w:asciiTheme="minorHAnsi" w:hAnsiTheme="minorHAnsi" w:cs="Rambla Libro"/>
                <w:b w:val="0"/>
                <w:color w:val="000000"/>
                <w:sz w:val="20"/>
                <w:szCs w:val="20"/>
              </w:rPr>
              <w:t xml:space="preserve">Objetivo 3: Garantizar una vida sana y promover el bienestar de todos a todas las edades </w:t>
            </w:r>
          </w:p>
        </w:tc>
      </w:tr>
      <w:tr w:rsidR="002A0091" w:rsidRPr="000A19CE" w14:paraId="3D80B298" w14:textId="77777777" w:rsidTr="00B2320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hideMark/>
          </w:tcPr>
          <w:p w14:paraId="5BBB5A36" w14:textId="77777777" w:rsidR="002A0091" w:rsidRPr="000A19CE" w:rsidRDefault="002A0091" w:rsidP="00B23201">
            <w:pPr>
              <w:pStyle w:val="Pa12"/>
              <w:rPr>
                <w:rFonts w:asciiTheme="minorHAnsi" w:hAnsiTheme="minorHAnsi" w:cs="Rambla Libro"/>
                <w:b w:val="0"/>
                <w:color w:val="000000"/>
                <w:sz w:val="20"/>
                <w:szCs w:val="20"/>
              </w:rPr>
            </w:pPr>
            <w:r w:rsidRPr="000A19CE">
              <w:rPr>
                <w:rFonts w:asciiTheme="minorHAnsi" w:hAnsiTheme="minorHAnsi" w:cs="Rambla Libro"/>
                <w:b w:val="0"/>
                <w:color w:val="000000"/>
                <w:sz w:val="20"/>
                <w:szCs w:val="20"/>
              </w:rPr>
              <w:t xml:space="preserve">Objetivo 4. Garantizar una educación inclusiva y equitativa de calidad y promover oportunidades  de aprendizaje permanente para todos </w:t>
            </w:r>
          </w:p>
        </w:tc>
      </w:tr>
      <w:tr w:rsidR="002A0091" w:rsidRPr="000A19CE" w14:paraId="595CD2A6" w14:textId="77777777" w:rsidTr="00B23201">
        <w:trPr>
          <w:trHeight w:val="255"/>
        </w:trPr>
        <w:tc>
          <w:tcPr>
            <w:cnfStyle w:val="001000000000" w:firstRow="0" w:lastRow="0" w:firstColumn="1" w:lastColumn="0" w:oddVBand="0" w:evenVBand="0" w:oddHBand="0" w:evenHBand="0" w:firstRowFirstColumn="0" w:firstRowLastColumn="0" w:lastRowFirstColumn="0" w:lastRowLastColumn="0"/>
            <w:tcW w:w="0" w:type="auto"/>
            <w:hideMark/>
          </w:tcPr>
          <w:p w14:paraId="0D50370E" w14:textId="77777777" w:rsidR="002A0091" w:rsidRPr="000A19CE" w:rsidRDefault="002A0091" w:rsidP="00B23201">
            <w:pPr>
              <w:pStyle w:val="Pa12"/>
              <w:rPr>
                <w:rFonts w:asciiTheme="minorHAnsi" w:hAnsiTheme="minorHAnsi" w:cs="Rambla Libro"/>
                <w:b w:val="0"/>
                <w:color w:val="000000"/>
                <w:sz w:val="20"/>
                <w:szCs w:val="20"/>
              </w:rPr>
            </w:pPr>
            <w:r w:rsidRPr="000A19CE">
              <w:rPr>
                <w:rFonts w:asciiTheme="minorHAnsi" w:hAnsiTheme="minorHAnsi" w:cs="Rambla Libro"/>
                <w:b w:val="0"/>
                <w:color w:val="000000"/>
                <w:sz w:val="20"/>
                <w:szCs w:val="20"/>
              </w:rPr>
              <w:t xml:space="preserve">Objetivo 5. Lograr la igualdad de género y empoderar a todas las mujeres y las niñas </w:t>
            </w:r>
          </w:p>
        </w:tc>
      </w:tr>
      <w:tr w:rsidR="002A0091" w:rsidRPr="000A19CE" w14:paraId="7427C4C0" w14:textId="77777777" w:rsidTr="00B2320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hideMark/>
          </w:tcPr>
          <w:p w14:paraId="590A1DD8" w14:textId="77777777" w:rsidR="002A0091" w:rsidRPr="000A19CE" w:rsidRDefault="002A0091" w:rsidP="00B23201">
            <w:pPr>
              <w:pStyle w:val="Pa12"/>
              <w:rPr>
                <w:rFonts w:asciiTheme="minorHAnsi" w:hAnsiTheme="minorHAnsi" w:cs="Rambla Libro"/>
                <w:b w:val="0"/>
                <w:color w:val="000000"/>
                <w:sz w:val="20"/>
                <w:szCs w:val="20"/>
              </w:rPr>
            </w:pPr>
            <w:r w:rsidRPr="000A19CE">
              <w:rPr>
                <w:rFonts w:asciiTheme="minorHAnsi" w:hAnsiTheme="minorHAnsi" w:cs="Rambla Libro"/>
                <w:b w:val="0"/>
                <w:color w:val="000000"/>
                <w:sz w:val="20"/>
                <w:szCs w:val="20"/>
              </w:rPr>
              <w:t xml:space="preserve">Objetivo 6. Garantizar la disponibilidad y la gestión sostenible del agua y el saneamiento para todos </w:t>
            </w:r>
          </w:p>
        </w:tc>
      </w:tr>
      <w:tr w:rsidR="002A0091" w:rsidRPr="000A19CE" w14:paraId="785AADDE" w14:textId="77777777" w:rsidTr="00B23201">
        <w:trPr>
          <w:trHeight w:val="255"/>
        </w:trPr>
        <w:tc>
          <w:tcPr>
            <w:cnfStyle w:val="001000000000" w:firstRow="0" w:lastRow="0" w:firstColumn="1" w:lastColumn="0" w:oddVBand="0" w:evenVBand="0" w:oddHBand="0" w:evenHBand="0" w:firstRowFirstColumn="0" w:firstRowLastColumn="0" w:lastRowFirstColumn="0" w:lastRowLastColumn="0"/>
            <w:tcW w:w="0" w:type="auto"/>
            <w:hideMark/>
          </w:tcPr>
          <w:p w14:paraId="34B3FF6C" w14:textId="77777777" w:rsidR="002A0091" w:rsidRPr="000A19CE" w:rsidRDefault="002A0091" w:rsidP="00B23201">
            <w:pPr>
              <w:pStyle w:val="Pa12"/>
              <w:rPr>
                <w:rFonts w:asciiTheme="minorHAnsi" w:hAnsiTheme="minorHAnsi" w:cs="Rambla Libro"/>
                <w:b w:val="0"/>
                <w:color w:val="000000"/>
                <w:sz w:val="20"/>
                <w:szCs w:val="20"/>
              </w:rPr>
            </w:pPr>
            <w:r w:rsidRPr="000A19CE">
              <w:rPr>
                <w:rFonts w:asciiTheme="minorHAnsi" w:hAnsiTheme="minorHAnsi" w:cs="Rambla Libro"/>
                <w:b w:val="0"/>
                <w:color w:val="000000"/>
                <w:sz w:val="20"/>
                <w:szCs w:val="20"/>
              </w:rPr>
              <w:t xml:space="preserve">Objetivo 7. Garantizar el acceso a una energía asequible, fiable, sostenible y moderna para todos </w:t>
            </w:r>
          </w:p>
        </w:tc>
      </w:tr>
      <w:tr w:rsidR="002A0091" w:rsidRPr="000A19CE" w14:paraId="5DD69C2B" w14:textId="77777777" w:rsidTr="00B2320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hideMark/>
          </w:tcPr>
          <w:p w14:paraId="49CD2378" w14:textId="77777777" w:rsidR="002A0091" w:rsidRPr="000A19CE" w:rsidRDefault="002A0091" w:rsidP="00B23201">
            <w:pPr>
              <w:pStyle w:val="Pa12"/>
              <w:rPr>
                <w:rFonts w:asciiTheme="minorHAnsi" w:hAnsiTheme="minorHAnsi" w:cs="Rambla Libro"/>
                <w:b w:val="0"/>
                <w:color w:val="000000"/>
                <w:sz w:val="20"/>
                <w:szCs w:val="20"/>
              </w:rPr>
            </w:pPr>
            <w:r w:rsidRPr="000A19CE">
              <w:rPr>
                <w:rFonts w:asciiTheme="minorHAnsi" w:hAnsiTheme="minorHAnsi" w:cs="Rambla Libro"/>
                <w:b w:val="0"/>
                <w:color w:val="000000"/>
                <w:sz w:val="20"/>
                <w:szCs w:val="20"/>
              </w:rPr>
              <w:t xml:space="preserve">Objetivo 8: Promover el crecimiento económico sostenido, inclusivo y sostenible, el empleo pleno  y productivo y el trabajo decente para todos </w:t>
            </w:r>
          </w:p>
        </w:tc>
      </w:tr>
      <w:tr w:rsidR="002A0091" w:rsidRPr="000A19CE" w14:paraId="508AA011" w14:textId="77777777" w:rsidTr="00B23201">
        <w:trPr>
          <w:trHeight w:val="255"/>
        </w:trPr>
        <w:tc>
          <w:tcPr>
            <w:cnfStyle w:val="001000000000" w:firstRow="0" w:lastRow="0" w:firstColumn="1" w:lastColumn="0" w:oddVBand="0" w:evenVBand="0" w:oddHBand="0" w:evenHBand="0" w:firstRowFirstColumn="0" w:firstRowLastColumn="0" w:lastRowFirstColumn="0" w:lastRowLastColumn="0"/>
            <w:tcW w:w="0" w:type="auto"/>
            <w:hideMark/>
          </w:tcPr>
          <w:p w14:paraId="0D31F4D7" w14:textId="77777777" w:rsidR="002A0091" w:rsidRPr="000A19CE" w:rsidRDefault="002A0091" w:rsidP="00B23201">
            <w:pPr>
              <w:pStyle w:val="Pa12"/>
              <w:rPr>
                <w:rFonts w:asciiTheme="minorHAnsi" w:hAnsiTheme="minorHAnsi" w:cs="Rambla Libro"/>
                <w:b w:val="0"/>
                <w:color w:val="000000"/>
                <w:sz w:val="20"/>
                <w:szCs w:val="20"/>
              </w:rPr>
            </w:pPr>
            <w:r w:rsidRPr="000A19CE">
              <w:rPr>
                <w:rFonts w:asciiTheme="minorHAnsi" w:hAnsiTheme="minorHAnsi" w:cs="Rambla Libro"/>
                <w:b w:val="0"/>
                <w:color w:val="000000"/>
                <w:sz w:val="20"/>
                <w:szCs w:val="20"/>
              </w:rPr>
              <w:t xml:space="preserve">Objetivo 9. Construir infraestructuras </w:t>
            </w:r>
            <w:proofErr w:type="spellStart"/>
            <w:r w:rsidRPr="000A19CE">
              <w:rPr>
                <w:rFonts w:asciiTheme="minorHAnsi" w:hAnsiTheme="minorHAnsi" w:cs="Rambla Libro"/>
                <w:b w:val="0"/>
                <w:color w:val="000000"/>
                <w:sz w:val="20"/>
                <w:szCs w:val="20"/>
              </w:rPr>
              <w:t>resilientes</w:t>
            </w:r>
            <w:proofErr w:type="spellEnd"/>
            <w:r w:rsidRPr="000A19CE">
              <w:rPr>
                <w:rFonts w:asciiTheme="minorHAnsi" w:hAnsiTheme="minorHAnsi" w:cs="Rambla Libro"/>
                <w:b w:val="0"/>
                <w:color w:val="000000"/>
                <w:sz w:val="20"/>
                <w:szCs w:val="20"/>
              </w:rPr>
              <w:t xml:space="preserve">, promover la industrialización inclusiva y sostenible  y fomentar la innovación </w:t>
            </w:r>
          </w:p>
        </w:tc>
      </w:tr>
      <w:tr w:rsidR="002A0091" w:rsidRPr="000A19CE" w14:paraId="2C4E49CF" w14:textId="77777777" w:rsidTr="00B2320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hideMark/>
          </w:tcPr>
          <w:p w14:paraId="712B7C59" w14:textId="77777777" w:rsidR="002A0091" w:rsidRPr="000A19CE" w:rsidRDefault="002A0091" w:rsidP="00B23201">
            <w:pPr>
              <w:pStyle w:val="Pa12"/>
              <w:rPr>
                <w:rFonts w:asciiTheme="minorHAnsi" w:hAnsiTheme="minorHAnsi" w:cs="Rambla Libro"/>
                <w:b w:val="0"/>
                <w:color w:val="000000"/>
                <w:sz w:val="20"/>
                <w:szCs w:val="20"/>
              </w:rPr>
            </w:pPr>
            <w:r w:rsidRPr="000A19CE">
              <w:rPr>
                <w:rFonts w:asciiTheme="minorHAnsi" w:hAnsiTheme="minorHAnsi" w:cs="Rambla Libro"/>
                <w:b w:val="0"/>
                <w:color w:val="000000"/>
                <w:sz w:val="20"/>
                <w:szCs w:val="20"/>
              </w:rPr>
              <w:t xml:space="preserve">Objetivo 10. Reducir la desigualdad en los países y entre ellos </w:t>
            </w:r>
          </w:p>
        </w:tc>
      </w:tr>
      <w:tr w:rsidR="002A0091" w:rsidRPr="000A19CE" w14:paraId="08946F65" w14:textId="77777777" w:rsidTr="00B23201">
        <w:trPr>
          <w:trHeight w:val="255"/>
        </w:trPr>
        <w:tc>
          <w:tcPr>
            <w:cnfStyle w:val="001000000000" w:firstRow="0" w:lastRow="0" w:firstColumn="1" w:lastColumn="0" w:oddVBand="0" w:evenVBand="0" w:oddHBand="0" w:evenHBand="0" w:firstRowFirstColumn="0" w:firstRowLastColumn="0" w:lastRowFirstColumn="0" w:lastRowLastColumn="0"/>
            <w:tcW w:w="0" w:type="auto"/>
            <w:hideMark/>
          </w:tcPr>
          <w:p w14:paraId="52725E31" w14:textId="77777777" w:rsidR="002A0091" w:rsidRPr="000A19CE" w:rsidRDefault="002A0091" w:rsidP="00B23201">
            <w:pPr>
              <w:pStyle w:val="Pa12"/>
              <w:rPr>
                <w:rFonts w:asciiTheme="minorHAnsi" w:hAnsiTheme="minorHAnsi" w:cs="Rambla Libro"/>
                <w:b w:val="0"/>
                <w:color w:val="000000"/>
                <w:sz w:val="20"/>
                <w:szCs w:val="20"/>
              </w:rPr>
            </w:pPr>
            <w:r w:rsidRPr="000A19CE">
              <w:rPr>
                <w:rFonts w:asciiTheme="minorHAnsi" w:hAnsiTheme="minorHAnsi" w:cs="Rambla Libro"/>
                <w:b w:val="0"/>
                <w:color w:val="000000"/>
                <w:sz w:val="20"/>
                <w:szCs w:val="20"/>
              </w:rPr>
              <w:t xml:space="preserve">Objetivo 11. Lograr que las ciudades y los asentamientos humanos sean inclusivos, seguros, </w:t>
            </w:r>
            <w:proofErr w:type="spellStart"/>
            <w:r w:rsidRPr="000A19CE">
              <w:rPr>
                <w:rFonts w:asciiTheme="minorHAnsi" w:hAnsiTheme="minorHAnsi" w:cs="Rambla Libro"/>
                <w:b w:val="0"/>
                <w:color w:val="000000"/>
                <w:sz w:val="20"/>
                <w:szCs w:val="20"/>
              </w:rPr>
              <w:t>resilientes</w:t>
            </w:r>
            <w:proofErr w:type="spellEnd"/>
            <w:r w:rsidRPr="000A19CE">
              <w:rPr>
                <w:rFonts w:asciiTheme="minorHAnsi" w:hAnsiTheme="minorHAnsi" w:cs="Rambla Libro"/>
                <w:b w:val="0"/>
                <w:color w:val="000000"/>
                <w:sz w:val="20"/>
                <w:szCs w:val="20"/>
              </w:rPr>
              <w:t xml:space="preserve">  y sostenibles </w:t>
            </w:r>
          </w:p>
        </w:tc>
      </w:tr>
      <w:tr w:rsidR="002A0091" w:rsidRPr="000A19CE" w14:paraId="3B8E8FFB" w14:textId="77777777" w:rsidTr="00B2320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hideMark/>
          </w:tcPr>
          <w:p w14:paraId="41823741" w14:textId="77777777" w:rsidR="002A0091" w:rsidRPr="000A19CE" w:rsidRDefault="002A0091" w:rsidP="00B23201">
            <w:pPr>
              <w:pStyle w:val="Pa12"/>
              <w:rPr>
                <w:rFonts w:asciiTheme="minorHAnsi" w:hAnsiTheme="minorHAnsi" w:cs="Rambla Libro"/>
                <w:b w:val="0"/>
                <w:color w:val="000000"/>
                <w:sz w:val="20"/>
                <w:szCs w:val="20"/>
              </w:rPr>
            </w:pPr>
            <w:r w:rsidRPr="000A19CE">
              <w:rPr>
                <w:rFonts w:asciiTheme="minorHAnsi" w:hAnsiTheme="minorHAnsi" w:cs="Rambla Libro"/>
                <w:b w:val="0"/>
                <w:color w:val="000000"/>
                <w:sz w:val="20"/>
                <w:szCs w:val="20"/>
              </w:rPr>
              <w:t xml:space="preserve">Objetivo 12. Garantizar modalidades de consumo y producción sostenibles </w:t>
            </w:r>
          </w:p>
        </w:tc>
      </w:tr>
      <w:tr w:rsidR="002A0091" w:rsidRPr="000A19CE" w14:paraId="2C5D8790" w14:textId="77777777" w:rsidTr="00B23201">
        <w:trPr>
          <w:trHeight w:val="255"/>
        </w:trPr>
        <w:tc>
          <w:tcPr>
            <w:cnfStyle w:val="001000000000" w:firstRow="0" w:lastRow="0" w:firstColumn="1" w:lastColumn="0" w:oddVBand="0" w:evenVBand="0" w:oddHBand="0" w:evenHBand="0" w:firstRowFirstColumn="0" w:firstRowLastColumn="0" w:lastRowFirstColumn="0" w:lastRowLastColumn="0"/>
            <w:tcW w:w="0" w:type="auto"/>
            <w:hideMark/>
          </w:tcPr>
          <w:p w14:paraId="67366214" w14:textId="77777777" w:rsidR="002A0091" w:rsidRPr="000A19CE" w:rsidRDefault="002A0091" w:rsidP="00B23201">
            <w:pPr>
              <w:pStyle w:val="Pa12"/>
              <w:rPr>
                <w:rFonts w:asciiTheme="minorHAnsi" w:hAnsiTheme="minorHAnsi" w:cs="Rambla Libro"/>
                <w:b w:val="0"/>
                <w:color w:val="000000"/>
                <w:sz w:val="20"/>
                <w:szCs w:val="20"/>
              </w:rPr>
            </w:pPr>
            <w:r w:rsidRPr="000A19CE">
              <w:rPr>
                <w:rFonts w:asciiTheme="minorHAnsi" w:hAnsiTheme="minorHAnsi" w:cs="Rambla Libro"/>
                <w:b w:val="0"/>
                <w:color w:val="000000"/>
                <w:sz w:val="20"/>
                <w:szCs w:val="20"/>
              </w:rPr>
              <w:t>Objetivo 13: Adoptar medidas urgentes para combatir el</w:t>
            </w:r>
            <w:r>
              <w:rPr>
                <w:rFonts w:asciiTheme="minorHAnsi" w:hAnsiTheme="minorHAnsi" w:cs="Rambla Libro"/>
                <w:b w:val="0"/>
                <w:color w:val="000000"/>
                <w:sz w:val="20"/>
                <w:szCs w:val="20"/>
              </w:rPr>
              <w:t xml:space="preserve"> cambio climático y sus efectos</w:t>
            </w:r>
          </w:p>
        </w:tc>
      </w:tr>
      <w:tr w:rsidR="002A0091" w:rsidRPr="000A19CE" w14:paraId="2A6AC83A" w14:textId="77777777" w:rsidTr="00B2320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hideMark/>
          </w:tcPr>
          <w:p w14:paraId="1B26612D" w14:textId="77777777" w:rsidR="002A0091" w:rsidRPr="000A19CE" w:rsidRDefault="002A0091" w:rsidP="00B23201">
            <w:pPr>
              <w:pStyle w:val="Pa12"/>
              <w:rPr>
                <w:rFonts w:asciiTheme="minorHAnsi" w:hAnsiTheme="minorHAnsi" w:cs="Rambla Libro"/>
                <w:b w:val="0"/>
                <w:color w:val="000000"/>
                <w:sz w:val="20"/>
                <w:szCs w:val="20"/>
              </w:rPr>
            </w:pPr>
            <w:r w:rsidRPr="000A19CE">
              <w:rPr>
                <w:rFonts w:asciiTheme="minorHAnsi" w:hAnsiTheme="minorHAnsi" w:cs="Rambla Libro"/>
                <w:b w:val="0"/>
                <w:color w:val="000000"/>
                <w:sz w:val="20"/>
                <w:szCs w:val="20"/>
              </w:rPr>
              <w:t xml:space="preserve">Objetivo 14. Conservar y utilizar sosteniblemente los océanos, los mares y los recursos marinos  para el desarrollo sostenible </w:t>
            </w:r>
          </w:p>
        </w:tc>
      </w:tr>
      <w:tr w:rsidR="002A0091" w:rsidRPr="000A19CE" w14:paraId="7C54D079" w14:textId="77777777" w:rsidTr="00B23201">
        <w:trPr>
          <w:trHeight w:val="255"/>
        </w:trPr>
        <w:tc>
          <w:tcPr>
            <w:cnfStyle w:val="001000000000" w:firstRow="0" w:lastRow="0" w:firstColumn="1" w:lastColumn="0" w:oddVBand="0" w:evenVBand="0" w:oddHBand="0" w:evenHBand="0" w:firstRowFirstColumn="0" w:firstRowLastColumn="0" w:lastRowFirstColumn="0" w:lastRowLastColumn="0"/>
            <w:tcW w:w="0" w:type="auto"/>
            <w:hideMark/>
          </w:tcPr>
          <w:p w14:paraId="5D901A7B" w14:textId="77777777" w:rsidR="002A0091" w:rsidRPr="000A19CE" w:rsidRDefault="002A0091" w:rsidP="00B23201">
            <w:pPr>
              <w:pStyle w:val="Pa12"/>
              <w:rPr>
                <w:rFonts w:asciiTheme="minorHAnsi" w:hAnsiTheme="minorHAnsi" w:cs="Rambla Libro"/>
                <w:b w:val="0"/>
                <w:color w:val="000000"/>
                <w:sz w:val="20"/>
                <w:szCs w:val="20"/>
              </w:rPr>
            </w:pPr>
            <w:r w:rsidRPr="000A19CE">
              <w:rPr>
                <w:rFonts w:asciiTheme="minorHAnsi" w:hAnsiTheme="minorHAnsi" w:cs="Rambla Libro"/>
                <w:b w:val="0"/>
                <w:color w:val="000000"/>
                <w:sz w:val="20"/>
                <w:szCs w:val="20"/>
              </w:rPr>
              <w:t xml:space="preserve">Objetivo 15. Proteger, restablecer y promover el uso sostenible de los ecosistemas terrestres, gestionar sosteniblemente los bosques, luchar contra la desertificación, detener e invertir la degradación de las tierras y detener la pérdida de biodiversidad </w:t>
            </w:r>
          </w:p>
        </w:tc>
      </w:tr>
      <w:tr w:rsidR="002A0091" w:rsidRPr="000A19CE" w14:paraId="00A12021" w14:textId="77777777" w:rsidTr="00B2320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hideMark/>
          </w:tcPr>
          <w:p w14:paraId="5CCEB275" w14:textId="77777777" w:rsidR="002A0091" w:rsidRPr="000A19CE" w:rsidRDefault="002A0091" w:rsidP="00B23201">
            <w:pPr>
              <w:pStyle w:val="Pa12"/>
              <w:rPr>
                <w:rFonts w:asciiTheme="minorHAnsi" w:hAnsiTheme="minorHAnsi" w:cs="Rambla Libro"/>
                <w:b w:val="0"/>
                <w:color w:val="000000"/>
                <w:sz w:val="20"/>
                <w:szCs w:val="20"/>
              </w:rPr>
            </w:pPr>
            <w:r w:rsidRPr="000A19CE">
              <w:rPr>
                <w:rFonts w:asciiTheme="minorHAnsi" w:hAnsiTheme="minorHAnsi" w:cs="Rambla Libro"/>
                <w:b w:val="0"/>
                <w:color w:val="000000"/>
                <w:sz w:val="20"/>
                <w:szCs w:val="20"/>
              </w:rPr>
              <w:t xml:space="preserve">Objetivo 16. Promover sociedades pacíficas e inclusivas para el desarrollo sostenible, facilitar el acceso  a la justicia para todos y construir a todos los niveles instituciones eficaces e inclusivas que rindan cuentas </w:t>
            </w:r>
          </w:p>
        </w:tc>
      </w:tr>
      <w:tr w:rsidR="002A0091" w:rsidRPr="000A19CE" w14:paraId="60A9691A" w14:textId="77777777" w:rsidTr="00B23201">
        <w:trPr>
          <w:trHeight w:val="255"/>
        </w:trPr>
        <w:tc>
          <w:tcPr>
            <w:cnfStyle w:val="001000000000" w:firstRow="0" w:lastRow="0" w:firstColumn="1" w:lastColumn="0" w:oddVBand="0" w:evenVBand="0" w:oddHBand="0" w:evenHBand="0" w:firstRowFirstColumn="0" w:firstRowLastColumn="0" w:lastRowFirstColumn="0" w:lastRowLastColumn="0"/>
            <w:tcW w:w="0" w:type="auto"/>
            <w:hideMark/>
          </w:tcPr>
          <w:p w14:paraId="405A3B80" w14:textId="77777777" w:rsidR="002A0091" w:rsidRPr="000A19CE" w:rsidRDefault="002A0091" w:rsidP="00B23201">
            <w:pPr>
              <w:pStyle w:val="Pa12"/>
              <w:rPr>
                <w:rFonts w:asciiTheme="minorHAnsi" w:hAnsiTheme="minorHAnsi" w:cs="Rambla Libro"/>
                <w:b w:val="0"/>
                <w:color w:val="000000"/>
                <w:sz w:val="20"/>
                <w:szCs w:val="20"/>
              </w:rPr>
            </w:pPr>
            <w:r w:rsidRPr="000A19CE">
              <w:rPr>
                <w:rFonts w:asciiTheme="minorHAnsi" w:hAnsiTheme="minorHAnsi" w:cs="Rambla Libro"/>
                <w:b w:val="0"/>
                <w:color w:val="000000"/>
                <w:sz w:val="20"/>
                <w:szCs w:val="20"/>
              </w:rPr>
              <w:t xml:space="preserve">Objetivo 17. Fortalecer los medios de implementación y revitalizar la Alianza Mundial para el Desarrollo Sostenible </w:t>
            </w:r>
          </w:p>
        </w:tc>
      </w:tr>
    </w:tbl>
    <w:p w14:paraId="7307A3BC" w14:textId="77777777" w:rsidR="002A0091" w:rsidRDefault="002A0091" w:rsidP="00453669">
      <w:pPr>
        <w:spacing w:line="269" w:lineRule="auto"/>
      </w:pPr>
    </w:p>
    <w:p w14:paraId="4DB09255" w14:textId="77777777" w:rsidR="00453669" w:rsidRDefault="00453669" w:rsidP="00453669">
      <w:pPr>
        <w:spacing w:line="269" w:lineRule="auto"/>
      </w:pPr>
      <w:r>
        <w:t>La resolución de la Asamblea General de las Naciones Unidas</w:t>
      </w:r>
      <w:r w:rsidR="00DC0BF3">
        <w:t>,</w:t>
      </w:r>
      <w:r>
        <w:t xml:space="preserve"> que se denomina “Transformar nuestro mundo: la Agenda 2030 para el Desarrollo Sostenible”, hace mención al rol de la planificación y al proceso de adaptación de este compromiso a las realidades nacionales: </w:t>
      </w:r>
    </w:p>
    <w:p w14:paraId="09EAAE5C" w14:textId="77777777" w:rsidR="00453669" w:rsidRDefault="00453669" w:rsidP="00453669">
      <w:pPr>
        <w:spacing w:line="269" w:lineRule="auto"/>
        <w:ind w:firstLine="708"/>
      </w:pPr>
      <w:r>
        <w:t xml:space="preserve">• </w:t>
      </w:r>
      <w:r w:rsidR="00DC0BF3" w:rsidRPr="007B5A38">
        <w:rPr>
          <w:i/>
        </w:rPr>
        <w:t>“</w:t>
      </w:r>
      <w:r w:rsidR="008E4DC0" w:rsidRPr="007B5A38">
        <w:rPr>
          <w:i/>
        </w:rPr>
        <w:t xml:space="preserve">(…) </w:t>
      </w:r>
      <w:r w:rsidRPr="007B5A38">
        <w:rPr>
          <w:i/>
        </w:rPr>
        <w:t>Si bien las metas expresan las aspiraciones a nivel mundial, cada gobierno fijará sus propias metas nacionales, guiándose por la ambiciosa aspiración general, pero tomando en consideración las circunstancias del país. Cada gobierno decidirá también la forma de incorporar esas aspiraciones y metas mundiales en los procesos de planificación, las políticas y las estrategias nacionales</w:t>
      </w:r>
      <w:r w:rsidR="00DC0BF3" w:rsidRPr="007B5A38">
        <w:rPr>
          <w:i/>
        </w:rPr>
        <w:t>”</w:t>
      </w:r>
      <w:r>
        <w:t xml:space="preserve"> (</w:t>
      </w:r>
      <w:r w:rsidR="007E7A2B">
        <w:t xml:space="preserve">Naciones Unidas, A/RES/70/1 </w:t>
      </w:r>
      <w:r>
        <w:t xml:space="preserve">pág. 15). </w:t>
      </w:r>
    </w:p>
    <w:p w14:paraId="0B2FACFB" w14:textId="77777777" w:rsidR="00453669" w:rsidRDefault="00453669" w:rsidP="00453669">
      <w:pPr>
        <w:spacing w:line="269" w:lineRule="auto"/>
        <w:ind w:firstLine="708"/>
      </w:pPr>
      <w:r>
        <w:lastRenderedPageBreak/>
        <w:t>•</w:t>
      </w:r>
      <w:r w:rsidRPr="007B5A38">
        <w:rPr>
          <w:i/>
        </w:rPr>
        <w:t xml:space="preserve"> </w:t>
      </w:r>
      <w:r w:rsidR="00DC0BF3" w:rsidRPr="007B5A38">
        <w:rPr>
          <w:i/>
        </w:rPr>
        <w:t>“</w:t>
      </w:r>
      <w:r w:rsidRPr="007B5A38">
        <w:rPr>
          <w:i/>
        </w:rPr>
        <w:t>Alentamos a todos los Estados Miembros a que formulen lo antes posible respuestas nacionales ambiciosas para la implementación general de la presente Agenda. Esas respuestas pueden facilitar la transición hacia los Objetivos de Desarrollo Sostenible y basarse en los instrumentos de planificación existentes, como las estrategias nacionales de desarrollo y desarrollo sostenible, según proceda</w:t>
      </w:r>
      <w:r w:rsidR="00DC0BF3" w:rsidRPr="007B5A38">
        <w:rPr>
          <w:i/>
        </w:rPr>
        <w:t>.”</w:t>
      </w:r>
      <w:r>
        <w:t xml:space="preserve"> (Naciones Unidas</w:t>
      </w:r>
      <w:r w:rsidR="007E7A2B">
        <w:t>, A/RES/70/1 pág. 37</w:t>
      </w:r>
      <w:r>
        <w:t>).</w:t>
      </w:r>
    </w:p>
    <w:p w14:paraId="3F0BDD72" w14:textId="77777777" w:rsidR="00453669" w:rsidRDefault="00453669" w:rsidP="00453669">
      <w:pPr>
        <w:spacing w:line="269" w:lineRule="auto"/>
        <w:rPr>
          <w:rFonts w:cs="Rambla Libro"/>
          <w:color w:val="000000"/>
        </w:rPr>
      </w:pPr>
      <w:r>
        <w:rPr>
          <w:rFonts w:cs="Rambla Libro"/>
          <w:color w:val="000000"/>
        </w:rPr>
        <w:t>El presupuesto público es el principal instrumento mediante el cual se establecen las prioridades de gobierno y se asignan los recursos para llevarlas adelante. A lo largo del siglo XX, a nivel internacional, la técnica de formulación presupuestal ha ido evolucionando a fin de cumplir mejor esas funciones. Además, la presupuestación ha cambiado para dar cuenta de nuevos requerimientos, como la necesidad de mejorar constantemente la eficacia y eficiencia del gasto público, determinar y medir objetivamente los resultados obtenidos y facilitar la comprensión de la ciudadanía sobre las acciones de gobierno.</w:t>
      </w:r>
    </w:p>
    <w:p w14:paraId="453B2419" w14:textId="77777777" w:rsidR="00453669" w:rsidRDefault="00453669" w:rsidP="00453669">
      <w:pPr>
        <w:spacing w:line="269" w:lineRule="auto"/>
        <w:rPr>
          <w:rFonts w:cs="Rambla Libro"/>
          <w:color w:val="000000"/>
        </w:rPr>
      </w:pPr>
      <w:r>
        <w:rPr>
          <w:rFonts w:cs="Rambla Libro"/>
          <w:color w:val="000000"/>
        </w:rPr>
        <w:t>Uruguay no ha sido ajeno a esa tendencia y en los últimos períodos presupuestales se ha hecho un marcado esfuerzo por formalizar y hacer explícita la planificación del gobierno, así como por definir objetivos e indicadores que permitan medir su logro.</w:t>
      </w:r>
    </w:p>
    <w:p w14:paraId="08E4AA14" w14:textId="77777777" w:rsidR="00453669" w:rsidRDefault="00B0257D" w:rsidP="00453669">
      <w:pPr>
        <w:autoSpaceDE w:val="0"/>
        <w:autoSpaceDN w:val="0"/>
        <w:adjustRightInd w:val="0"/>
        <w:spacing w:line="269" w:lineRule="auto"/>
        <w:rPr>
          <w:rFonts w:cs="Rambla Libro"/>
          <w:color w:val="000000"/>
        </w:rPr>
      </w:pPr>
      <w:r>
        <w:rPr>
          <w:rFonts w:cs="Rambla Libro"/>
          <w:color w:val="000000"/>
        </w:rPr>
        <w:t>Por otra parte, a</w:t>
      </w:r>
      <w:r w:rsidR="00453669">
        <w:rPr>
          <w:rFonts w:cs="Rambla Libro"/>
          <w:color w:val="000000"/>
        </w:rPr>
        <w:t xml:space="preserve"> partir del año 2017 Uruguay asume el compromiso de presentar ante el Foro Político de Alto Nivel el Reporte Nacional Voluntario </w:t>
      </w:r>
      <w:r w:rsidR="00453669" w:rsidRPr="00E25DE7">
        <w:rPr>
          <w:rFonts w:cs="Rambla Libro"/>
          <w:color w:val="000000"/>
        </w:rPr>
        <w:t>relativo a los Objetivos de Desarrollo</w:t>
      </w:r>
      <w:r w:rsidR="00453669">
        <w:rPr>
          <w:rFonts w:cs="Rambla Libro"/>
          <w:color w:val="000000"/>
        </w:rPr>
        <w:t xml:space="preserve"> Sostenible.</w:t>
      </w:r>
      <w:r w:rsidR="00453669" w:rsidRPr="00E25DE7">
        <w:rPr>
          <w:rFonts w:cs="Rambla Libro"/>
          <w:color w:val="000000"/>
        </w:rPr>
        <w:t xml:space="preserve"> Este mecanismo periódico para el seguimiento de la Agenda 2030 en los distintos países</w:t>
      </w:r>
      <w:r w:rsidR="00453669">
        <w:rPr>
          <w:rFonts w:cs="Rambla Libro"/>
          <w:color w:val="000000"/>
        </w:rPr>
        <w:t xml:space="preserve"> </w:t>
      </w:r>
      <w:r w:rsidR="00453669" w:rsidRPr="00E25DE7">
        <w:rPr>
          <w:rFonts w:cs="Rambla Libro"/>
          <w:color w:val="000000"/>
        </w:rPr>
        <w:t>se concibe también como una instancia para compartir experiencias, desafíos y lecciones aprendidas en su</w:t>
      </w:r>
      <w:r w:rsidR="00453669">
        <w:rPr>
          <w:rFonts w:cs="Rambla Libro"/>
          <w:color w:val="000000"/>
        </w:rPr>
        <w:t xml:space="preserve"> </w:t>
      </w:r>
      <w:r w:rsidR="00453669" w:rsidRPr="00E25DE7">
        <w:rPr>
          <w:rFonts w:cs="Rambla Libro"/>
          <w:color w:val="000000"/>
        </w:rPr>
        <w:t>implementación.</w:t>
      </w:r>
    </w:p>
    <w:p w14:paraId="475D7052" w14:textId="77777777" w:rsidR="00453669" w:rsidRPr="000A19CE" w:rsidRDefault="00453669" w:rsidP="000A19CE">
      <w:pPr>
        <w:autoSpaceDE w:val="0"/>
        <w:autoSpaceDN w:val="0"/>
        <w:adjustRightInd w:val="0"/>
        <w:spacing w:line="269" w:lineRule="auto"/>
        <w:rPr>
          <w:rFonts w:cs="Rambla Libro"/>
          <w:color w:val="000000"/>
        </w:rPr>
      </w:pPr>
      <w:r>
        <w:rPr>
          <w:rFonts w:cs="Rambla Libro"/>
          <w:color w:val="000000"/>
        </w:rPr>
        <w:t xml:space="preserve">Desde el primer </w:t>
      </w:r>
      <w:r w:rsidR="009B7DCD">
        <w:rPr>
          <w:rFonts w:cs="Rambla Libro"/>
          <w:color w:val="000000"/>
        </w:rPr>
        <w:t>r</w:t>
      </w:r>
      <w:r>
        <w:rPr>
          <w:rFonts w:cs="Rambla Libro"/>
          <w:color w:val="000000"/>
        </w:rPr>
        <w:t xml:space="preserve">eporte se dio cuenta de la importancia de vincular el proceso presupuestario nacional con la Agenda 2030 </w:t>
      </w:r>
      <w:r w:rsidR="00F50329">
        <w:rPr>
          <w:rFonts w:cs="Rambla Libro"/>
          <w:color w:val="000000"/>
        </w:rPr>
        <w:t>por ser un</w:t>
      </w:r>
      <w:r w:rsidR="00C30CB8">
        <w:rPr>
          <w:rFonts w:cs="Rambla Libro"/>
          <w:color w:val="000000"/>
        </w:rPr>
        <w:t>o de los más</w:t>
      </w:r>
      <w:r w:rsidR="00F50329">
        <w:rPr>
          <w:rFonts w:cs="Rambla Libro"/>
          <w:color w:val="000000"/>
        </w:rPr>
        <w:t xml:space="preserve"> importante</w:t>
      </w:r>
      <w:r w:rsidR="00C30CB8">
        <w:rPr>
          <w:rFonts w:cs="Rambla Libro"/>
          <w:color w:val="000000"/>
        </w:rPr>
        <w:t>s</w:t>
      </w:r>
      <w:r>
        <w:rPr>
          <w:rFonts w:cs="Rambla Libro"/>
          <w:color w:val="000000"/>
        </w:rPr>
        <w:t xml:space="preserve"> mecanismo</w:t>
      </w:r>
      <w:r w:rsidR="00C30CB8">
        <w:rPr>
          <w:rFonts w:cs="Rambla Libro"/>
          <w:color w:val="000000"/>
        </w:rPr>
        <w:t>s</w:t>
      </w:r>
      <w:r>
        <w:rPr>
          <w:rFonts w:cs="Rambla Libro"/>
          <w:color w:val="000000"/>
        </w:rPr>
        <w:t xml:space="preserve"> de financiación</w:t>
      </w:r>
      <w:r w:rsidR="00C30CB8">
        <w:rPr>
          <w:rFonts w:cs="Rambla Libro"/>
          <w:color w:val="000000"/>
        </w:rPr>
        <w:t xml:space="preserve"> pública</w:t>
      </w:r>
      <w:r>
        <w:rPr>
          <w:rFonts w:cs="Rambla Libro"/>
          <w:color w:val="000000"/>
        </w:rPr>
        <w:t xml:space="preserve"> disponible para su implementación.    </w:t>
      </w:r>
    </w:p>
    <w:p w14:paraId="66AAD653" w14:textId="77777777" w:rsidR="00E21FE2" w:rsidRDefault="00F914A1" w:rsidP="00453669">
      <w:pPr>
        <w:spacing w:line="269" w:lineRule="auto"/>
      </w:pPr>
      <w:r>
        <w:t>El objetivo que persigue este trabajo es vincular</w:t>
      </w:r>
      <w:r w:rsidR="00453669">
        <w:t xml:space="preserve"> la formulación</w:t>
      </w:r>
      <w:r w:rsidR="00F50329">
        <w:t xml:space="preserve"> y ejecución</w:t>
      </w:r>
      <w:r w:rsidR="00453669">
        <w:t xml:space="preserve"> presupuestal </w:t>
      </w:r>
      <w:r>
        <w:t>con los Objetivo</w:t>
      </w:r>
      <w:r w:rsidR="009B7DCD">
        <w:t>s de Desarrollo Sostenible</w:t>
      </w:r>
      <w:r>
        <w:t xml:space="preserve"> a partir del enfoque de </w:t>
      </w:r>
      <w:r w:rsidR="00B0257D">
        <w:t>p</w:t>
      </w:r>
      <w:r>
        <w:t xml:space="preserve">resupuestación y </w:t>
      </w:r>
      <w:r w:rsidR="00B0257D">
        <w:t>g</w:t>
      </w:r>
      <w:r>
        <w:t xml:space="preserve">estión por </w:t>
      </w:r>
      <w:r w:rsidR="00B0257D">
        <w:t>r</w:t>
      </w:r>
      <w:r>
        <w:t>esultados sobre el cual se formula el Presupu</w:t>
      </w:r>
      <w:r w:rsidR="00F50329">
        <w:t>esto Nacional desde el año 2010</w:t>
      </w:r>
      <w:r w:rsidR="00E21FE2">
        <w:t>.</w:t>
      </w:r>
      <w:r w:rsidR="00F50329">
        <w:t xml:space="preserve"> </w:t>
      </w:r>
    </w:p>
    <w:p w14:paraId="42ED1481" w14:textId="757D6B76" w:rsidR="00B46083" w:rsidRDefault="00E21FE2" w:rsidP="00453669">
      <w:pPr>
        <w:spacing w:line="269" w:lineRule="auto"/>
      </w:pPr>
      <w:r>
        <w:t>Con esto</w:t>
      </w:r>
      <w:r w:rsidR="00F50329">
        <w:t xml:space="preserve"> </w:t>
      </w:r>
      <w:r>
        <w:t>se busca dar</w:t>
      </w:r>
      <w:r w:rsidR="00F50329">
        <w:t xml:space="preserve"> una noción de cómo se invierte</w:t>
      </w:r>
      <w:r>
        <w:t>, desde el P</w:t>
      </w:r>
      <w:r w:rsidR="00F50329">
        <w:t>resupuesto</w:t>
      </w:r>
      <w:r>
        <w:t xml:space="preserve"> Nacional,</w:t>
      </w:r>
      <w:r w:rsidR="00F50329">
        <w:t xml:space="preserve"> a la consecución de la Agenda 2030</w:t>
      </w:r>
      <w:r w:rsidR="00923AB2">
        <w:t>,</w:t>
      </w:r>
      <w:r>
        <w:t xml:space="preserve"> así como generar un insumo que permita continua</w:t>
      </w:r>
      <w:r w:rsidR="009B7DCD">
        <w:t>r la mejora de la formulación p</w:t>
      </w:r>
      <w:r>
        <w:t>resupuestal en el futuro</w:t>
      </w:r>
      <w:r w:rsidR="00F50329">
        <w:t xml:space="preserve">. </w:t>
      </w:r>
    </w:p>
    <w:p w14:paraId="1C38775A" w14:textId="77777777" w:rsidR="00340C57" w:rsidRDefault="00340C57" w:rsidP="007B5A38">
      <w:pPr>
        <w:pStyle w:val="Ttulo1"/>
        <w:numPr>
          <w:ilvl w:val="0"/>
          <w:numId w:val="9"/>
        </w:numPr>
        <w:rPr>
          <w:shd w:val="clear" w:color="auto" w:fill="FAFAFA"/>
        </w:rPr>
      </w:pPr>
      <w:r>
        <w:rPr>
          <w:shd w:val="clear" w:color="auto" w:fill="FAFAFA"/>
        </w:rPr>
        <w:t xml:space="preserve">Antecedentes </w:t>
      </w:r>
    </w:p>
    <w:p w14:paraId="3D476D0B" w14:textId="77777777" w:rsidR="00384E23" w:rsidRDefault="00E238C1" w:rsidP="007B5A38">
      <w:pPr>
        <w:pStyle w:val="Ttulo2"/>
        <w:numPr>
          <w:ilvl w:val="1"/>
          <w:numId w:val="9"/>
        </w:numPr>
        <w:ind w:left="567"/>
      </w:pPr>
      <w:r>
        <w:t xml:space="preserve">Elaboración del Presupuesto </w:t>
      </w:r>
      <w:r w:rsidR="005544E7">
        <w:t>por</w:t>
      </w:r>
      <w:r>
        <w:t xml:space="preserve"> Áreas Programáticas</w:t>
      </w:r>
    </w:p>
    <w:p w14:paraId="782F256C" w14:textId="13C5560A" w:rsidR="009B13AB" w:rsidRDefault="009B13AB" w:rsidP="00B46083">
      <w:pPr>
        <w:spacing w:line="269" w:lineRule="auto"/>
        <w:rPr>
          <w:rFonts w:cs="Rambla Libro"/>
          <w:color w:val="000000"/>
        </w:rPr>
      </w:pPr>
      <w:r>
        <w:rPr>
          <w:rFonts w:cs="Rambla Libro"/>
          <w:color w:val="000000"/>
        </w:rPr>
        <w:t>A partir del año 2010 para la elaboración del Presupuesto Nacional se identifican 18 áreas programática</w:t>
      </w:r>
      <w:r w:rsidR="00B0257D">
        <w:rPr>
          <w:rFonts w:cs="Rambla Libro"/>
          <w:color w:val="000000"/>
        </w:rPr>
        <w:t>s</w:t>
      </w:r>
      <w:r>
        <w:rPr>
          <w:rFonts w:cs="Rambla Libro"/>
          <w:color w:val="000000"/>
        </w:rPr>
        <w:t xml:space="preserve"> que representan funciones que desarrolla el Estado y, por su continuidad, trascienden los períodos de gobierno. Es</w:t>
      </w:r>
      <w:r w:rsidR="00B0257D">
        <w:rPr>
          <w:rFonts w:cs="Rambla Libro"/>
          <w:color w:val="000000"/>
        </w:rPr>
        <w:t>t</w:t>
      </w:r>
      <w:r>
        <w:rPr>
          <w:rFonts w:cs="Rambla Libro"/>
          <w:color w:val="000000"/>
        </w:rPr>
        <w:t>as áreas constituyen actualmente el primer agrupador del presupuesto público.</w:t>
      </w:r>
    </w:p>
    <w:p w14:paraId="5E31FA50" w14:textId="77777777" w:rsidR="002A0091" w:rsidRDefault="002A0091" w:rsidP="00B46083">
      <w:pPr>
        <w:spacing w:line="269" w:lineRule="auto"/>
        <w:rPr>
          <w:rFonts w:cs="Rambla Libro"/>
          <w:color w:val="000000"/>
        </w:rPr>
      </w:pPr>
    </w:p>
    <w:p w14:paraId="3E5CB02C" w14:textId="77777777" w:rsidR="002A0091" w:rsidRDefault="002A0091" w:rsidP="00B46083">
      <w:pPr>
        <w:spacing w:line="269" w:lineRule="auto"/>
        <w:rPr>
          <w:rFonts w:cs="Rambla Libro"/>
          <w:color w:val="000000"/>
        </w:rPr>
      </w:pPr>
    </w:p>
    <w:p w14:paraId="43BB85B0" w14:textId="5F415898" w:rsidR="00753491" w:rsidRDefault="00753491" w:rsidP="007B5A38">
      <w:pPr>
        <w:pStyle w:val="Epgrafe"/>
        <w:keepNext/>
      </w:pPr>
      <w:r>
        <w:lastRenderedPageBreak/>
        <w:t xml:space="preserve">Tabla </w:t>
      </w:r>
      <w:r>
        <w:fldChar w:fldCharType="begin"/>
      </w:r>
      <w:r>
        <w:instrText xml:space="preserve"> SEQ Tabla \* ARABIC </w:instrText>
      </w:r>
      <w:r>
        <w:fldChar w:fldCharType="separate"/>
      </w:r>
      <w:r w:rsidR="00833D51">
        <w:rPr>
          <w:noProof/>
        </w:rPr>
        <w:t>1</w:t>
      </w:r>
      <w:r>
        <w:fldChar w:fldCharType="end"/>
      </w:r>
      <w:r>
        <w:t xml:space="preserve"> - Áreas programáticas</w:t>
      </w:r>
    </w:p>
    <w:tbl>
      <w:tblPr>
        <w:tblStyle w:val="Cuadrculamedia1-nfasis1"/>
        <w:tblW w:w="5000" w:type="pct"/>
        <w:tblLook w:val="0000" w:firstRow="0" w:lastRow="0" w:firstColumn="0" w:lastColumn="0" w:noHBand="0" w:noVBand="0"/>
      </w:tblPr>
      <w:tblGrid>
        <w:gridCol w:w="9286"/>
      </w:tblGrid>
      <w:tr w:rsidR="00EB44E2" w14:paraId="24FC4997" w14:textId="77777777" w:rsidTr="00C802F6">
        <w:trPr>
          <w:cnfStyle w:val="000000100000" w:firstRow="0" w:lastRow="0" w:firstColumn="0" w:lastColumn="0" w:oddVBand="0" w:evenVBand="0" w:oddHBand="1" w:evenHBand="0" w:firstRowFirstColumn="0" w:firstRowLastColumn="0" w:lastRowFirstColumn="0" w:lastRowLastColumn="0"/>
          <w:trHeight w:val="95"/>
        </w:trPr>
        <w:tc>
          <w:tcPr>
            <w:cnfStyle w:val="000010000000" w:firstRow="0" w:lastRow="0" w:firstColumn="0" w:lastColumn="0" w:oddVBand="1" w:evenVBand="0" w:oddHBand="0" w:evenHBand="0" w:firstRowFirstColumn="0" w:firstRowLastColumn="0" w:lastRowFirstColumn="0" w:lastRowLastColumn="0"/>
            <w:tcW w:w="5000" w:type="pct"/>
          </w:tcPr>
          <w:p w14:paraId="0C0488AF" w14:textId="77777777" w:rsidR="00EB44E2" w:rsidRPr="00A319C0" w:rsidRDefault="00405C04" w:rsidP="000A0396">
            <w:pPr>
              <w:pStyle w:val="Pa12"/>
              <w:rPr>
                <w:rFonts w:asciiTheme="minorHAnsi" w:hAnsiTheme="minorHAnsi" w:cs="Rambla Libro"/>
                <w:color w:val="000000"/>
                <w:sz w:val="22"/>
                <w:szCs w:val="22"/>
              </w:rPr>
            </w:pPr>
            <w:r>
              <w:rPr>
                <w:rFonts w:asciiTheme="minorHAnsi" w:hAnsiTheme="minorHAnsi" w:cs="Rambla Libro"/>
                <w:color w:val="000000"/>
                <w:sz w:val="22"/>
                <w:szCs w:val="22"/>
              </w:rPr>
              <w:t xml:space="preserve">Área Programática </w:t>
            </w:r>
            <w:r w:rsidR="00EB44E2" w:rsidRPr="00A319C0">
              <w:rPr>
                <w:rFonts w:asciiTheme="minorHAnsi" w:hAnsiTheme="minorHAnsi" w:cs="Rambla Libro"/>
                <w:color w:val="000000"/>
                <w:sz w:val="22"/>
                <w:szCs w:val="22"/>
              </w:rPr>
              <w:t xml:space="preserve">1. Administración de Justicia </w:t>
            </w:r>
          </w:p>
        </w:tc>
      </w:tr>
      <w:tr w:rsidR="00EB44E2" w14:paraId="785BA3CE" w14:textId="77777777" w:rsidTr="00C802F6">
        <w:trPr>
          <w:trHeight w:val="95"/>
        </w:trPr>
        <w:tc>
          <w:tcPr>
            <w:cnfStyle w:val="000010000000" w:firstRow="0" w:lastRow="0" w:firstColumn="0" w:lastColumn="0" w:oddVBand="1" w:evenVBand="0" w:oddHBand="0" w:evenHBand="0" w:firstRowFirstColumn="0" w:firstRowLastColumn="0" w:lastRowFirstColumn="0" w:lastRowLastColumn="0"/>
            <w:tcW w:w="5000" w:type="pct"/>
          </w:tcPr>
          <w:p w14:paraId="7D9FD92E" w14:textId="77777777" w:rsidR="00EB44E2" w:rsidRPr="00A319C0" w:rsidRDefault="00405C04" w:rsidP="000A0396">
            <w:pPr>
              <w:pStyle w:val="Pa12"/>
              <w:rPr>
                <w:rFonts w:asciiTheme="minorHAnsi" w:hAnsiTheme="minorHAnsi" w:cs="Rambla Libro"/>
                <w:color w:val="000000"/>
                <w:sz w:val="22"/>
                <w:szCs w:val="22"/>
              </w:rPr>
            </w:pPr>
            <w:r>
              <w:rPr>
                <w:rFonts w:asciiTheme="minorHAnsi" w:hAnsiTheme="minorHAnsi" w:cs="Rambla Libro"/>
                <w:color w:val="000000"/>
                <w:sz w:val="22"/>
                <w:szCs w:val="22"/>
              </w:rPr>
              <w:t xml:space="preserve">Área Programática </w:t>
            </w:r>
            <w:r w:rsidR="00EB44E2" w:rsidRPr="00A319C0">
              <w:rPr>
                <w:rFonts w:asciiTheme="minorHAnsi" w:hAnsiTheme="minorHAnsi" w:cs="Rambla Libro"/>
                <w:color w:val="000000"/>
                <w:sz w:val="22"/>
                <w:szCs w:val="22"/>
              </w:rPr>
              <w:t xml:space="preserve">2. Asuntos Legislativos </w:t>
            </w:r>
          </w:p>
        </w:tc>
      </w:tr>
      <w:tr w:rsidR="00EB44E2" w14:paraId="428D41EE" w14:textId="77777777" w:rsidTr="00C802F6">
        <w:trPr>
          <w:cnfStyle w:val="000000100000" w:firstRow="0" w:lastRow="0" w:firstColumn="0" w:lastColumn="0" w:oddVBand="0" w:evenVBand="0" w:oddHBand="1" w:evenHBand="0" w:firstRowFirstColumn="0" w:firstRowLastColumn="0" w:lastRowFirstColumn="0" w:lastRowLastColumn="0"/>
          <w:trHeight w:val="95"/>
        </w:trPr>
        <w:tc>
          <w:tcPr>
            <w:cnfStyle w:val="000010000000" w:firstRow="0" w:lastRow="0" w:firstColumn="0" w:lastColumn="0" w:oddVBand="1" w:evenVBand="0" w:oddHBand="0" w:evenHBand="0" w:firstRowFirstColumn="0" w:firstRowLastColumn="0" w:lastRowFirstColumn="0" w:lastRowLastColumn="0"/>
            <w:tcW w:w="5000" w:type="pct"/>
          </w:tcPr>
          <w:p w14:paraId="6EA81DD4" w14:textId="77777777" w:rsidR="00EB44E2" w:rsidRPr="00A319C0" w:rsidRDefault="00405C04" w:rsidP="000A0396">
            <w:pPr>
              <w:pStyle w:val="Pa12"/>
              <w:rPr>
                <w:rFonts w:asciiTheme="minorHAnsi" w:hAnsiTheme="minorHAnsi" w:cs="Rambla Libro"/>
                <w:color w:val="000000"/>
                <w:sz w:val="22"/>
                <w:szCs w:val="22"/>
              </w:rPr>
            </w:pPr>
            <w:r>
              <w:rPr>
                <w:rFonts w:asciiTheme="minorHAnsi" w:hAnsiTheme="minorHAnsi" w:cs="Rambla Libro"/>
                <w:color w:val="000000"/>
                <w:sz w:val="22"/>
                <w:szCs w:val="22"/>
              </w:rPr>
              <w:t xml:space="preserve">Área Programática </w:t>
            </w:r>
            <w:r w:rsidR="00EB44E2" w:rsidRPr="00A319C0">
              <w:rPr>
                <w:rFonts w:asciiTheme="minorHAnsi" w:hAnsiTheme="minorHAnsi" w:cs="Rambla Libro"/>
                <w:color w:val="000000"/>
                <w:sz w:val="22"/>
                <w:szCs w:val="22"/>
              </w:rPr>
              <w:t xml:space="preserve">3. Ciencia, Tecnología e Innovación </w:t>
            </w:r>
          </w:p>
        </w:tc>
      </w:tr>
      <w:tr w:rsidR="00EB44E2" w14:paraId="383558A5" w14:textId="77777777" w:rsidTr="00C802F6">
        <w:trPr>
          <w:trHeight w:val="95"/>
        </w:trPr>
        <w:tc>
          <w:tcPr>
            <w:cnfStyle w:val="000010000000" w:firstRow="0" w:lastRow="0" w:firstColumn="0" w:lastColumn="0" w:oddVBand="1" w:evenVBand="0" w:oddHBand="0" w:evenHBand="0" w:firstRowFirstColumn="0" w:firstRowLastColumn="0" w:lastRowFirstColumn="0" w:lastRowLastColumn="0"/>
            <w:tcW w:w="5000" w:type="pct"/>
          </w:tcPr>
          <w:p w14:paraId="4027214D" w14:textId="77777777" w:rsidR="00EB44E2" w:rsidRPr="00A319C0" w:rsidRDefault="00405C04" w:rsidP="000A0396">
            <w:pPr>
              <w:pStyle w:val="Pa12"/>
              <w:rPr>
                <w:rFonts w:asciiTheme="minorHAnsi" w:hAnsiTheme="minorHAnsi" w:cs="Rambla Libro"/>
                <w:color w:val="000000"/>
                <w:sz w:val="22"/>
                <w:szCs w:val="22"/>
              </w:rPr>
            </w:pPr>
            <w:r>
              <w:rPr>
                <w:rFonts w:asciiTheme="minorHAnsi" w:hAnsiTheme="minorHAnsi" w:cs="Rambla Libro"/>
                <w:color w:val="000000"/>
                <w:sz w:val="22"/>
                <w:szCs w:val="22"/>
              </w:rPr>
              <w:t xml:space="preserve">Área Programática </w:t>
            </w:r>
            <w:r w:rsidR="00EB44E2" w:rsidRPr="00A319C0">
              <w:rPr>
                <w:rFonts w:asciiTheme="minorHAnsi" w:hAnsiTheme="minorHAnsi" w:cs="Rambla Libro"/>
                <w:color w:val="000000"/>
                <w:sz w:val="22"/>
                <w:szCs w:val="22"/>
              </w:rPr>
              <w:t xml:space="preserve">4. Control y Transparencia </w:t>
            </w:r>
          </w:p>
        </w:tc>
      </w:tr>
      <w:tr w:rsidR="00EB44E2" w14:paraId="376C0A1B" w14:textId="77777777" w:rsidTr="00C802F6">
        <w:trPr>
          <w:cnfStyle w:val="000000100000" w:firstRow="0" w:lastRow="0" w:firstColumn="0" w:lastColumn="0" w:oddVBand="0" w:evenVBand="0" w:oddHBand="1" w:evenHBand="0" w:firstRowFirstColumn="0" w:firstRowLastColumn="0" w:lastRowFirstColumn="0" w:lastRowLastColumn="0"/>
          <w:trHeight w:val="95"/>
        </w:trPr>
        <w:tc>
          <w:tcPr>
            <w:cnfStyle w:val="000010000000" w:firstRow="0" w:lastRow="0" w:firstColumn="0" w:lastColumn="0" w:oddVBand="1" w:evenVBand="0" w:oddHBand="0" w:evenHBand="0" w:firstRowFirstColumn="0" w:firstRowLastColumn="0" w:lastRowFirstColumn="0" w:lastRowLastColumn="0"/>
            <w:tcW w:w="5000" w:type="pct"/>
          </w:tcPr>
          <w:p w14:paraId="71968B54" w14:textId="77777777" w:rsidR="00EB44E2" w:rsidRPr="00A319C0" w:rsidRDefault="00405C04" w:rsidP="000A0396">
            <w:pPr>
              <w:pStyle w:val="Pa12"/>
              <w:rPr>
                <w:rFonts w:asciiTheme="minorHAnsi" w:hAnsiTheme="minorHAnsi" w:cs="Rambla Libro"/>
                <w:color w:val="000000"/>
                <w:sz w:val="22"/>
                <w:szCs w:val="22"/>
              </w:rPr>
            </w:pPr>
            <w:r>
              <w:rPr>
                <w:rFonts w:asciiTheme="minorHAnsi" w:hAnsiTheme="minorHAnsi" w:cs="Rambla Libro"/>
                <w:color w:val="000000"/>
                <w:sz w:val="22"/>
                <w:szCs w:val="22"/>
              </w:rPr>
              <w:t xml:space="preserve">Área Programática </w:t>
            </w:r>
            <w:r w:rsidR="00EB44E2" w:rsidRPr="00A319C0">
              <w:rPr>
                <w:rFonts w:asciiTheme="minorHAnsi" w:hAnsiTheme="minorHAnsi" w:cs="Rambla Libro"/>
                <w:color w:val="000000"/>
                <w:sz w:val="22"/>
                <w:szCs w:val="22"/>
              </w:rPr>
              <w:t xml:space="preserve">5. Cultura y Deporte </w:t>
            </w:r>
          </w:p>
        </w:tc>
      </w:tr>
      <w:tr w:rsidR="00EB44E2" w14:paraId="2D60554B" w14:textId="77777777" w:rsidTr="00C802F6">
        <w:trPr>
          <w:trHeight w:val="95"/>
        </w:trPr>
        <w:tc>
          <w:tcPr>
            <w:cnfStyle w:val="000010000000" w:firstRow="0" w:lastRow="0" w:firstColumn="0" w:lastColumn="0" w:oddVBand="1" w:evenVBand="0" w:oddHBand="0" w:evenHBand="0" w:firstRowFirstColumn="0" w:firstRowLastColumn="0" w:lastRowFirstColumn="0" w:lastRowLastColumn="0"/>
            <w:tcW w:w="5000" w:type="pct"/>
          </w:tcPr>
          <w:p w14:paraId="46CC7990" w14:textId="77777777" w:rsidR="00EB44E2" w:rsidRPr="00A319C0" w:rsidRDefault="00405C04" w:rsidP="000A0396">
            <w:pPr>
              <w:pStyle w:val="Pa12"/>
              <w:rPr>
                <w:rFonts w:asciiTheme="minorHAnsi" w:hAnsiTheme="minorHAnsi" w:cs="Rambla Libro"/>
                <w:color w:val="000000"/>
                <w:sz w:val="22"/>
                <w:szCs w:val="22"/>
              </w:rPr>
            </w:pPr>
            <w:r>
              <w:rPr>
                <w:rFonts w:asciiTheme="minorHAnsi" w:hAnsiTheme="minorHAnsi" w:cs="Rambla Libro"/>
                <w:color w:val="000000"/>
                <w:sz w:val="22"/>
                <w:szCs w:val="22"/>
              </w:rPr>
              <w:t xml:space="preserve">Área Programática </w:t>
            </w:r>
            <w:r w:rsidR="00EB44E2" w:rsidRPr="00A319C0">
              <w:rPr>
                <w:rFonts w:asciiTheme="minorHAnsi" w:hAnsiTheme="minorHAnsi" w:cs="Rambla Libro"/>
                <w:color w:val="000000"/>
                <w:sz w:val="22"/>
                <w:szCs w:val="22"/>
              </w:rPr>
              <w:t xml:space="preserve">6. Defensa Nacional </w:t>
            </w:r>
          </w:p>
        </w:tc>
      </w:tr>
      <w:tr w:rsidR="00EB44E2" w14:paraId="2BECABB9" w14:textId="77777777" w:rsidTr="00C802F6">
        <w:trPr>
          <w:cnfStyle w:val="000000100000" w:firstRow="0" w:lastRow="0" w:firstColumn="0" w:lastColumn="0" w:oddVBand="0" w:evenVBand="0" w:oddHBand="1" w:evenHBand="0" w:firstRowFirstColumn="0" w:firstRowLastColumn="0" w:lastRowFirstColumn="0" w:lastRowLastColumn="0"/>
          <w:trHeight w:val="95"/>
        </w:trPr>
        <w:tc>
          <w:tcPr>
            <w:cnfStyle w:val="000010000000" w:firstRow="0" w:lastRow="0" w:firstColumn="0" w:lastColumn="0" w:oddVBand="1" w:evenVBand="0" w:oddHBand="0" w:evenHBand="0" w:firstRowFirstColumn="0" w:firstRowLastColumn="0" w:lastRowFirstColumn="0" w:lastRowLastColumn="0"/>
            <w:tcW w:w="5000" w:type="pct"/>
          </w:tcPr>
          <w:p w14:paraId="63B4D8C3" w14:textId="77777777" w:rsidR="00EB44E2" w:rsidRPr="00A319C0" w:rsidRDefault="00405C04" w:rsidP="000A0396">
            <w:pPr>
              <w:pStyle w:val="Pa12"/>
              <w:rPr>
                <w:rFonts w:asciiTheme="minorHAnsi" w:hAnsiTheme="minorHAnsi" w:cs="Rambla Libro"/>
                <w:color w:val="000000"/>
                <w:sz w:val="22"/>
                <w:szCs w:val="22"/>
              </w:rPr>
            </w:pPr>
            <w:r>
              <w:rPr>
                <w:rFonts w:asciiTheme="minorHAnsi" w:hAnsiTheme="minorHAnsi" w:cs="Rambla Libro"/>
                <w:color w:val="000000"/>
                <w:sz w:val="22"/>
                <w:szCs w:val="22"/>
              </w:rPr>
              <w:t xml:space="preserve">Área Programática </w:t>
            </w:r>
            <w:r w:rsidR="00EB44E2" w:rsidRPr="00A319C0">
              <w:rPr>
                <w:rFonts w:asciiTheme="minorHAnsi" w:hAnsiTheme="minorHAnsi" w:cs="Rambla Libro"/>
                <w:color w:val="000000"/>
                <w:sz w:val="22"/>
                <w:szCs w:val="22"/>
              </w:rPr>
              <w:t xml:space="preserve">7. Desarrollo Productivo </w:t>
            </w:r>
          </w:p>
        </w:tc>
      </w:tr>
      <w:tr w:rsidR="00EB44E2" w14:paraId="4A0E4F46" w14:textId="77777777" w:rsidTr="00C802F6">
        <w:trPr>
          <w:trHeight w:val="95"/>
        </w:trPr>
        <w:tc>
          <w:tcPr>
            <w:cnfStyle w:val="000010000000" w:firstRow="0" w:lastRow="0" w:firstColumn="0" w:lastColumn="0" w:oddVBand="1" w:evenVBand="0" w:oddHBand="0" w:evenHBand="0" w:firstRowFirstColumn="0" w:firstRowLastColumn="0" w:lastRowFirstColumn="0" w:lastRowLastColumn="0"/>
            <w:tcW w:w="5000" w:type="pct"/>
          </w:tcPr>
          <w:p w14:paraId="3184ADDA" w14:textId="77777777" w:rsidR="00EB44E2" w:rsidRPr="00A319C0" w:rsidRDefault="00405C04" w:rsidP="000A0396">
            <w:pPr>
              <w:pStyle w:val="Pa12"/>
              <w:rPr>
                <w:rFonts w:asciiTheme="minorHAnsi" w:hAnsiTheme="minorHAnsi" w:cs="Rambla Libro"/>
                <w:color w:val="000000"/>
                <w:sz w:val="22"/>
                <w:szCs w:val="22"/>
              </w:rPr>
            </w:pPr>
            <w:r>
              <w:rPr>
                <w:rFonts w:asciiTheme="minorHAnsi" w:hAnsiTheme="minorHAnsi" w:cs="Rambla Libro"/>
                <w:color w:val="000000"/>
                <w:sz w:val="22"/>
                <w:szCs w:val="22"/>
              </w:rPr>
              <w:t xml:space="preserve">Área Programática </w:t>
            </w:r>
            <w:r w:rsidR="00EB44E2" w:rsidRPr="00A319C0">
              <w:rPr>
                <w:rFonts w:asciiTheme="minorHAnsi" w:hAnsiTheme="minorHAnsi" w:cs="Rambla Libro"/>
                <w:color w:val="000000"/>
                <w:sz w:val="22"/>
                <w:szCs w:val="22"/>
              </w:rPr>
              <w:t xml:space="preserve">8. Educación </w:t>
            </w:r>
          </w:p>
        </w:tc>
      </w:tr>
      <w:tr w:rsidR="00EB44E2" w14:paraId="10108A7C" w14:textId="77777777" w:rsidTr="00C802F6">
        <w:trPr>
          <w:cnfStyle w:val="000000100000" w:firstRow="0" w:lastRow="0" w:firstColumn="0" w:lastColumn="0" w:oddVBand="0" w:evenVBand="0" w:oddHBand="1" w:evenHBand="0" w:firstRowFirstColumn="0" w:firstRowLastColumn="0" w:lastRowFirstColumn="0" w:lastRowLastColumn="0"/>
          <w:trHeight w:val="95"/>
        </w:trPr>
        <w:tc>
          <w:tcPr>
            <w:cnfStyle w:val="000010000000" w:firstRow="0" w:lastRow="0" w:firstColumn="0" w:lastColumn="0" w:oddVBand="1" w:evenVBand="0" w:oddHBand="0" w:evenHBand="0" w:firstRowFirstColumn="0" w:firstRowLastColumn="0" w:lastRowFirstColumn="0" w:lastRowLastColumn="0"/>
            <w:tcW w:w="5000" w:type="pct"/>
          </w:tcPr>
          <w:p w14:paraId="22040A6C" w14:textId="77777777" w:rsidR="00EB44E2" w:rsidRPr="00A319C0" w:rsidRDefault="00405C04" w:rsidP="000A0396">
            <w:pPr>
              <w:pStyle w:val="Pa12"/>
              <w:rPr>
                <w:rFonts w:asciiTheme="minorHAnsi" w:hAnsiTheme="minorHAnsi" w:cs="Rambla Libro"/>
                <w:color w:val="000000"/>
                <w:sz w:val="22"/>
                <w:szCs w:val="22"/>
              </w:rPr>
            </w:pPr>
            <w:r>
              <w:rPr>
                <w:rFonts w:asciiTheme="minorHAnsi" w:hAnsiTheme="minorHAnsi" w:cs="Rambla Libro"/>
                <w:color w:val="000000"/>
                <w:sz w:val="22"/>
                <w:szCs w:val="22"/>
              </w:rPr>
              <w:t xml:space="preserve">Área Programática </w:t>
            </w:r>
            <w:r w:rsidR="00EB44E2" w:rsidRPr="00A319C0">
              <w:rPr>
                <w:rFonts w:asciiTheme="minorHAnsi" w:hAnsiTheme="minorHAnsi" w:cs="Rambla Libro"/>
                <w:color w:val="000000"/>
                <w:sz w:val="22"/>
                <w:szCs w:val="22"/>
              </w:rPr>
              <w:t xml:space="preserve">9. Infraestructura, Transporte y Comunicaciones </w:t>
            </w:r>
          </w:p>
        </w:tc>
      </w:tr>
      <w:tr w:rsidR="00EB44E2" w14:paraId="61BEF75A" w14:textId="77777777" w:rsidTr="00C802F6">
        <w:trPr>
          <w:trHeight w:val="95"/>
        </w:trPr>
        <w:tc>
          <w:tcPr>
            <w:cnfStyle w:val="000010000000" w:firstRow="0" w:lastRow="0" w:firstColumn="0" w:lastColumn="0" w:oddVBand="1" w:evenVBand="0" w:oddHBand="0" w:evenHBand="0" w:firstRowFirstColumn="0" w:firstRowLastColumn="0" w:lastRowFirstColumn="0" w:lastRowLastColumn="0"/>
            <w:tcW w:w="5000" w:type="pct"/>
          </w:tcPr>
          <w:p w14:paraId="659D61D4" w14:textId="77777777" w:rsidR="00EB44E2" w:rsidRPr="00A319C0" w:rsidRDefault="00405C04" w:rsidP="000A0396">
            <w:pPr>
              <w:pStyle w:val="Pa12"/>
              <w:rPr>
                <w:rFonts w:asciiTheme="minorHAnsi" w:hAnsiTheme="minorHAnsi" w:cs="Rambla Libro"/>
                <w:color w:val="000000"/>
                <w:sz w:val="22"/>
                <w:szCs w:val="22"/>
              </w:rPr>
            </w:pPr>
            <w:r>
              <w:rPr>
                <w:rFonts w:asciiTheme="minorHAnsi" w:hAnsiTheme="minorHAnsi" w:cs="Rambla Libro"/>
                <w:color w:val="000000"/>
                <w:sz w:val="22"/>
                <w:szCs w:val="22"/>
              </w:rPr>
              <w:t xml:space="preserve">Área Programática </w:t>
            </w:r>
            <w:r w:rsidR="00EB44E2" w:rsidRPr="00A319C0">
              <w:rPr>
                <w:rFonts w:asciiTheme="minorHAnsi" w:hAnsiTheme="minorHAnsi" w:cs="Rambla Libro"/>
                <w:color w:val="000000"/>
                <w:sz w:val="22"/>
                <w:szCs w:val="22"/>
              </w:rPr>
              <w:t xml:space="preserve">10. Medio Ambiente y Recursos Naturales </w:t>
            </w:r>
          </w:p>
        </w:tc>
      </w:tr>
      <w:tr w:rsidR="00EB44E2" w14:paraId="6356A8B2" w14:textId="77777777" w:rsidTr="00C802F6">
        <w:trPr>
          <w:cnfStyle w:val="000000100000" w:firstRow="0" w:lastRow="0" w:firstColumn="0" w:lastColumn="0" w:oddVBand="0" w:evenVBand="0" w:oddHBand="1" w:evenHBand="0" w:firstRowFirstColumn="0" w:firstRowLastColumn="0" w:lastRowFirstColumn="0" w:lastRowLastColumn="0"/>
          <w:trHeight w:val="95"/>
        </w:trPr>
        <w:tc>
          <w:tcPr>
            <w:cnfStyle w:val="000010000000" w:firstRow="0" w:lastRow="0" w:firstColumn="0" w:lastColumn="0" w:oddVBand="1" w:evenVBand="0" w:oddHBand="0" w:evenHBand="0" w:firstRowFirstColumn="0" w:firstRowLastColumn="0" w:lastRowFirstColumn="0" w:lastRowLastColumn="0"/>
            <w:tcW w:w="5000" w:type="pct"/>
          </w:tcPr>
          <w:p w14:paraId="762422C4" w14:textId="77777777" w:rsidR="00EB44E2" w:rsidRPr="00A319C0" w:rsidRDefault="00405C04" w:rsidP="000A0396">
            <w:pPr>
              <w:pStyle w:val="Pa12"/>
              <w:rPr>
                <w:rFonts w:asciiTheme="minorHAnsi" w:hAnsiTheme="minorHAnsi" w:cs="Rambla Libro"/>
                <w:color w:val="000000"/>
                <w:sz w:val="22"/>
                <w:szCs w:val="22"/>
              </w:rPr>
            </w:pPr>
            <w:r>
              <w:rPr>
                <w:rFonts w:asciiTheme="minorHAnsi" w:hAnsiTheme="minorHAnsi" w:cs="Rambla Libro"/>
                <w:color w:val="000000"/>
                <w:sz w:val="22"/>
                <w:szCs w:val="22"/>
              </w:rPr>
              <w:t xml:space="preserve">Área Programática </w:t>
            </w:r>
            <w:r w:rsidR="00EB44E2" w:rsidRPr="00A319C0">
              <w:rPr>
                <w:rFonts w:asciiTheme="minorHAnsi" w:hAnsiTheme="minorHAnsi" w:cs="Rambla Libro"/>
                <w:color w:val="000000"/>
                <w:sz w:val="22"/>
                <w:szCs w:val="22"/>
              </w:rPr>
              <w:t xml:space="preserve">11. Protección y Seguridad Social </w:t>
            </w:r>
          </w:p>
        </w:tc>
      </w:tr>
      <w:tr w:rsidR="00EB44E2" w14:paraId="290FA9EA" w14:textId="77777777" w:rsidTr="00C802F6">
        <w:trPr>
          <w:trHeight w:val="95"/>
        </w:trPr>
        <w:tc>
          <w:tcPr>
            <w:cnfStyle w:val="000010000000" w:firstRow="0" w:lastRow="0" w:firstColumn="0" w:lastColumn="0" w:oddVBand="1" w:evenVBand="0" w:oddHBand="0" w:evenHBand="0" w:firstRowFirstColumn="0" w:firstRowLastColumn="0" w:lastRowFirstColumn="0" w:lastRowLastColumn="0"/>
            <w:tcW w:w="5000" w:type="pct"/>
          </w:tcPr>
          <w:p w14:paraId="0E92994C" w14:textId="77777777" w:rsidR="00EB44E2" w:rsidRPr="00A319C0" w:rsidRDefault="00405C04" w:rsidP="000A0396">
            <w:pPr>
              <w:pStyle w:val="Pa12"/>
              <w:rPr>
                <w:rFonts w:asciiTheme="minorHAnsi" w:hAnsiTheme="minorHAnsi" w:cs="Rambla Libro"/>
                <w:color w:val="000000"/>
                <w:sz w:val="22"/>
                <w:szCs w:val="22"/>
              </w:rPr>
            </w:pPr>
            <w:r>
              <w:rPr>
                <w:rFonts w:asciiTheme="minorHAnsi" w:hAnsiTheme="minorHAnsi" w:cs="Rambla Libro"/>
                <w:color w:val="000000"/>
                <w:sz w:val="22"/>
                <w:szCs w:val="22"/>
              </w:rPr>
              <w:t xml:space="preserve">Área Programática </w:t>
            </w:r>
            <w:r w:rsidR="00EB44E2" w:rsidRPr="00A319C0">
              <w:rPr>
                <w:rFonts w:asciiTheme="minorHAnsi" w:hAnsiTheme="minorHAnsi" w:cs="Rambla Libro"/>
                <w:color w:val="000000"/>
                <w:sz w:val="22"/>
                <w:szCs w:val="22"/>
              </w:rPr>
              <w:t xml:space="preserve">12. Registros e Información Oficial </w:t>
            </w:r>
          </w:p>
        </w:tc>
      </w:tr>
      <w:tr w:rsidR="00EB44E2" w14:paraId="799EE951" w14:textId="77777777" w:rsidTr="00C802F6">
        <w:trPr>
          <w:cnfStyle w:val="000000100000" w:firstRow="0" w:lastRow="0" w:firstColumn="0" w:lastColumn="0" w:oddVBand="0" w:evenVBand="0" w:oddHBand="1" w:evenHBand="0" w:firstRowFirstColumn="0" w:firstRowLastColumn="0" w:lastRowFirstColumn="0" w:lastRowLastColumn="0"/>
          <w:trHeight w:val="95"/>
        </w:trPr>
        <w:tc>
          <w:tcPr>
            <w:cnfStyle w:val="000010000000" w:firstRow="0" w:lastRow="0" w:firstColumn="0" w:lastColumn="0" w:oddVBand="1" w:evenVBand="0" w:oddHBand="0" w:evenHBand="0" w:firstRowFirstColumn="0" w:firstRowLastColumn="0" w:lastRowFirstColumn="0" w:lastRowLastColumn="0"/>
            <w:tcW w:w="5000" w:type="pct"/>
          </w:tcPr>
          <w:p w14:paraId="58F63D6A" w14:textId="77777777" w:rsidR="00EB44E2" w:rsidRPr="00A319C0" w:rsidRDefault="00405C04" w:rsidP="000A0396">
            <w:pPr>
              <w:pStyle w:val="Pa12"/>
              <w:rPr>
                <w:rFonts w:asciiTheme="minorHAnsi" w:hAnsiTheme="minorHAnsi" w:cs="Rambla Libro"/>
                <w:color w:val="000000"/>
                <w:sz w:val="22"/>
                <w:szCs w:val="22"/>
              </w:rPr>
            </w:pPr>
            <w:r>
              <w:rPr>
                <w:rFonts w:asciiTheme="minorHAnsi" w:hAnsiTheme="minorHAnsi" w:cs="Rambla Libro"/>
                <w:color w:val="000000"/>
                <w:sz w:val="22"/>
                <w:szCs w:val="22"/>
              </w:rPr>
              <w:t xml:space="preserve">Área Programática </w:t>
            </w:r>
            <w:r w:rsidR="00EB44E2" w:rsidRPr="00A319C0">
              <w:rPr>
                <w:rFonts w:asciiTheme="minorHAnsi" w:hAnsiTheme="minorHAnsi" w:cs="Rambla Libro"/>
                <w:color w:val="000000"/>
                <w:sz w:val="22"/>
                <w:szCs w:val="22"/>
              </w:rPr>
              <w:t xml:space="preserve">13. Salud </w:t>
            </w:r>
          </w:p>
        </w:tc>
      </w:tr>
      <w:tr w:rsidR="00EB44E2" w14:paraId="51E44108" w14:textId="77777777" w:rsidTr="00C802F6">
        <w:trPr>
          <w:trHeight w:val="95"/>
        </w:trPr>
        <w:tc>
          <w:tcPr>
            <w:cnfStyle w:val="000010000000" w:firstRow="0" w:lastRow="0" w:firstColumn="0" w:lastColumn="0" w:oddVBand="1" w:evenVBand="0" w:oddHBand="0" w:evenHBand="0" w:firstRowFirstColumn="0" w:firstRowLastColumn="0" w:lastRowFirstColumn="0" w:lastRowLastColumn="0"/>
            <w:tcW w:w="5000" w:type="pct"/>
          </w:tcPr>
          <w:p w14:paraId="6069B226" w14:textId="77777777" w:rsidR="00EB44E2" w:rsidRPr="00A319C0" w:rsidRDefault="00405C04" w:rsidP="000A0396">
            <w:pPr>
              <w:pStyle w:val="Pa12"/>
              <w:rPr>
                <w:rFonts w:asciiTheme="minorHAnsi" w:hAnsiTheme="minorHAnsi" w:cs="Rambla Libro"/>
                <w:color w:val="000000"/>
                <w:sz w:val="22"/>
                <w:szCs w:val="22"/>
              </w:rPr>
            </w:pPr>
            <w:r>
              <w:rPr>
                <w:rFonts w:asciiTheme="minorHAnsi" w:hAnsiTheme="minorHAnsi" w:cs="Rambla Libro"/>
                <w:color w:val="000000"/>
                <w:sz w:val="22"/>
                <w:szCs w:val="22"/>
              </w:rPr>
              <w:t xml:space="preserve">Área Programática </w:t>
            </w:r>
            <w:r w:rsidR="00EB44E2" w:rsidRPr="00A319C0">
              <w:rPr>
                <w:rFonts w:asciiTheme="minorHAnsi" w:hAnsiTheme="minorHAnsi" w:cs="Rambla Libro"/>
                <w:color w:val="000000"/>
                <w:sz w:val="22"/>
                <w:szCs w:val="22"/>
              </w:rPr>
              <w:t xml:space="preserve">14. Seguridad Pública </w:t>
            </w:r>
          </w:p>
        </w:tc>
      </w:tr>
      <w:tr w:rsidR="00EB44E2" w14:paraId="56875BCE" w14:textId="77777777" w:rsidTr="00C802F6">
        <w:trPr>
          <w:cnfStyle w:val="000000100000" w:firstRow="0" w:lastRow="0" w:firstColumn="0" w:lastColumn="0" w:oddVBand="0" w:evenVBand="0" w:oddHBand="1" w:evenHBand="0" w:firstRowFirstColumn="0" w:firstRowLastColumn="0" w:lastRowFirstColumn="0" w:lastRowLastColumn="0"/>
          <w:trHeight w:val="95"/>
        </w:trPr>
        <w:tc>
          <w:tcPr>
            <w:cnfStyle w:val="000010000000" w:firstRow="0" w:lastRow="0" w:firstColumn="0" w:lastColumn="0" w:oddVBand="1" w:evenVBand="0" w:oddHBand="0" w:evenHBand="0" w:firstRowFirstColumn="0" w:firstRowLastColumn="0" w:lastRowFirstColumn="0" w:lastRowLastColumn="0"/>
            <w:tcW w:w="5000" w:type="pct"/>
          </w:tcPr>
          <w:p w14:paraId="3C9FB8F5" w14:textId="77777777" w:rsidR="00EB44E2" w:rsidRPr="00A319C0" w:rsidRDefault="00405C04" w:rsidP="000A0396">
            <w:pPr>
              <w:pStyle w:val="Pa12"/>
              <w:rPr>
                <w:rFonts w:asciiTheme="minorHAnsi" w:hAnsiTheme="minorHAnsi" w:cs="Rambla Libro"/>
                <w:color w:val="000000"/>
                <w:sz w:val="22"/>
                <w:szCs w:val="22"/>
              </w:rPr>
            </w:pPr>
            <w:r>
              <w:rPr>
                <w:rFonts w:asciiTheme="minorHAnsi" w:hAnsiTheme="minorHAnsi" w:cs="Rambla Libro"/>
                <w:color w:val="000000"/>
                <w:sz w:val="22"/>
                <w:szCs w:val="22"/>
              </w:rPr>
              <w:t xml:space="preserve">Área Programática </w:t>
            </w:r>
            <w:r w:rsidR="00EB44E2" w:rsidRPr="00A319C0">
              <w:rPr>
                <w:rFonts w:asciiTheme="minorHAnsi" w:hAnsiTheme="minorHAnsi" w:cs="Rambla Libro"/>
                <w:color w:val="000000"/>
                <w:sz w:val="22"/>
                <w:szCs w:val="22"/>
              </w:rPr>
              <w:t xml:space="preserve">15. Servicios Públicos Generales </w:t>
            </w:r>
          </w:p>
        </w:tc>
      </w:tr>
      <w:tr w:rsidR="00EB44E2" w14:paraId="3BD95D7E" w14:textId="77777777" w:rsidTr="00C802F6">
        <w:trPr>
          <w:trHeight w:val="95"/>
        </w:trPr>
        <w:tc>
          <w:tcPr>
            <w:cnfStyle w:val="000010000000" w:firstRow="0" w:lastRow="0" w:firstColumn="0" w:lastColumn="0" w:oddVBand="1" w:evenVBand="0" w:oddHBand="0" w:evenHBand="0" w:firstRowFirstColumn="0" w:firstRowLastColumn="0" w:lastRowFirstColumn="0" w:lastRowLastColumn="0"/>
            <w:tcW w:w="5000" w:type="pct"/>
          </w:tcPr>
          <w:p w14:paraId="21D9CEA5" w14:textId="77777777" w:rsidR="00EB44E2" w:rsidRPr="00A319C0" w:rsidRDefault="00405C04" w:rsidP="000A0396">
            <w:pPr>
              <w:pStyle w:val="Pa12"/>
              <w:rPr>
                <w:rFonts w:asciiTheme="minorHAnsi" w:hAnsiTheme="minorHAnsi" w:cs="Rambla Libro"/>
                <w:color w:val="000000"/>
                <w:sz w:val="22"/>
                <w:szCs w:val="22"/>
              </w:rPr>
            </w:pPr>
            <w:r>
              <w:rPr>
                <w:rFonts w:asciiTheme="minorHAnsi" w:hAnsiTheme="minorHAnsi" w:cs="Rambla Libro"/>
                <w:color w:val="000000"/>
                <w:sz w:val="22"/>
                <w:szCs w:val="22"/>
              </w:rPr>
              <w:t xml:space="preserve">Área Programática </w:t>
            </w:r>
            <w:r w:rsidR="00EB44E2" w:rsidRPr="00A319C0">
              <w:rPr>
                <w:rFonts w:asciiTheme="minorHAnsi" w:hAnsiTheme="minorHAnsi" w:cs="Rambla Libro"/>
                <w:color w:val="000000"/>
                <w:sz w:val="22"/>
                <w:szCs w:val="22"/>
              </w:rPr>
              <w:t xml:space="preserve">16. Trabajo y Empleo </w:t>
            </w:r>
          </w:p>
        </w:tc>
      </w:tr>
      <w:tr w:rsidR="00EB44E2" w14:paraId="05BD6CD7" w14:textId="77777777" w:rsidTr="00C802F6">
        <w:trPr>
          <w:cnfStyle w:val="000000100000" w:firstRow="0" w:lastRow="0" w:firstColumn="0" w:lastColumn="0" w:oddVBand="0" w:evenVBand="0" w:oddHBand="1" w:evenHBand="0" w:firstRowFirstColumn="0" w:firstRowLastColumn="0" w:lastRowFirstColumn="0" w:lastRowLastColumn="0"/>
          <w:trHeight w:val="95"/>
        </w:trPr>
        <w:tc>
          <w:tcPr>
            <w:cnfStyle w:val="000010000000" w:firstRow="0" w:lastRow="0" w:firstColumn="0" w:lastColumn="0" w:oddVBand="1" w:evenVBand="0" w:oddHBand="0" w:evenHBand="0" w:firstRowFirstColumn="0" w:firstRowLastColumn="0" w:lastRowFirstColumn="0" w:lastRowLastColumn="0"/>
            <w:tcW w:w="5000" w:type="pct"/>
          </w:tcPr>
          <w:p w14:paraId="1CE4848A" w14:textId="77777777" w:rsidR="00EB44E2" w:rsidRPr="00A319C0" w:rsidRDefault="00405C04" w:rsidP="000A0396">
            <w:pPr>
              <w:pStyle w:val="Pa12"/>
              <w:rPr>
                <w:rFonts w:asciiTheme="minorHAnsi" w:hAnsiTheme="minorHAnsi" w:cs="Rambla Libro"/>
                <w:color w:val="000000"/>
                <w:sz w:val="22"/>
                <w:szCs w:val="22"/>
              </w:rPr>
            </w:pPr>
            <w:r>
              <w:rPr>
                <w:rFonts w:asciiTheme="minorHAnsi" w:hAnsiTheme="minorHAnsi" w:cs="Rambla Libro"/>
                <w:color w:val="000000"/>
                <w:sz w:val="22"/>
                <w:szCs w:val="22"/>
              </w:rPr>
              <w:t xml:space="preserve">Área Programática </w:t>
            </w:r>
            <w:r w:rsidR="00EB44E2" w:rsidRPr="00A319C0">
              <w:rPr>
                <w:rFonts w:asciiTheme="minorHAnsi" w:hAnsiTheme="minorHAnsi" w:cs="Rambla Libro"/>
                <w:color w:val="000000"/>
                <w:sz w:val="22"/>
                <w:szCs w:val="22"/>
              </w:rPr>
              <w:t xml:space="preserve">17. Vivienda </w:t>
            </w:r>
          </w:p>
        </w:tc>
      </w:tr>
      <w:tr w:rsidR="00EB44E2" w14:paraId="14592A77" w14:textId="77777777" w:rsidTr="00C802F6">
        <w:trPr>
          <w:trHeight w:val="95"/>
        </w:trPr>
        <w:tc>
          <w:tcPr>
            <w:cnfStyle w:val="000010000000" w:firstRow="0" w:lastRow="0" w:firstColumn="0" w:lastColumn="0" w:oddVBand="1" w:evenVBand="0" w:oddHBand="0" w:evenHBand="0" w:firstRowFirstColumn="0" w:firstRowLastColumn="0" w:lastRowFirstColumn="0" w:lastRowLastColumn="0"/>
            <w:tcW w:w="5000" w:type="pct"/>
          </w:tcPr>
          <w:p w14:paraId="4F052B41" w14:textId="77777777" w:rsidR="00EB44E2" w:rsidRPr="00A319C0" w:rsidRDefault="00405C04" w:rsidP="000A0396">
            <w:pPr>
              <w:pStyle w:val="Pa12"/>
              <w:rPr>
                <w:rFonts w:asciiTheme="minorHAnsi" w:hAnsiTheme="minorHAnsi" w:cs="Rambla Libro"/>
                <w:color w:val="000000"/>
                <w:sz w:val="22"/>
                <w:szCs w:val="22"/>
              </w:rPr>
            </w:pPr>
            <w:r>
              <w:rPr>
                <w:rFonts w:asciiTheme="minorHAnsi" w:hAnsiTheme="minorHAnsi" w:cs="Rambla Libro"/>
                <w:color w:val="000000"/>
                <w:sz w:val="22"/>
                <w:szCs w:val="22"/>
              </w:rPr>
              <w:t xml:space="preserve">Área Programática </w:t>
            </w:r>
            <w:r w:rsidR="00EB44E2" w:rsidRPr="00A319C0">
              <w:rPr>
                <w:rFonts w:asciiTheme="minorHAnsi" w:hAnsiTheme="minorHAnsi" w:cs="Rambla Libro"/>
                <w:color w:val="000000"/>
                <w:sz w:val="22"/>
                <w:szCs w:val="22"/>
              </w:rPr>
              <w:t xml:space="preserve">18. Energía </w:t>
            </w:r>
          </w:p>
        </w:tc>
      </w:tr>
    </w:tbl>
    <w:p w14:paraId="3BBEE681" w14:textId="77777777" w:rsidR="00EB44E2" w:rsidRDefault="00EB44E2" w:rsidP="009B13AB">
      <w:pPr>
        <w:rPr>
          <w:rFonts w:cs="Rambla Libro"/>
          <w:color w:val="000000"/>
        </w:rPr>
      </w:pPr>
    </w:p>
    <w:p w14:paraId="259DC373" w14:textId="77777777" w:rsidR="00BC7634" w:rsidRDefault="00BC7634" w:rsidP="00B46083">
      <w:pPr>
        <w:spacing w:line="269" w:lineRule="auto"/>
        <w:rPr>
          <w:rFonts w:cs="Rambla Libro"/>
          <w:color w:val="000000"/>
        </w:rPr>
      </w:pPr>
      <w:r>
        <w:rPr>
          <w:rFonts w:cs="Rambla Libro"/>
          <w:color w:val="000000"/>
        </w:rPr>
        <w:t>Las áreas programáticas contienen programas presupuestales, cada uno de los cuales se define sobre la base del objetivo último que se pretende lograr mediante la aplicación de los recursos que lo componen.</w:t>
      </w:r>
      <w:r w:rsidRPr="00EB44E2">
        <w:t xml:space="preserve"> </w:t>
      </w:r>
      <w:r>
        <w:rPr>
          <w:rFonts w:cs="Rambla Libro"/>
          <w:color w:val="000000"/>
        </w:rPr>
        <w:t>Se admite además que ese objetivo de programa sea compartido por varias instituciones. Lograrlos es responsabilidad de todos los organismos que contribuyen. Siguiendo esta lógica, los objetivos de programa se desagregan en objetivos de Inciso y estos en objetivos de unidades ejecutoras. De esta manera se facilita la visualización sectorial de los problemas y oportunidades que motivan la acción de gobierno, y se resalta la necesidad de esfuerzos coordinados mediante responsabilidades alineadas y compartidas</w:t>
      </w:r>
      <w:r w:rsidR="00412533">
        <w:rPr>
          <w:rFonts w:cs="Rambla Libro"/>
          <w:color w:val="000000"/>
        </w:rPr>
        <w:t>.</w:t>
      </w:r>
    </w:p>
    <w:p w14:paraId="305FCB6D" w14:textId="77777777" w:rsidR="00BC7634" w:rsidRDefault="00BC7634" w:rsidP="00B46083">
      <w:pPr>
        <w:spacing w:line="269" w:lineRule="auto"/>
        <w:rPr>
          <w:rFonts w:cs="Rambla Libro"/>
          <w:color w:val="000000"/>
        </w:rPr>
      </w:pPr>
      <w:r>
        <w:rPr>
          <w:rFonts w:cs="Rambla Libro"/>
          <w:color w:val="000000"/>
        </w:rPr>
        <w:t>Este esquema presupuestal incluye además indicadores cuantitativos que permiten monitorear el estado de situación y el logro de objetivos en cada uno de esos niveles de responsabilidad</w:t>
      </w:r>
      <w:r w:rsidR="00412533">
        <w:rPr>
          <w:rFonts w:cs="Rambla Libro"/>
          <w:color w:val="000000"/>
        </w:rPr>
        <w:t>.</w:t>
      </w:r>
    </w:p>
    <w:p w14:paraId="660BD45C" w14:textId="657E7577" w:rsidR="00753491" w:rsidRDefault="00753491" w:rsidP="007B5A38">
      <w:pPr>
        <w:pStyle w:val="Epgrafe"/>
        <w:keepNext/>
      </w:pPr>
      <w:r>
        <w:t xml:space="preserve">Tabla </w:t>
      </w:r>
      <w:r>
        <w:fldChar w:fldCharType="begin"/>
      </w:r>
      <w:r>
        <w:instrText xml:space="preserve"> SEQ Tabla \* ARABIC </w:instrText>
      </w:r>
      <w:r>
        <w:fldChar w:fldCharType="separate"/>
      </w:r>
      <w:r w:rsidR="00833D51">
        <w:rPr>
          <w:noProof/>
        </w:rPr>
        <w:t>2</w:t>
      </w:r>
      <w:r>
        <w:fldChar w:fldCharType="end"/>
      </w:r>
      <w:r>
        <w:t xml:space="preserve"> - Esquema presupuestal</w:t>
      </w:r>
    </w:p>
    <w:p w14:paraId="6EDEBD5D" w14:textId="77777777" w:rsidR="00BC7634" w:rsidRPr="009B13AB" w:rsidRDefault="00BC7634" w:rsidP="009B13AB">
      <w:pPr>
        <w:rPr>
          <w:rFonts w:cs="Rambla Libro"/>
          <w:color w:val="000000"/>
        </w:rPr>
      </w:pPr>
      <w:r>
        <w:rPr>
          <w:rFonts w:cs="Rambla Libro"/>
          <w:noProof/>
          <w:color w:val="000000"/>
          <w:lang w:eastAsia="es-UY"/>
        </w:rPr>
        <w:drawing>
          <wp:inline distT="0" distB="0" distL="0" distR="0" wp14:anchorId="71A05EAC" wp14:editId="305CD35D">
            <wp:extent cx="5400040" cy="2190115"/>
            <wp:effectExtent l="0" t="0" r="0" b="63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a Presupuestal.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190115"/>
                    </a:xfrm>
                    <a:prstGeom prst="rect">
                      <a:avLst/>
                    </a:prstGeom>
                  </pic:spPr>
                </pic:pic>
              </a:graphicData>
            </a:graphic>
          </wp:inline>
        </w:drawing>
      </w:r>
    </w:p>
    <w:p w14:paraId="721380DC" w14:textId="77777777" w:rsidR="00E238C1" w:rsidRDefault="00E238C1" w:rsidP="007B5A38">
      <w:pPr>
        <w:pStyle w:val="Ttulo2"/>
        <w:numPr>
          <w:ilvl w:val="1"/>
          <w:numId w:val="9"/>
        </w:numPr>
        <w:ind w:left="567"/>
      </w:pPr>
      <w:r>
        <w:lastRenderedPageBreak/>
        <w:t>Vínculo conceptual entre ODS y Áreas Programáticas</w:t>
      </w:r>
    </w:p>
    <w:p w14:paraId="71435D4C" w14:textId="77777777" w:rsidR="009B13AB" w:rsidRDefault="009B13AB" w:rsidP="00B46083">
      <w:pPr>
        <w:spacing w:line="269" w:lineRule="auto"/>
        <w:rPr>
          <w:rFonts w:cs="Rambla Libro"/>
          <w:color w:val="000000"/>
        </w:rPr>
      </w:pPr>
      <w:r>
        <w:rPr>
          <w:rFonts w:cs="Rambla Libro"/>
          <w:color w:val="000000"/>
        </w:rPr>
        <w:t>Para la rendición de cuentas 2016</w:t>
      </w:r>
      <w:r w:rsidR="00B0257D">
        <w:rPr>
          <w:rFonts w:cs="Rambla Libro"/>
          <w:color w:val="000000"/>
        </w:rPr>
        <w:t>,</w:t>
      </w:r>
      <w:r>
        <w:rPr>
          <w:rFonts w:cs="Rambla Libro"/>
          <w:color w:val="000000"/>
        </w:rPr>
        <w:t xml:space="preserve"> dentro</w:t>
      </w:r>
      <w:r w:rsidRPr="009B13AB">
        <w:rPr>
          <w:rFonts w:cs="Rambla Libro"/>
          <w:color w:val="000000"/>
        </w:rPr>
        <w:t xml:space="preserve"> del informe de Contexto y Resultados</w:t>
      </w:r>
      <w:r>
        <w:rPr>
          <w:rFonts w:cs="Rambla Libro"/>
          <w:color w:val="000000"/>
        </w:rPr>
        <w:t xml:space="preserve"> presentado por la Oficina de Planeamiento y Presupuesto</w:t>
      </w:r>
      <w:r w:rsidR="00B0257D">
        <w:rPr>
          <w:rFonts w:cs="Rambla Libro"/>
          <w:color w:val="000000"/>
        </w:rPr>
        <w:t>,</w:t>
      </w:r>
      <w:r w:rsidR="009B7DCD">
        <w:rPr>
          <w:rFonts w:cs="Rambla Libro"/>
          <w:color w:val="000000"/>
        </w:rPr>
        <w:t xml:space="preserve"> se profundizó</w:t>
      </w:r>
      <w:r w:rsidRPr="009B13AB">
        <w:rPr>
          <w:rFonts w:cs="Rambla Libro"/>
          <w:color w:val="000000"/>
        </w:rPr>
        <w:t xml:space="preserve"> el vínculo entre los ODS y el Presupuesto Nacional, identificando en particular las metas de los ODS que se encuentran comprendidas dentro del alcance de cada Área Programática.</w:t>
      </w:r>
      <w:r w:rsidR="005544E7">
        <w:rPr>
          <w:rFonts w:cs="Rambla Libro"/>
          <w:color w:val="000000"/>
        </w:rPr>
        <w:t xml:space="preserve"> Este trabajo se vio plasmado en una matriz de relaciones entre Áreas Programáticas y ODS:</w:t>
      </w:r>
    </w:p>
    <w:p w14:paraId="405F23AC" w14:textId="0127A61D" w:rsidR="00753491" w:rsidRDefault="00753491" w:rsidP="007B5A38">
      <w:pPr>
        <w:pStyle w:val="Epgrafe"/>
        <w:keepNext/>
      </w:pPr>
      <w:r>
        <w:t xml:space="preserve">Tabla </w:t>
      </w:r>
      <w:r>
        <w:fldChar w:fldCharType="begin"/>
      </w:r>
      <w:r>
        <w:instrText xml:space="preserve"> SEQ Tabla \* ARABIC </w:instrText>
      </w:r>
      <w:r>
        <w:fldChar w:fldCharType="separate"/>
      </w:r>
      <w:r w:rsidR="00833D51">
        <w:rPr>
          <w:noProof/>
        </w:rPr>
        <w:t>3</w:t>
      </w:r>
      <w:r>
        <w:fldChar w:fldCharType="end"/>
      </w:r>
      <w:r>
        <w:t xml:space="preserve"> - Matriz de relaciones entre Áreas Programáticas y ODS</w:t>
      </w:r>
    </w:p>
    <w:p w14:paraId="1CE84917" w14:textId="77777777" w:rsidR="00A319C0" w:rsidRDefault="00A319C0" w:rsidP="009B13AB">
      <w:pPr>
        <w:rPr>
          <w:rFonts w:cs="Rambla Libro"/>
          <w:color w:val="000000"/>
        </w:rPr>
      </w:pPr>
      <w:r>
        <w:rPr>
          <w:rFonts w:cs="Rambla Libro"/>
          <w:noProof/>
          <w:color w:val="000000"/>
          <w:lang w:eastAsia="es-UY"/>
        </w:rPr>
        <w:drawing>
          <wp:inline distT="0" distB="0" distL="0" distR="0" wp14:anchorId="74255965" wp14:editId="57E363E3">
            <wp:extent cx="5750062" cy="4961866"/>
            <wp:effectExtent l="0" t="0" r="317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nculo AP ODS.PNG"/>
                    <pic:cNvPicPr/>
                  </pic:nvPicPr>
                  <pic:blipFill>
                    <a:blip r:embed="rId10">
                      <a:extLst>
                        <a:ext uri="{28A0092B-C50C-407E-A947-70E740481C1C}">
                          <a14:useLocalDpi xmlns:a14="http://schemas.microsoft.com/office/drawing/2010/main" val="0"/>
                        </a:ext>
                      </a:extLst>
                    </a:blip>
                    <a:stretch>
                      <a:fillRect/>
                    </a:stretch>
                  </pic:blipFill>
                  <pic:spPr>
                    <a:xfrm>
                      <a:off x="0" y="0"/>
                      <a:ext cx="5754600" cy="4965782"/>
                    </a:xfrm>
                    <a:prstGeom prst="rect">
                      <a:avLst/>
                    </a:prstGeom>
                  </pic:spPr>
                </pic:pic>
              </a:graphicData>
            </a:graphic>
          </wp:inline>
        </w:drawing>
      </w:r>
    </w:p>
    <w:p w14:paraId="1648B566" w14:textId="77777777" w:rsidR="00206B4E" w:rsidRDefault="008E6D1D" w:rsidP="00B46083">
      <w:pPr>
        <w:autoSpaceDE w:val="0"/>
        <w:autoSpaceDN w:val="0"/>
        <w:adjustRightInd w:val="0"/>
        <w:spacing w:line="269" w:lineRule="auto"/>
        <w:rPr>
          <w:rFonts w:cs="Rambla Libro"/>
          <w:color w:val="000000"/>
        </w:rPr>
      </w:pPr>
      <w:r>
        <w:rPr>
          <w:rFonts w:cs="Rambla Libro"/>
          <w:color w:val="000000"/>
        </w:rPr>
        <w:t>Dicho esfuerzo</w:t>
      </w:r>
      <w:r w:rsidR="00206B4E" w:rsidRPr="00206B4E">
        <w:rPr>
          <w:rFonts w:cs="Rambla Libro"/>
          <w:color w:val="000000"/>
        </w:rPr>
        <w:t xml:space="preserve"> represent</w:t>
      </w:r>
      <w:r w:rsidR="00206B4E">
        <w:rPr>
          <w:rFonts w:cs="Rambla Libro"/>
          <w:color w:val="000000"/>
        </w:rPr>
        <w:t>ó</w:t>
      </w:r>
      <w:r w:rsidR="00206B4E" w:rsidRPr="00206B4E">
        <w:rPr>
          <w:rFonts w:cs="Rambla Libro"/>
          <w:color w:val="000000"/>
        </w:rPr>
        <w:t xml:space="preserve"> un pilar fundamental de ca</w:t>
      </w:r>
      <w:r w:rsidR="00B807FF">
        <w:rPr>
          <w:rFonts w:cs="Rambla Libro"/>
          <w:color w:val="000000"/>
        </w:rPr>
        <w:t>ra a la incorporación de los ODS</w:t>
      </w:r>
      <w:r w:rsidR="00206B4E" w:rsidRPr="00206B4E">
        <w:rPr>
          <w:rFonts w:cs="Rambla Libro"/>
          <w:color w:val="000000"/>
        </w:rPr>
        <w:t xml:space="preserve"> en los mecanismos</w:t>
      </w:r>
      <w:r w:rsidR="00206B4E">
        <w:rPr>
          <w:rFonts w:cs="Rambla Libro"/>
          <w:color w:val="000000"/>
        </w:rPr>
        <w:t xml:space="preserve"> </w:t>
      </w:r>
      <w:r w:rsidR="00206B4E" w:rsidRPr="00206B4E">
        <w:rPr>
          <w:rFonts w:cs="Rambla Libro"/>
          <w:color w:val="000000"/>
        </w:rPr>
        <w:t>institucionales</w:t>
      </w:r>
      <w:r w:rsidR="00206B4E">
        <w:rPr>
          <w:rFonts w:cs="Rambla Libro"/>
          <w:color w:val="000000"/>
        </w:rPr>
        <w:t xml:space="preserve"> </w:t>
      </w:r>
      <w:r w:rsidR="000757E3">
        <w:rPr>
          <w:rFonts w:cs="Rambla Libro"/>
          <w:color w:val="000000"/>
        </w:rPr>
        <w:t>del sector público uruguayo</w:t>
      </w:r>
      <w:r w:rsidR="00206B4E" w:rsidRPr="00206B4E">
        <w:rPr>
          <w:rFonts w:cs="Rambla Libro"/>
          <w:color w:val="000000"/>
        </w:rPr>
        <w:t xml:space="preserve"> </w:t>
      </w:r>
      <w:r w:rsidR="000757E3">
        <w:rPr>
          <w:rFonts w:cs="Rambla Libro"/>
          <w:color w:val="000000"/>
        </w:rPr>
        <w:t>y</w:t>
      </w:r>
      <w:r w:rsidR="00206B4E" w:rsidRPr="00206B4E">
        <w:rPr>
          <w:rFonts w:cs="Rambla Libro"/>
          <w:color w:val="000000"/>
        </w:rPr>
        <w:t xml:space="preserve"> </w:t>
      </w:r>
      <w:r w:rsidR="00B0257D">
        <w:rPr>
          <w:rFonts w:cs="Rambla Libro"/>
          <w:color w:val="000000"/>
        </w:rPr>
        <w:t>buscó</w:t>
      </w:r>
      <w:r w:rsidR="00B807FF">
        <w:rPr>
          <w:rFonts w:cs="Rambla Libro"/>
          <w:color w:val="000000"/>
        </w:rPr>
        <w:t xml:space="preserve"> sentar las bases para realizar, en el mediano plazo,</w:t>
      </w:r>
      <w:r w:rsidR="00206B4E">
        <w:rPr>
          <w:rFonts w:cs="Rambla Libro"/>
          <w:color w:val="000000"/>
        </w:rPr>
        <w:t xml:space="preserve"> una primera</w:t>
      </w:r>
      <w:r w:rsidR="00206B4E" w:rsidRPr="00206B4E">
        <w:rPr>
          <w:rFonts w:cs="Rambla Libro"/>
          <w:color w:val="000000"/>
        </w:rPr>
        <w:t xml:space="preserve"> estima</w:t>
      </w:r>
      <w:r w:rsidR="00206B4E">
        <w:rPr>
          <w:rFonts w:cs="Rambla Libro"/>
          <w:color w:val="000000"/>
        </w:rPr>
        <w:t>ción</w:t>
      </w:r>
      <w:r w:rsidR="00206B4E" w:rsidRPr="00206B4E">
        <w:rPr>
          <w:rFonts w:cs="Rambla Libro"/>
          <w:color w:val="000000"/>
        </w:rPr>
        <w:t xml:space="preserve"> </w:t>
      </w:r>
      <w:r w:rsidR="00206B4E">
        <w:rPr>
          <w:rFonts w:cs="Rambla Libro"/>
          <w:color w:val="000000"/>
        </w:rPr>
        <w:t>d</w:t>
      </w:r>
      <w:r w:rsidR="00206B4E" w:rsidRPr="00206B4E">
        <w:rPr>
          <w:rFonts w:cs="Rambla Libro"/>
          <w:color w:val="000000"/>
        </w:rPr>
        <w:t>el gasto asociado</w:t>
      </w:r>
      <w:r w:rsidR="00930F88">
        <w:rPr>
          <w:rFonts w:cs="Rambla Libro"/>
          <w:color w:val="000000"/>
        </w:rPr>
        <w:t xml:space="preserve"> al logro de</w:t>
      </w:r>
      <w:r w:rsidR="00206B4E" w:rsidRPr="00206B4E">
        <w:rPr>
          <w:rFonts w:cs="Rambla Libro"/>
          <w:color w:val="000000"/>
        </w:rPr>
        <w:t xml:space="preserve"> cada </w:t>
      </w:r>
      <w:r w:rsidR="00B807FF">
        <w:rPr>
          <w:rFonts w:cs="Rambla Libro"/>
          <w:color w:val="000000"/>
        </w:rPr>
        <w:t>uno de ellos</w:t>
      </w:r>
      <w:r w:rsidR="00206B4E" w:rsidRPr="00206B4E">
        <w:rPr>
          <w:rFonts w:cs="Rambla Libro"/>
          <w:color w:val="000000"/>
        </w:rPr>
        <w:t xml:space="preserve">. </w:t>
      </w:r>
      <w:r w:rsidR="00B807FF">
        <w:rPr>
          <w:rFonts w:cs="Rambla Libro"/>
          <w:color w:val="000000"/>
        </w:rPr>
        <w:t>E</w:t>
      </w:r>
      <w:r w:rsidR="00930F88">
        <w:rPr>
          <w:rFonts w:cs="Rambla Libro"/>
          <w:color w:val="000000"/>
        </w:rPr>
        <w:t>sto</w:t>
      </w:r>
      <w:r w:rsidR="00206B4E" w:rsidRPr="00206B4E">
        <w:rPr>
          <w:rFonts w:cs="Rambla Libro"/>
          <w:color w:val="000000"/>
        </w:rPr>
        <w:t xml:space="preserve"> debería a su vez </w:t>
      </w:r>
      <w:r w:rsidR="00B807FF">
        <w:rPr>
          <w:rFonts w:cs="Rambla Libro"/>
          <w:color w:val="000000"/>
        </w:rPr>
        <w:t>estimular en el futuro</w:t>
      </w:r>
      <w:r w:rsidR="00206B4E">
        <w:rPr>
          <w:rFonts w:cs="Rambla Libro"/>
          <w:color w:val="000000"/>
        </w:rPr>
        <w:t xml:space="preserve"> </w:t>
      </w:r>
      <w:r w:rsidR="000757E3">
        <w:rPr>
          <w:rFonts w:cs="Rambla Libro"/>
          <w:color w:val="000000"/>
        </w:rPr>
        <w:t>la incorporación de los ODS</w:t>
      </w:r>
      <w:r w:rsidR="00206B4E" w:rsidRPr="00206B4E">
        <w:rPr>
          <w:rFonts w:cs="Rambla Libro"/>
          <w:color w:val="000000"/>
        </w:rPr>
        <w:t xml:space="preserve"> en las planificaciones estratégicas de cada organismo público involucrado</w:t>
      </w:r>
      <w:r w:rsidR="00B807FF">
        <w:rPr>
          <w:rFonts w:cs="Rambla Libro"/>
          <w:color w:val="000000"/>
        </w:rPr>
        <w:t xml:space="preserve"> en el Presupuesto Nacional</w:t>
      </w:r>
      <w:r w:rsidR="00206B4E" w:rsidRPr="00206B4E">
        <w:rPr>
          <w:rFonts w:cs="Rambla Libro"/>
          <w:color w:val="000000"/>
        </w:rPr>
        <w:t>.</w:t>
      </w:r>
    </w:p>
    <w:p w14:paraId="7E63CCD0" w14:textId="2B77BE47" w:rsidR="000B33D5" w:rsidRDefault="008E6D1D" w:rsidP="00B46083">
      <w:pPr>
        <w:spacing w:line="269" w:lineRule="auto"/>
        <w:rPr>
          <w:rFonts w:cs="Rambla Libro"/>
          <w:color w:val="000000"/>
        </w:rPr>
      </w:pPr>
      <w:r>
        <w:rPr>
          <w:rFonts w:cs="Rambla Libro"/>
          <w:color w:val="000000"/>
        </w:rPr>
        <w:t>Para la R</w:t>
      </w:r>
      <w:r w:rsidR="000B33D5">
        <w:rPr>
          <w:rFonts w:cs="Rambla Libro"/>
          <w:color w:val="000000"/>
        </w:rPr>
        <w:t xml:space="preserve">endición de </w:t>
      </w:r>
      <w:r w:rsidR="009B7DCD">
        <w:rPr>
          <w:rFonts w:cs="Rambla Libro"/>
          <w:color w:val="000000"/>
        </w:rPr>
        <w:t>Cuentas del Año 2017 se presentó</w:t>
      </w:r>
      <w:r w:rsidR="000B33D5">
        <w:rPr>
          <w:rFonts w:cs="Rambla Libro"/>
          <w:color w:val="000000"/>
        </w:rPr>
        <w:t xml:space="preserve"> una</w:t>
      </w:r>
      <w:r w:rsidR="00201A84">
        <w:rPr>
          <w:rFonts w:cs="Rambla Libro"/>
          <w:color w:val="000000"/>
        </w:rPr>
        <w:t xml:space="preserve"> nueva</w:t>
      </w:r>
      <w:r w:rsidR="000B33D5">
        <w:rPr>
          <w:rFonts w:cs="Rambla Libro"/>
          <w:color w:val="000000"/>
        </w:rPr>
        <w:t xml:space="preserve"> visualización del</w:t>
      </w:r>
      <w:r>
        <w:rPr>
          <w:rFonts w:cs="Rambla Libro"/>
          <w:color w:val="000000"/>
        </w:rPr>
        <w:t xml:space="preserve"> Presupuesto N</w:t>
      </w:r>
      <w:r w:rsidR="00833D51">
        <w:rPr>
          <w:rFonts w:cs="Rambla Libro"/>
          <w:color w:val="000000"/>
        </w:rPr>
        <w:t>acional que buscó</w:t>
      </w:r>
      <w:r w:rsidR="000B33D5">
        <w:rPr>
          <w:rFonts w:cs="Rambla Libro"/>
          <w:color w:val="000000"/>
        </w:rPr>
        <w:t xml:space="preserve"> corregir al</w:t>
      </w:r>
      <w:r>
        <w:rPr>
          <w:rFonts w:cs="Rambla Libro"/>
          <w:color w:val="000000"/>
        </w:rPr>
        <w:t>gunos problemas que se observan</w:t>
      </w:r>
      <w:r w:rsidR="000B33D5">
        <w:rPr>
          <w:rFonts w:cs="Rambla Libro"/>
          <w:color w:val="000000"/>
        </w:rPr>
        <w:t xml:space="preserve"> </w:t>
      </w:r>
      <w:r w:rsidR="00201A84">
        <w:rPr>
          <w:rFonts w:cs="Rambla Libro"/>
          <w:color w:val="000000"/>
        </w:rPr>
        <w:t>en la estructura vigente.</w:t>
      </w:r>
    </w:p>
    <w:p w14:paraId="55B541B2" w14:textId="77777777" w:rsidR="00201A84" w:rsidRDefault="00201A84" w:rsidP="00B46083">
      <w:pPr>
        <w:spacing w:line="269" w:lineRule="auto"/>
        <w:rPr>
          <w:rFonts w:cs="Rambla Libro"/>
          <w:color w:val="000000"/>
        </w:rPr>
      </w:pPr>
      <w:r>
        <w:rPr>
          <w:rFonts w:cs="Rambla Libro"/>
          <w:color w:val="000000"/>
        </w:rPr>
        <w:t>En particular se trabajó con la idea de:</w:t>
      </w:r>
    </w:p>
    <w:p w14:paraId="25A62681" w14:textId="77777777" w:rsidR="00201A84" w:rsidRDefault="00201A84" w:rsidP="00B46083">
      <w:pPr>
        <w:spacing w:line="269" w:lineRule="auto"/>
        <w:rPr>
          <w:rFonts w:cs="Rambla Libro"/>
          <w:color w:val="000000"/>
        </w:rPr>
      </w:pPr>
      <w:r>
        <w:t>• C</w:t>
      </w:r>
      <w:r>
        <w:rPr>
          <w:rFonts w:cs="Rambla Libro"/>
          <w:color w:val="000000"/>
        </w:rPr>
        <w:t xml:space="preserve">ontar con información más desagregada </w:t>
      </w:r>
      <w:r w:rsidR="00585C95">
        <w:rPr>
          <w:rFonts w:cs="Rambla Libro"/>
          <w:color w:val="000000"/>
        </w:rPr>
        <w:t>en el primer nivel de agrupador de gasto público</w:t>
      </w:r>
      <w:r w:rsidR="0080766C">
        <w:rPr>
          <w:rFonts w:cs="Rambla Libro"/>
          <w:color w:val="000000"/>
        </w:rPr>
        <w:t xml:space="preserve"> (AP)</w:t>
      </w:r>
      <w:r>
        <w:rPr>
          <w:rFonts w:cs="Rambla Libro"/>
          <w:color w:val="000000"/>
        </w:rPr>
        <w:t>;</w:t>
      </w:r>
    </w:p>
    <w:p w14:paraId="721FD85C" w14:textId="77777777" w:rsidR="00201A84" w:rsidRDefault="00201A84" w:rsidP="00B46083">
      <w:pPr>
        <w:spacing w:line="269" w:lineRule="auto"/>
        <w:rPr>
          <w:rFonts w:cs="Rambla Libro"/>
          <w:color w:val="000000"/>
        </w:rPr>
      </w:pPr>
      <w:r>
        <w:lastRenderedPageBreak/>
        <w:t>• M</w:t>
      </w:r>
      <w:r>
        <w:rPr>
          <w:rFonts w:cs="Rambla Libro"/>
          <w:color w:val="000000"/>
        </w:rPr>
        <w:t>ejorar la consistencia entre planificación y presupuesto, lo que i</w:t>
      </w:r>
      <w:r w:rsidR="00781A8E">
        <w:rPr>
          <w:rFonts w:cs="Rambla Libro"/>
          <w:color w:val="000000"/>
        </w:rPr>
        <w:t>mplicó</w:t>
      </w:r>
      <w:r>
        <w:rPr>
          <w:rFonts w:cs="Rambla Libro"/>
          <w:color w:val="000000"/>
        </w:rPr>
        <w:t xml:space="preserve"> corregir algunas asignaciones (conceptos del gasto) que, por la naturaleza del fin </w:t>
      </w:r>
      <w:r w:rsidR="00781A8E">
        <w:rPr>
          <w:rFonts w:cs="Rambla Libro"/>
          <w:color w:val="000000"/>
        </w:rPr>
        <w:t>q</w:t>
      </w:r>
      <w:r w:rsidR="00B0257D">
        <w:rPr>
          <w:rFonts w:cs="Rambla Libro"/>
          <w:color w:val="000000"/>
        </w:rPr>
        <w:t>ue persigue su ejecución, está</w:t>
      </w:r>
      <w:r w:rsidR="00781A8E">
        <w:rPr>
          <w:rFonts w:cs="Rambla Libro"/>
          <w:color w:val="000000"/>
        </w:rPr>
        <w:t>n</w:t>
      </w:r>
      <w:r>
        <w:rPr>
          <w:rFonts w:cs="Rambla Libro"/>
          <w:color w:val="000000"/>
        </w:rPr>
        <w:t xml:space="preserve"> imputadas en programas que no son los adecuados</w:t>
      </w:r>
      <w:r w:rsidR="00781A8E">
        <w:rPr>
          <w:rFonts w:cs="Rambla Libro"/>
          <w:color w:val="000000"/>
        </w:rPr>
        <w:t>.</w:t>
      </w:r>
    </w:p>
    <w:p w14:paraId="4ABC35C9" w14:textId="77777777" w:rsidR="00BC7634" w:rsidRDefault="00781A8E" w:rsidP="00B46083">
      <w:pPr>
        <w:spacing w:line="269" w:lineRule="auto"/>
        <w:rPr>
          <w:rFonts w:cs="Rambla Libro"/>
          <w:color w:val="000000"/>
        </w:rPr>
      </w:pPr>
      <w:r>
        <w:rPr>
          <w:rFonts w:cs="Rambla Libro"/>
          <w:color w:val="000000"/>
        </w:rPr>
        <w:t>Así fueron definidas</w:t>
      </w:r>
      <w:r w:rsidR="00585C95">
        <w:rPr>
          <w:rFonts w:cs="Rambla Libro"/>
          <w:color w:val="000000"/>
        </w:rPr>
        <w:t>, a partir de la desagregación de algunas Área Programática</w:t>
      </w:r>
      <w:r w:rsidR="005544E7">
        <w:rPr>
          <w:rFonts w:cs="Rambla Libro"/>
          <w:color w:val="000000"/>
        </w:rPr>
        <w:t>s</w:t>
      </w:r>
      <w:r w:rsidR="00B0257D">
        <w:rPr>
          <w:rFonts w:cs="Rambla Libro"/>
          <w:color w:val="000000"/>
        </w:rPr>
        <w:t>,</w:t>
      </w:r>
      <w:r>
        <w:rPr>
          <w:rFonts w:cs="Rambla Libro"/>
          <w:color w:val="000000"/>
        </w:rPr>
        <w:t xml:space="preserve"> 22 </w:t>
      </w:r>
      <w:r w:rsidR="00585C95">
        <w:rPr>
          <w:rFonts w:cs="Rambla Libro"/>
          <w:color w:val="000000"/>
        </w:rPr>
        <w:t>Prioridades P</w:t>
      </w:r>
      <w:r>
        <w:rPr>
          <w:rFonts w:cs="Rambla Libro"/>
          <w:color w:val="000000"/>
        </w:rPr>
        <w:t>resupuestales</w:t>
      </w:r>
      <w:r w:rsidR="005544E7">
        <w:rPr>
          <w:rFonts w:cs="Rambla Libro"/>
          <w:color w:val="000000"/>
        </w:rPr>
        <w:t>,</w:t>
      </w:r>
      <w:r>
        <w:rPr>
          <w:rFonts w:cs="Rambla Libro"/>
          <w:color w:val="000000"/>
        </w:rPr>
        <w:t xml:space="preserve"> y se redistribuyeron</w:t>
      </w:r>
      <w:r w:rsidR="00585C95">
        <w:rPr>
          <w:rFonts w:cs="Rambla Libro"/>
          <w:color w:val="000000"/>
        </w:rPr>
        <w:t xml:space="preserve"> algunas</w:t>
      </w:r>
      <w:r>
        <w:rPr>
          <w:rFonts w:cs="Rambla Libro"/>
          <w:color w:val="000000"/>
        </w:rPr>
        <w:t xml:space="preserve"> asignaciones de los </w:t>
      </w:r>
      <w:r w:rsidR="00585C95">
        <w:rPr>
          <w:rFonts w:cs="Rambla Libro"/>
          <w:color w:val="000000"/>
        </w:rPr>
        <w:t>P</w:t>
      </w:r>
      <w:r>
        <w:rPr>
          <w:rFonts w:cs="Rambla Libro"/>
          <w:color w:val="000000"/>
        </w:rPr>
        <w:t xml:space="preserve">rogramas </w:t>
      </w:r>
      <w:r w:rsidR="00585C95">
        <w:rPr>
          <w:rFonts w:cs="Rambla Libro"/>
          <w:color w:val="000000"/>
        </w:rPr>
        <w:t>P</w:t>
      </w:r>
      <w:r>
        <w:rPr>
          <w:rFonts w:cs="Rambla Libro"/>
          <w:color w:val="000000"/>
        </w:rPr>
        <w:t xml:space="preserve">resupuestales vigentes para </w:t>
      </w:r>
      <w:r w:rsidR="00B0257D">
        <w:rPr>
          <w:rFonts w:cs="Rambla Libro"/>
          <w:color w:val="000000"/>
        </w:rPr>
        <w:t>obtener 113 s</w:t>
      </w:r>
      <w:r w:rsidR="00585C95">
        <w:rPr>
          <w:rFonts w:cs="Rambla Libro"/>
          <w:color w:val="000000"/>
        </w:rPr>
        <w:t xml:space="preserve">ubtemas </w:t>
      </w:r>
      <w:r w:rsidR="00B0257D">
        <w:rPr>
          <w:rFonts w:cs="Rambla Libro"/>
          <w:color w:val="000000"/>
        </w:rPr>
        <w:t>p</w:t>
      </w:r>
      <w:r>
        <w:rPr>
          <w:rFonts w:cs="Rambla Libro"/>
          <w:color w:val="000000"/>
        </w:rPr>
        <w:t>resupuestales.</w:t>
      </w:r>
    </w:p>
    <w:p w14:paraId="31683D4E" w14:textId="77777777" w:rsidR="00E238C1" w:rsidRDefault="00E238C1" w:rsidP="007B5A38">
      <w:pPr>
        <w:pStyle w:val="Ttulo2"/>
        <w:numPr>
          <w:ilvl w:val="1"/>
          <w:numId w:val="9"/>
        </w:numPr>
        <w:ind w:left="567"/>
      </w:pPr>
      <w:r>
        <w:t xml:space="preserve">Primera aproximación a </w:t>
      </w:r>
      <w:r w:rsidR="00BC49C0">
        <w:t xml:space="preserve">la </w:t>
      </w:r>
      <w:r>
        <w:t>distribución del presupuesto por ODS</w:t>
      </w:r>
    </w:p>
    <w:p w14:paraId="0704B8A6" w14:textId="77777777" w:rsidR="00C43089" w:rsidRDefault="00B0257D" w:rsidP="00B46083">
      <w:pPr>
        <w:spacing w:line="269" w:lineRule="auto"/>
        <w:rPr>
          <w:rFonts w:cs="Rambla Libro"/>
          <w:color w:val="000000"/>
        </w:rPr>
      </w:pPr>
      <w:r>
        <w:rPr>
          <w:rFonts w:cs="Rambla Libro"/>
          <w:color w:val="000000"/>
        </w:rPr>
        <w:t>A partir de esta</w:t>
      </w:r>
      <w:r w:rsidR="00BC7634">
        <w:rPr>
          <w:rFonts w:cs="Rambla Libro"/>
          <w:color w:val="000000"/>
        </w:rPr>
        <w:t xml:space="preserve"> </w:t>
      </w:r>
      <w:r>
        <w:rPr>
          <w:rFonts w:cs="Rambla Libro"/>
          <w:color w:val="000000"/>
        </w:rPr>
        <w:t xml:space="preserve">nueva visualización </w:t>
      </w:r>
      <w:r w:rsidR="00BF62BD">
        <w:rPr>
          <w:rFonts w:cs="Rambla Libro"/>
          <w:color w:val="000000"/>
        </w:rPr>
        <w:t xml:space="preserve">se generó una </w:t>
      </w:r>
      <w:r w:rsidR="00BF62BD" w:rsidRPr="00BF62BD">
        <w:rPr>
          <w:rFonts w:cs="Rambla Libro"/>
          <w:color w:val="000000"/>
        </w:rPr>
        <w:t>exploración inicial</w:t>
      </w:r>
      <w:r w:rsidR="00BF62BD">
        <w:rPr>
          <w:rFonts w:cs="Rambla Libro"/>
          <w:color w:val="000000"/>
        </w:rPr>
        <w:t xml:space="preserve"> de</w:t>
      </w:r>
      <w:r w:rsidR="00C941C8">
        <w:rPr>
          <w:rFonts w:cs="Rambla Libro"/>
          <w:color w:val="000000"/>
        </w:rPr>
        <w:t xml:space="preserve"> la</w:t>
      </w:r>
      <w:r w:rsidR="00BF62BD">
        <w:rPr>
          <w:rFonts w:cs="Rambla Libro"/>
          <w:color w:val="000000"/>
        </w:rPr>
        <w:t xml:space="preserve"> </w:t>
      </w:r>
      <w:r w:rsidR="00BF62BD" w:rsidRPr="00BF62BD">
        <w:rPr>
          <w:rFonts w:cs="Rambla Libro"/>
          <w:color w:val="000000"/>
        </w:rPr>
        <w:t>distribución cuantitativa del presupuesto por ODS</w:t>
      </w:r>
      <w:r w:rsidR="00BF62BD">
        <w:rPr>
          <w:rFonts w:cs="Rambla Libro"/>
          <w:color w:val="000000"/>
        </w:rPr>
        <w:t>.</w:t>
      </w:r>
    </w:p>
    <w:p w14:paraId="5B2C6D94" w14:textId="30DFC7C4" w:rsidR="00AD5EAF" w:rsidRDefault="002100C9" w:rsidP="007B5A38">
      <w:pPr>
        <w:spacing w:line="269" w:lineRule="auto"/>
        <w:rPr>
          <w:rFonts w:eastAsiaTheme="minorEastAsia" w:cstheme="minorHAnsi"/>
          <w:iCs/>
          <w:color w:val="000000"/>
        </w:rPr>
      </w:pPr>
      <w:r>
        <w:rPr>
          <w:rFonts w:cs="Rambla Libro"/>
          <w:color w:val="000000"/>
        </w:rPr>
        <w:t xml:space="preserve">Para ello se partió de la </w:t>
      </w:r>
      <w:r w:rsidR="005544E7">
        <w:rPr>
          <w:rFonts w:cs="Rambla Libro"/>
          <w:color w:val="000000"/>
        </w:rPr>
        <w:t>matriz</w:t>
      </w:r>
      <w:r>
        <w:rPr>
          <w:rFonts w:cs="Rambla Libro"/>
          <w:color w:val="000000"/>
        </w:rPr>
        <w:t xml:space="preserve"> </w:t>
      </w:r>
      <w:r w:rsidR="005544E7">
        <w:rPr>
          <w:rFonts w:cs="Rambla Libro"/>
          <w:color w:val="000000"/>
        </w:rPr>
        <w:t>de relaciones</w:t>
      </w:r>
      <w:r>
        <w:rPr>
          <w:rFonts w:cs="Rambla Libro"/>
          <w:color w:val="000000"/>
        </w:rPr>
        <w:t xml:space="preserve"> entre Áreas Programáticas y ODS. </w:t>
      </w:r>
      <w:r w:rsidR="005544E7">
        <w:rPr>
          <w:rFonts w:cs="Rambla Libro"/>
          <w:color w:val="000000"/>
        </w:rPr>
        <w:t xml:space="preserve">El procedimiento consistió en </w:t>
      </w:r>
      <w:r w:rsidR="00833D51">
        <w:rPr>
          <w:rFonts w:cs="Rambla Libro"/>
          <w:color w:val="000000"/>
        </w:rPr>
        <w:t>sustituir</w:t>
      </w:r>
      <w:r w:rsidR="00AD5EAF">
        <w:rPr>
          <w:rFonts w:cs="Rambla Libro"/>
          <w:color w:val="000000"/>
        </w:rPr>
        <w:t xml:space="preserve"> </w:t>
      </w:r>
      <w:r w:rsidR="005544E7">
        <w:rPr>
          <w:rFonts w:cs="Rambla Libro"/>
          <w:color w:val="000000"/>
        </w:rPr>
        <w:t xml:space="preserve">los puntos de la tabla </w:t>
      </w:r>
      <w:r w:rsidR="00AD5EAF">
        <w:rPr>
          <w:rFonts w:cs="Rambla Libro"/>
          <w:color w:val="000000"/>
        </w:rPr>
        <w:t>por multiplicadores</w:t>
      </w:r>
      <w:r w:rsidR="005544E7">
        <w:rPr>
          <w:rFonts w:cs="Rambla Libro"/>
          <w:color w:val="000000"/>
        </w:rPr>
        <w:t xml:space="preserve"> cuantitativos</w:t>
      </w:r>
      <w:r w:rsidR="00AD5EAF">
        <w:rPr>
          <w:rFonts w:cs="Rambla Libro"/>
          <w:color w:val="000000"/>
        </w:rPr>
        <w:t xml:space="preserve">, de forma de </w:t>
      </w:r>
      <w:r w:rsidR="005544E7">
        <w:rPr>
          <w:rFonts w:cs="Rambla Libro"/>
          <w:color w:val="000000"/>
        </w:rPr>
        <w:t xml:space="preserve">poder </w:t>
      </w:r>
      <w:r w:rsidR="00AD5EAF">
        <w:rPr>
          <w:rFonts w:cs="Rambla Libro"/>
          <w:color w:val="000000"/>
        </w:rPr>
        <w:t xml:space="preserve">realizar una distribución del </w:t>
      </w:r>
      <w:r w:rsidR="00AD5EAF" w:rsidRPr="00765CAF">
        <w:rPr>
          <w:rFonts w:cstheme="minorHAnsi"/>
          <w:color w:val="000000"/>
        </w:rPr>
        <w:t xml:space="preserve">presupuesto por ODS. De esta forma, la tabla fue convertida en una matriz de multiplicadores </w:t>
      </w:r>
      <m:oMath>
        <m:sSub>
          <m:sSubPr>
            <m:ctrlPr>
              <w:rPr>
                <w:rFonts w:ascii="Cambria Math" w:hAnsi="Cambria Math" w:cstheme="minorHAnsi"/>
                <w:i/>
                <w:iCs/>
                <w:color w:val="000000"/>
              </w:rPr>
            </m:ctrlPr>
          </m:sSubPr>
          <m:e>
            <m:r>
              <w:rPr>
                <w:rFonts w:ascii="Cambria Math" w:hAnsi="Cambria Math" w:cstheme="minorHAnsi"/>
                <w:color w:val="000000"/>
              </w:rPr>
              <m:t>β</m:t>
            </m:r>
          </m:e>
          <m:sub>
            <m:r>
              <w:rPr>
                <w:rFonts w:ascii="Cambria Math" w:hAnsi="Cambria Math" w:cstheme="minorHAnsi"/>
                <w:color w:val="000000"/>
              </w:rPr>
              <m:t>i,j</m:t>
            </m:r>
          </m:sub>
        </m:sSub>
      </m:oMath>
      <w:r w:rsidR="00AD5EAF" w:rsidRPr="00765CAF">
        <w:rPr>
          <w:rFonts w:eastAsiaTheme="minorEastAsia" w:cstheme="minorHAnsi"/>
          <w:iCs/>
          <w:color w:val="000000"/>
        </w:rPr>
        <w:t xml:space="preserve">, asociados al tema </w:t>
      </w:r>
      <w:r w:rsidR="00AD5EAF" w:rsidRPr="00765CAF">
        <w:rPr>
          <w:rFonts w:ascii="Cambria Math" w:eastAsiaTheme="minorEastAsia" w:hAnsi="Cambria Math" w:cs="Cambria Math"/>
          <w:iCs/>
          <w:color w:val="000000"/>
        </w:rPr>
        <w:t>𝑖</w:t>
      </w:r>
      <w:r w:rsidR="00AD5EAF" w:rsidRPr="00B006C5">
        <w:rPr>
          <w:rFonts w:eastAsiaTheme="minorEastAsia" w:cstheme="minorHAnsi"/>
          <w:iCs/>
          <w:color w:val="000000"/>
        </w:rPr>
        <w:t xml:space="preserve"> y al ODS </w:t>
      </w:r>
      <w:r w:rsidR="00AD5EAF" w:rsidRPr="00AD5EAF">
        <w:rPr>
          <w:rFonts w:ascii="Cambria Math" w:eastAsiaTheme="minorEastAsia" w:hAnsi="Cambria Math" w:cs="Cambria Math"/>
          <w:iCs/>
          <w:color w:val="000000"/>
        </w:rPr>
        <w:t>𝑗</w:t>
      </w:r>
      <w:r w:rsidR="00AD5EAF">
        <w:rPr>
          <w:rFonts w:eastAsiaTheme="minorEastAsia" w:cstheme="minorHAnsi"/>
          <w:iCs/>
          <w:color w:val="000000"/>
        </w:rPr>
        <w:t>, con la siguientes características:</w:t>
      </w:r>
    </w:p>
    <w:p w14:paraId="5274A639" w14:textId="77777777" w:rsidR="000C3D45" w:rsidRPr="007B5A38" w:rsidRDefault="00EF02FA" w:rsidP="007B5A38">
      <w:pPr>
        <w:spacing w:line="269" w:lineRule="auto"/>
        <w:rPr>
          <w:rFonts w:eastAsiaTheme="minorEastAsia" w:cstheme="minorHAnsi"/>
          <w:iCs/>
          <w:color w:val="000000"/>
        </w:rPr>
      </w:pPr>
      <m:oMathPara>
        <m:oMath>
          <m:sSub>
            <m:sSubPr>
              <m:ctrlPr>
                <w:rPr>
                  <w:rFonts w:ascii="Cambria Math" w:hAnsi="Cambria Math" w:cstheme="minorHAnsi"/>
                  <w:i/>
                  <w:iCs/>
                  <w:color w:val="000000"/>
                </w:rPr>
              </m:ctrlPr>
            </m:sSubPr>
            <m:e>
              <m:r>
                <w:rPr>
                  <w:rFonts w:ascii="Cambria Math" w:hAnsi="Cambria Math" w:cstheme="minorHAnsi"/>
                  <w:color w:val="000000"/>
                </w:rPr>
                <m:t>0≤β</m:t>
              </m:r>
            </m:e>
            <m:sub>
              <m:r>
                <w:rPr>
                  <w:rFonts w:ascii="Cambria Math" w:hAnsi="Cambria Math" w:cstheme="minorHAnsi"/>
                  <w:color w:val="000000"/>
                </w:rPr>
                <m:t>i,j</m:t>
              </m:r>
            </m:sub>
          </m:sSub>
          <m:r>
            <w:rPr>
              <w:rFonts w:ascii="Cambria Math" w:hAnsi="Cambria Math" w:cstheme="minorHAnsi"/>
              <w:color w:val="000000"/>
            </w:rPr>
            <m:t>≤1</m:t>
          </m:r>
        </m:oMath>
      </m:oMathPara>
    </w:p>
    <w:p w14:paraId="6019C248" w14:textId="77777777" w:rsidR="00AD5EAF" w:rsidRPr="00765CAF" w:rsidRDefault="00EF02FA" w:rsidP="00AD5EAF">
      <w:pPr>
        <w:spacing w:line="269" w:lineRule="auto"/>
        <w:rPr>
          <w:rFonts w:cstheme="minorHAnsi"/>
          <w:color w:val="000000"/>
        </w:rPr>
      </w:pPr>
      <m:oMathPara>
        <m:oMath>
          <m:nary>
            <m:naryPr>
              <m:chr m:val="∑"/>
              <m:ctrlPr>
                <w:rPr>
                  <w:rFonts w:ascii="Cambria Math" w:hAnsi="Cambria Math" w:cstheme="minorHAnsi"/>
                  <w:i/>
                  <w:iCs/>
                  <w:color w:val="000000"/>
                </w:rPr>
              </m:ctrlPr>
            </m:naryPr>
            <m:sub>
              <m:r>
                <w:rPr>
                  <w:rFonts w:ascii="Cambria Math" w:hAnsi="Cambria Math" w:cstheme="minorHAnsi"/>
                  <w:color w:val="000000"/>
                </w:rPr>
                <m:t>j=17</m:t>
              </m:r>
            </m:sub>
            <m:sup>
              <m:r>
                <w:rPr>
                  <w:rFonts w:ascii="Cambria Math" w:hAnsi="Cambria Math" w:cstheme="minorHAnsi"/>
                  <w:color w:val="000000"/>
                </w:rPr>
                <m:t>j=1</m:t>
              </m:r>
            </m:sup>
            <m:e>
              <m:sSub>
                <m:sSubPr>
                  <m:ctrlPr>
                    <w:rPr>
                      <w:rFonts w:ascii="Cambria Math" w:hAnsi="Cambria Math" w:cstheme="minorHAnsi"/>
                      <w:i/>
                      <w:iCs/>
                      <w:color w:val="000000"/>
                    </w:rPr>
                  </m:ctrlPr>
                </m:sSubPr>
                <m:e>
                  <m:r>
                    <w:rPr>
                      <w:rFonts w:ascii="Cambria Math" w:hAnsi="Cambria Math" w:cstheme="minorHAnsi"/>
                      <w:color w:val="000000"/>
                    </w:rPr>
                    <m:t>β</m:t>
                  </m:r>
                </m:e>
                <m:sub>
                  <m:r>
                    <w:rPr>
                      <w:rFonts w:ascii="Cambria Math" w:hAnsi="Cambria Math" w:cstheme="minorHAnsi"/>
                      <w:color w:val="000000"/>
                    </w:rPr>
                    <m:t>i,j</m:t>
                  </m:r>
                </m:sub>
              </m:sSub>
              <m:r>
                <w:rPr>
                  <w:rFonts w:ascii="Cambria Math" w:hAnsi="Cambria Math" w:cstheme="minorHAnsi"/>
                  <w:color w:val="000000"/>
                </w:rPr>
                <m:t>=1</m:t>
              </m:r>
            </m:e>
          </m:nary>
        </m:oMath>
      </m:oMathPara>
    </w:p>
    <w:p w14:paraId="2B09F5D6" w14:textId="6B7BCB0E" w:rsidR="00FB0C41" w:rsidRDefault="00672CBA" w:rsidP="00B46083">
      <w:pPr>
        <w:spacing w:line="269" w:lineRule="auto"/>
        <w:rPr>
          <w:rFonts w:cs="Rambla Libro"/>
          <w:color w:val="000000"/>
        </w:rPr>
      </w:pPr>
      <w:r>
        <w:rPr>
          <w:rFonts w:cs="Rambla Libro"/>
          <w:color w:val="000000"/>
        </w:rPr>
        <w:t xml:space="preserve">Los multiplicadores se definieron </w:t>
      </w:r>
      <w:r w:rsidR="00FB0C41">
        <w:rPr>
          <w:rFonts w:cs="Rambla Libro"/>
          <w:color w:val="000000"/>
        </w:rPr>
        <w:t xml:space="preserve">en base a dos métodos diferentes. </w:t>
      </w:r>
      <w:r w:rsidR="001662C1">
        <w:rPr>
          <w:rFonts w:cs="Rambla Libro"/>
          <w:color w:val="000000"/>
        </w:rPr>
        <w:t>En primer lugar</w:t>
      </w:r>
      <w:r w:rsidR="00FB0C41">
        <w:rPr>
          <w:rFonts w:cs="Rambla Libro"/>
          <w:color w:val="000000"/>
        </w:rPr>
        <w:t xml:space="preserve">, utilizando un </w:t>
      </w:r>
      <w:r w:rsidR="008E6D1D" w:rsidRPr="007B5A38">
        <w:rPr>
          <w:rFonts w:cs="Rambla Libro"/>
          <w:b/>
          <w:i/>
          <w:color w:val="000000"/>
        </w:rPr>
        <w:t>promedio s</w:t>
      </w:r>
      <w:r w:rsidR="00C43089" w:rsidRPr="007B5A38">
        <w:rPr>
          <w:rFonts w:cs="Rambla Libro"/>
          <w:b/>
          <w:i/>
          <w:color w:val="000000"/>
        </w:rPr>
        <w:t>imple</w:t>
      </w:r>
      <w:r w:rsidR="0046732C">
        <w:rPr>
          <w:rFonts w:cs="Rambla Libro"/>
          <w:color w:val="000000"/>
        </w:rPr>
        <w:t>, distribuye</w:t>
      </w:r>
      <w:r w:rsidR="00FB0C41">
        <w:rPr>
          <w:rFonts w:cs="Rambla Libro"/>
          <w:color w:val="000000"/>
        </w:rPr>
        <w:t>ndo</w:t>
      </w:r>
      <w:r w:rsidR="008E6D1D">
        <w:rPr>
          <w:rFonts w:cs="Rambla Libro"/>
          <w:color w:val="000000"/>
        </w:rPr>
        <w:t xml:space="preserve"> la</w:t>
      </w:r>
      <w:r w:rsidR="00D74963">
        <w:rPr>
          <w:rFonts w:cs="Rambla Libro"/>
          <w:color w:val="000000"/>
        </w:rPr>
        <w:t xml:space="preserve"> ejecución presupuestal de la prioridad presupuestal</w:t>
      </w:r>
      <w:r w:rsidR="008E6D1D">
        <w:rPr>
          <w:rFonts w:cs="Rambla Libro"/>
          <w:color w:val="000000"/>
        </w:rPr>
        <w:t xml:space="preserve"> o s</w:t>
      </w:r>
      <w:r w:rsidR="0046732C">
        <w:rPr>
          <w:rFonts w:cs="Rambla Libro"/>
          <w:color w:val="000000"/>
        </w:rPr>
        <w:t>ubtema en forma proporcional a la cantidad de relaciones encontradas con los distintos ODS</w:t>
      </w:r>
      <w:r w:rsidR="001662C1">
        <w:rPr>
          <w:rFonts w:cs="Rambla Libro"/>
          <w:color w:val="000000"/>
        </w:rPr>
        <w:t>. En segundo lugar</w:t>
      </w:r>
      <w:r w:rsidR="00FB0C41">
        <w:rPr>
          <w:rFonts w:cs="Rambla Libro"/>
          <w:color w:val="000000"/>
        </w:rPr>
        <w:t xml:space="preserve">, utilizando un </w:t>
      </w:r>
      <w:r w:rsidR="00FB0C41" w:rsidRPr="007B5A38">
        <w:rPr>
          <w:rFonts w:cs="Rambla Libro"/>
          <w:b/>
          <w:i/>
          <w:color w:val="000000"/>
        </w:rPr>
        <w:t>método normativo</w:t>
      </w:r>
      <w:r w:rsidR="003F35B4">
        <w:rPr>
          <w:rFonts w:cs="Rambla Libro"/>
          <w:color w:val="000000"/>
        </w:rPr>
        <w:t>,</w:t>
      </w:r>
      <w:r w:rsidR="0046732C">
        <w:rPr>
          <w:rFonts w:cs="Rambla Libro"/>
          <w:color w:val="000000"/>
        </w:rPr>
        <w:t xml:space="preserve"> </w:t>
      </w:r>
      <w:r w:rsidR="007B2101">
        <w:rPr>
          <w:rFonts w:cs="Rambla Libro"/>
          <w:color w:val="000000"/>
        </w:rPr>
        <w:t>fija</w:t>
      </w:r>
      <w:r w:rsidR="00FB0C41">
        <w:rPr>
          <w:rFonts w:cs="Rambla Libro"/>
          <w:color w:val="000000"/>
        </w:rPr>
        <w:t>ndo los multiplicadores</w:t>
      </w:r>
      <w:r w:rsidR="0046732C">
        <w:rPr>
          <w:rFonts w:cs="Rambla Libro"/>
          <w:color w:val="000000"/>
        </w:rPr>
        <w:t xml:space="preserve"> por los analistas</w:t>
      </w:r>
      <w:r w:rsidR="007B2101">
        <w:rPr>
          <w:rFonts w:cs="Rambla Libro"/>
          <w:color w:val="000000"/>
        </w:rPr>
        <w:t xml:space="preserve"> la distribución</w:t>
      </w:r>
      <w:r w:rsidR="0046732C">
        <w:rPr>
          <w:rFonts w:cs="Rambla Libro"/>
          <w:color w:val="000000"/>
        </w:rPr>
        <w:t xml:space="preserve"> porcent</w:t>
      </w:r>
      <w:r w:rsidR="007B2101">
        <w:rPr>
          <w:rFonts w:cs="Rambla Libro"/>
          <w:color w:val="000000"/>
        </w:rPr>
        <w:t>ual que</w:t>
      </w:r>
      <w:r w:rsidR="0046732C">
        <w:rPr>
          <w:rFonts w:cs="Rambla Libro"/>
          <w:color w:val="000000"/>
        </w:rPr>
        <w:t xml:space="preserve"> corresponde</w:t>
      </w:r>
      <w:r w:rsidR="007B2101">
        <w:rPr>
          <w:rFonts w:cs="Rambla Libro"/>
          <w:color w:val="000000"/>
        </w:rPr>
        <w:t xml:space="preserve"> de</w:t>
      </w:r>
      <w:r w:rsidR="0046732C">
        <w:rPr>
          <w:rFonts w:cs="Rambla Libro"/>
          <w:color w:val="000000"/>
        </w:rPr>
        <w:t xml:space="preserve"> la ejecución a cada uno de los ODS</w:t>
      </w:r>
      <w:r w:rsidR="007B2101">
        <w:rPr>
          <w:rFonts w:cs="Rambla Libro"/>
          <w:color w:val="000000"/>
        </w:rPr>
        <w:t xml:space="preserve"> con que se encontró una relació</w:t>
      </w:r>
      <w:r w:rsidR="0046732C">
        <w:rPr>
          <w:rFonts w:cs="Rambla Libro"/>
          <w:color w:val="000000"/>
        </w:rPr>
        <w:t>n</w:t>
      </w:r>
    </w:p>
    <w:p w14:paraId="3828E2EB" w14:textId="77777777" w:rsidR="00FB0C41" w:rsidRPr="007B5A38" w:rsidRDefault="00FB0C41" w:rsidP="007B5A38">
      <w:pPr>
        <w:pStyle w:val="Prrafodelista"/>
        <w:numPr>
          <w:ilvl w:val="0"/>
          <w:numId w:val="7"/>
        </w:numPr>
        <w:spacing w:line="269" w:lineRule="auto"/>
        <w:rPr>
          <w:rFonts w:cs="Rambla Libro"/>
          <w:b/>
          <w:color w:val="000000"/>
        </w:rPr>
      </w:pPr>
      <w:r w:rsidRPr="007B5A38">
        <w:rPr>
          <w:rFonts w:cs="Rambla Libro"/>
          <w:b/>
          <w:color w:val="000000"/>
        </w:rPr>
        <w:t>Método promedio simple:</w:t>
      </w:r>
    </w:p>
    <w:p w14:paraId="1396127D" w14:textId="34BA04F0" w:rsidR="000C3D45" w:rsidRPr="00FB0C41" w:rsidRDefault="00EF02FA" w:rsidP="007B5A38">
      <w:pPr>
        <w:numPr>
          <w:ilvl w:val="2"/>
          <w:numId w:val="7"/>
        </w:numPr>
        <w:spacing w:line="269" w:lineRule="auto"/>
        <w:ind w:left="1134"/>
        <w:rPr>
          <w:rFonts w:cs="Rambla Libro"/>
          <w:color w:val="000000"/>
        </w:rPr>
      </w:pPr>
      <m:oMath>
        <m:sSub>
          <m:sSubPr>
            <m:ctrlPr>
              <w:rPr>
                <w:rFonts w:ascii="Cambria Math" w:hAnsi="Cambria Math" w:cs="Rambla Libro"/>
                <w:i/>
                <w:iCs/>
                <w:color w:val="000000"/>
              </w:rPr>
            </m:ctrlPr>
          </m:sSubPr>
          <m:e>
            <m:r>
              <w:rPr>
                <w:rFonts w:ascii="Cambria Math" w:hAnsi="Cambria Math" w:cs="Rambla Libro"/>
                <w:color w:val="000000"/>
              </w:rPr>
              <m:t>β</m:t>
            </m:r>
          </m:e>
          <m:sub>
            <m:r>
              <w:rPr>
                <w:rFonts w:ascii="Cambria Math" w:hAnsi="Cambria Math" w:cs="Rambla Libro"/>
                <w:color w:val="000000"/>
              </w:rPr>
              <m:t>i,j</m:t>
            </m:r>
          </m:sub>
        </m:sSub>
        <m:r>
          <w:rPr>
            <w:rFonts w:ascii="Cambria Math" w:hAnsi="Cambria Math" w:cs="Rambla Libro"/>
            <w:color w:val="000000"/>
          </w:rPr>
          <m:t>=0</m:t>
        </m:r>
      </m:oMath>
      <w:r w:rsidR="00765CAF" w:rsidRPr="00FB0C41">
        <w:rPr>
          <w:rFonts w:cs="Rambla Libro"/>
          <w:color w:val="000000"/>
        </w:rPr>
        <w:t>, para aquellos casos en donde la matriz de relaciones no identific</w:t>
      </w:r>
      <w:r w:rsidR="00746C9F">
        <w:rPr>
          <w:rFonts w:cs="Rambla Libro"/>
          <w:color w:val="000000"/>
        </w:rPr>
        <w:t>ó</w:t>
      </w:r>
      <w:r w:rsidR="00765CAF" w:rsidRPr="00FB0C41">
        <w:rPr>
          <w:rFonts w:cs="Rambla Libro"/>
          <w:color w:val="000000"/>
        </w:rPr>
        <w:t xml:space="preserve"> una relación</w:t>
      </w:r>
      <w:r w:rsidR="001662C1">
        <w:rPr>
          <w:rFonts w:cs="Rambla Libro"/>
          <w:color w:val="000000"/>
        </w:rPr>
        <w:t>.</w:t>
      </w:r>
    </w:p>
    <w:p w14:paraId="7F4FF2F7" w14:textId="5F5C4194" w:rsidR="000C3D45" w:rsidRPr="00FB0C41" w:rsidRDefault="00EF02FA" w:rsidP="007B5A38">
      <w:pPr>
        <w:numPr>
          <w:ilvl w:val="2"/>
          <w:numId w:val="7"/>
        </w:numPr>
        <w:spacing w:line="269" w:lineRule="auto"/>
        <w:ind w:left="1134"/>
        <w:rPr>
          <w:rFonts w:cs="Rambla Libro"/>
          <w:color w:val="000000"/>
        </w:rPr>
      </w:pPr>
      <m:oMath>
        <m:sSub>
          <m:sSubPr>
            <m:ctrlPr>
              <w:rPr>
                <w:rFonts w:ascii="Cambria Math" w:hAnsi="Cambria Math" w:cs="Rambla Libro"/>
                <w:i/>
                <w:iCs/>
                <w:color w:val="000000"/>
              </w:rPr>
            </m:ctrlPr>
          </m:sSubPr>
          <m:e>
            <m:r>
              <w:rPr>
                <w:rFonts w:ascii="Cambria Math" w:hAnsi="Cambria Math" w:cs="Rambla Libro"/>
                <w:color w:val="000000"/>
              </w:rPr>
              <m:t>β</m:t>
            </m:r>
          </m:e>
          <m:sub>
            <m:r>
              <w:rPr>
                <w:rFonts w:ascii="Cambria Math" w:hAnsi="Cambria Math" w:cs="Rambla Libro"/>
                <w:color w:val="000000"/>
              </w:rPr>
              <m:t>i,j</m:t>
            </m:r>
          </m:sub>
        </m:sSub>
        <m:r>
          <w:rPr>
            <w:rFonts w:ascii="Cambria Math" w:hAnsi="Cambria Math" w:cs="Rambla Libro"/>
            <w:color w:val="000000"/>
          </w:rPr>
          <m:t>=1/</m:t>
        </m:r>
        <m:sSub>
          <m:sSubPr>
            <m:ctrlPr>
              <w:rPr>
                <w:rFonts w:ascii="Cambria Math" w:hAnsi="Cambria Math" w:cs="Rambla Libro"/>
                <w:i/>
                <w:iCs/>
                <w:color w:val="000000"/>
              </w:rPr>
            </m:ctrlPr>
          </m:sSubPr>
          <m:e>
            <m:r>
              <w:rPr>
                <w:rFonts w:ascii="Cambria Math" w:hAnsi="Cambria Math" w:cs="Rambla Libro"/>
                <w:color w:val="000000"/>
              </w:rPr>
              <m:t>x</m:t>
            </m:r>
          </m:e>
          <m:sub>
            <m:r>
              <w:rPr>
                <w:rFonts w:ascii="Cambria Math" w:hAnsi="Cambria Math" w:cs="Rambla Libro"/>
                <w:color w:val="000000"/>
              </w:rPr>
              <m:t>i</m:t>
            </m:r>
          </m:sub>
        </m:sSub>
      </m:oMath>
      <w:r w:rsidR="00765CAF" w:rsidRPr="00FB0C41">
        <w:rPr>
          <w:rFonts w:cs="Rambla Libro"/>
          <w:color w:val="000000"/>
        </w:rPr>
        <w:t>, para aquellos casos en donde la matriz de relaciones identific</w:t>
      </w:r>
      <w:r w:rsidR="00746C9F">
        <w:rPr>
          <w:rFonts w:cs="Rambla Libro"/>
          <w:color w:val="000000"/>
        </w:rPr>
        <w:t>ó</w:t>
      </w:r>
      <w:r w:rsidR="00765CAF" w:rsidRPr="00FB0C41">
        <w:rPr>
          <w:rFonts w:cs="Rambla Libro"/>
          <w:color w:val="000000"/>
        </w:rPr>
        <w:t xml:space="preserve"> una relación, siendo </w:t>
      </w:r>
      <m:oMath>
        <m:sSub>
          <m:sSubPr>
            <m:ctrlPr>
              <w:rPr>
                <w:rFonts w:ascii="Cambria Math" w:hAnsi="Cambria Math" w:cs="Rambla Libro"/>
                <w:i/>
                <w:iCs/>
                <w:color w:val="000000"/>
              </w:rPr>
            </m:ctrlPr>
          </m:sSubPr>
          <m:e>
            <m:r>
              <w:rPr>
                <w:rFonts w:ascii="Cambria Math" w:hAnsi="Cambria Math" w:cs="Rambla Libro"/>
                <w:color w:val="000000"/>
              </w:rPr>
              <m:t>x</m:t>
            </m:r>
          </m:e>
          <m:sub>
            <m:r>
              <w:rPr>
                <w:rFonts w:ascii="Cambria Math" w:hAnsi="Cambria Math" w:cs="Rambla Libro"/>
                <w:color w:val="000000"/>
              </w:rPr>
              <m:t>i</m:t>
            </m:r>
          </m:sub>
        </m:sSub>
      </m:oMath>
      <w:r w:rsidR="00765CAF" w:rsidRPr="00FB0C41">
        <w:rPr>
          <w:rFonts w:cs="Rambla Libro"/>
          <w:color w:val="000000"/>
        </w:rPr>
        <w:t xml:space="preserve">la cantidad de relaciones encontradas para el </w:t>
      </w:r>
      <w:proofErr w:type="gramStart"/>
      <w:r w:rsidR="00765CAF" w:rsidRPr="00FB0C41">
        <w:rPr>
          <w:rFonts w:cs="Rambla Libro"/>
          <w:color w:val="000000"/>
        </w:rPr>
        <w:t xml:space="preserve">tema </w:t>
      </w:r>
      <w:proofErr w:type="gramEnd"/>
      <m:oMath>
        <m:r>
          <m:rPr>
            <m:sty m:val="p"/>
          </m:rPr>
          <w:rPr>
            <w:rFonts w:ascii="Cambria Math" w:hAnsi="Cambria Math" w:cs="Rambla Libro"/>
            <w:color w:val="000000"/>
          </w:rPr>
          <m:t>i</m:t>
        </m:r>
      </m:oMath>
      <w:r w:rsidR="001662C1">
        <w:rPr>
          <w:rFonts w:eastAsiaTheme="minorEastAsia" w:cs="Rambla Libro"/>
          <w:color w:val="000000"/>
        </w:rPr>
        <w:t>.</w:t>
      </w:r>
    </w:p>
    <w:p w14:paraId="3928D85B" w14:textId="77777777" w:rsidR="00FB0C41" w:rsidRPr="007B5A38" w:rsidRDefault="00FB0C41" w:rsidP="007B5A38">
      <w:pPr>
        <w:pStyle w:val="Prrafodelista"/>
        <w:numPr>
          <w:ilvl w:val="0"/>
          <w:numId w:val="7"/>
        </w:numPr>
        <w:spacing w:line="269" w:lineRule="auto"/>
        <w:rPr>
          <w:rFonts w:cs="Rambla Libro"/>
          <w:b/>
          <w:color w:val="000000"/>
        </w:rPr>
      </w:pPr>
      <w:r w:rsidRPr="007B5A38">
        <w:rPr>
          <w:rFonts w:cs="Rambla Libro"/>
          <w:b/>
          <w:color w:val="000000"/>
        </w:rPr>
        <w:t>Método normativo:</w:t>
      </w:r>
    </w:p>
    <w:p w14:paraId="6F00E0D0" w14:textId="714CB529" w:rsidR="000C3D45" w:rsidRPr="00FB0C41" w:rsidRDefault="00765CAF" w:rsidP="007B5A38">
      <w:pPr>
        <w:numPr>
          <w:ilvl w:val="2"/>
          <w:numId w:val="7"/>
        </w:numPr>
        <w:spacing w:line="269" w:lineRule="auto"/>
        <w:ind w:left="1134"/>
        <w:rPr>
          <w:rFonts w:cs="Rambla Libro"/>
          <w:color w:val="000000"/>
        </w:rPr>
      </w:pPr>
      <w:r w:rsidRPr="00FB0C41">
        <w:rPr>
          <w:rFonts w:cs="Rambla Libro"/>
          <w:color w:val="000000"/>
        </w:rPr>
        <w:t xml:space="preserve">Los </w:t>
      </w:r>
      <m:oMath>
        <m:sSub>
          <m:sSubPr>
            <m:ctrlPr>
              <w:rPr>
                <w:rFonts w:ascii="Cambria Math" w:hAnsi="Cambria Math" w:cs="Rambla Libro"/>
                <w:i/>
                <w:iCs/>
                <w:color w:val="000000"/>
              </w:rPr>
            </m:ctrlPr>
          </m:sSubPr>
          <m:e>
            <m:r>
              <w:rPr>
                <w:rFonts w:ascii="Cambria Math" w:hAnsi="Cambria Math" w:cs="Rambla Libro"/>
                <w:color w:val="000000"/>
              </w:rPr>
              <m:t>β</m:t>
            </m:r>
          </m:e>
          <m:sub>
            <m:r>
              <w:rPr>
                <w:rFonts w:ascii="Cambria Math" w:hAnsi="Cambria Math" w:cs="Rambla Libro"/>
                <w:color w:val="000000"/>
              </w:rPr>
              <m:t>i,j</m:t>
            </m:r>
          </m:sub>
        </m:sSub>
      </m:oMath>
      <w:r w:rsidRPr="00FB0C41">
        <w:rPr>
          <w:rFonts w:cs="Rambla Libro"/>
          <w:color w:val="000000"/>
        </w:rPr>
        <w:t xml:space="preserve"> </w:t>
      </w:r>
      <w:r w:rsidR="00746C9F">
        <w:rPr>
          <w:rFonts w:cs="Rambla Libro"/>
          <w:color w:val="000000"/>
        </w:rPr>
        <w:t>fueron</w:t>
      </w:r>
      <w:r w:rsidRPr="00FB0C41">
        <w:rPr>
          <w:rFonts w:cs="Rambla Libro"/>
          <w:color w:val="000000"/>
        </w:rPr>
        <w:t xml:space="preserve"> determinados de forma normativa</w:t>
      </w:r>
    </w:p>
    <w:p w14:paraId="7645C8E9" w14:textId="3531B2D6" w:rsidR="00F33021" w:rsidRDefault="00F33021" w:rsidP="00B46083">
      <w:pPr>
        <w:spacing w:line="269" w:lineRule="auto"/>
        <w:rPr>
          <w:rFonts w:cs="Rambla Libro"/>
          <w:color w:val="000000"/>
        </w:rPr>
      </w:pPr>
      <w:r>
        <w:rPr>
          <w:rFonts w:cs="Rambla Libro"/>
          <w:color w:val="000000"/>
        </w:rPr>
        <w:t xml:space="preserve">La confección de la matriz de multiplicadores se realizó </w:t>
      </w:r>
      <w:r w:rsidR="00D74963">
        <w:rPr>
          <w:rFonts w:cs="Rambla Libro"/>
          <w:color w:val="000000"/>
        </w:rPr>
        <w:t>en primer lugar a nivel de prioridad presupuestal</w:t>
      </w:r>
      <w:r w:rsidR="00BF124B">
        <w:rPr>
          <w:rFonts w:cs="Rambla Libro"/>
          <w:color w:val="000000"/>
        </w:rPr>
        <w:t>, obteniendo de esta forma dos matrices de 22x17. En una segunda instancia se amplió el nivel de detalles a subtemas, obteniendo de esta forma dos matrices de multiplicadores de 104x17</w:t>
      </w:r>
      <w:r>
        <w:rPr>
          <w:rFonts w:cs="Rambla Libro"/>
          <w:color w:val="000000"/>
        </w:rPr>
        <w:t>.</w:t>
      </w:r>
    </w:p>
    <w:p w14:paraId="6E397D7D" w14:textId="521EC4E3" w:rsidR="0046732C" w:rsidRDefault="0046732C" w:rsidP="00B46083">
      <w:pPr>
        <w:spacing w:line="269" w:lineRule="auto"/>
        <w:rPr>
          <w:rFonts w:cs="Rambla Libro"/>
          <w:color w:val="000000"/>
        </w:rPr>
      </w:pPr>
      <w:r>
        <w:rPr>
          <w:rFonts w:cs="Rambla Libro"/>
          <w:color w:val="000000"/>
        </w:rPr>
        <w:t>De esta forma</w:t>
      </w:r>
      <w:r w:rsidR="00F33021">
        <w:rPr>
          <w:rFonts w:cs="Rambla Libro"/>
          <w:color w:val="000000"/>
        </w:rPr>
        <w:t>,</w:t>
      </w:r>
      <w:r>
        <w:rPr>
          <w:rFonts w:cs="Rambla Libro"/>
          <w:color w:val="000000"/>
        </w:rPr>
        <w:t xml:space="preserve"> se obtuvieron </w:t>
      </w:r>
      <w:r w:rsidR="00F33021">
        <w:rPr>
          <w:rFonts w:cs="Rambla Libro"/>
          <w:color w:val="000000"/>
        </w:rPr>
        <w:t xml:space="preserve">cuatro </w:t>
      </w:r>
      <w:r w:rsidR="00BF124B">
        <w:rPr>
          <w:rFonts w:cs="Rambla Libro"/>
          <w:color w:val="000000"/>
        </w:rPr>
        <w:t>distribuciones primarias de presupuesto por ODS</w:t>
      </w:r>
      <w:r w:rsidR="008E6D1D">
        <w:rPr>
          <w:rFonts w:cs="Rambla Libro"/>
          <w:color w:val="000000"/>
        </w:rPr>
        <w:t>,</w:t>
      </w:r>
      <w:r>
        <w:rPr>
          <w:rFonts w:cs="Rambla Libro"/>
          <w:color w:val="000000"/>
        </w:rPr>
        <w:t xml:space="preserve"> dependiendo de la com</w:t>
      </w:r>
      <w:r w:rsidR="008E6D1D">
        <w:rPr>
          <w:rFonts w:cs="Rambla Libro"/>
          <w:color w:val="000000"/>
        </w:rPr>
        <w:t>binación de criterios establecidos,</w:t>
      </w:r>
      <w:r>
        <w:rPr>
          <w:rFonts w:cs="Rambla Libro"/>
          <w:color w:val="000000"/>
        </w:rPr>
        <w:t xml:space="preserve"> </w:t>
      </w:r>
      <w:r w:rsidR="008E6D1D">
        <w:rPr>
          <w:rFonts w:cs="Rambla Libro"/>
          <w:color w:val="000000"/>
        </w:rPr>
        <w:t>que</w:t>
      </w:r>
      <w:r>
        <w:rPr>
          <w:rFonts w:cs="Rambla Libro"/>
          <w:color w:val="000000"/>
        </w:rPr>
        <w:t xml:space="preserve"> se muestra</w:t>
      </w:r>
      <w:r w:rsidR="008E6D1D">
        <w:rPr>
          <w:rFonts w:cs="Rambla Libro"/>
          <w:color w:val="000000"/>
        </w:rPr>
        <w:t>n</w:t>
      </w:r>
      <w:r>
        <w:rPr>
          <w:rFonts w:cs="Rambla Libro"/>
          <w:color w:val="000000"/>
        </w:rPr>
        <w:t xml:space="preserve"> a continuación:</w:t>
      </w:r>
    </w:p>
    <w:p w14:paraId="2E902583" w14:textId="7F589C3F" w:rsidR="00753491" w:rsidRDefault="00753491" w:rsidP="007B5A38">
      <w:pPr>
        <w:pStyle w:val="Epgrafe"/>
        <w:keepNext/>
      </w:pPr>
      <w:r>
        <w:lastRenderedPageBreak/>
        <w:t xml:space="preserve">Tabla </w:t>
      </w:r>
      <w:r>
        <w:fldChar w:fldCharType="begin"/>
      </w:r>
      <w:r>
        <w:instrText xml:space="preserve"> SEQ Tabla \* ARABIC </w:instrText>
      </w:r>
      <w:r>
        <w:fldChar w:fldCharType="separate"/>
      </w:r>
      <w:r w:rsidR="00833D51">
        <w:rPr>
          <w:noProof/>
        </w:rPr>
        <w:t>4</w:t>
      </w:r>
      <w:r>
        <w:fldChar w:fldCharType="end"/>
      </w:r>
      <w:r>
        <w:t xml:space="preserve"> - Primeras aproximaciones de Presupuesto por ODS</w:t>
      </w:r>
    </w:p>
    <w:p w14:paraId="6AFBEB3A" w14:textId="77777777" w:rsidR="00412533" w:rsidRPr="00405C04" w:rsidRDefault="00B46083" w:rsidP="00405C04">
      <w:pPr>
        <w:rPr>
          <w:rFonts w:cs="Rambla Libro"/>
          <w:color w:val="000000"/>
        </w:rPr>
      </w:pPr>
      <w:r w:rsidRPr="00B46083">
        <w:rPr>
          <w:rFonts w:cs="Rambla Libro"/>
          <w:noProof/>
          <w:color w:val="000000"/>
          <w:lang w:eastAsia="es-UY"/>
        </w:rPr>
        <w:drawing>
          <wp:inline distT="0" distB="0" distL="0" distR="0" wp14:anchorId="497BE065" wp14:editId="4EC025E0">
            <wp:extent cx="5834380" cy="25405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12788" b="7891"/>
                    <a:stretch/>
                  </pic:blipFill>
                  <pic:spPr bwMode="auto">
                    <a:xfrm>
                      <a:off x="0" y="0"/>
                      <a:ext cx="5836733" cy="2541545"/>
                    </a:xfrm>
                    <a:prstGeom prst="rect">
                      <a:avLst/>
                    </a:prstGeom>
                    <a:ln>
                      <a:noFill/>
                    </a:ln>
                    <a:extLst>
                      <a:ext uri="{53640926-AAD7-44D8-BBD7-CCE9431645EC}">
                        <a14:shadowObscured xmlns:a14="http://schemas.microsoft.com/office/drawing/2010/main"/>
                      </a:ext>
                    </a:extLst>
                  </pic:spPr>
                </pic:pic>
              </a:graphicData>
            </a:graphic>
          </wp:inline>
        </w:drawing>
      </w:r>
    </w:p>
    <w:p w14:paraId="5D7C0BB3" w14:textId="01740E09" w:rsidR="00340C57" w:rsidRDefault="00340C57" w:rsidP="007B5A38">
      <w:pPr>
        <w:pStyle w:val="Ttulo1"/>
        <w:numPr>
          <w:ilvl w:val="0"/>
          <w:numId w:val="9"/>
        </w:numPr>
        <w:rPr>
          <w:shd w:val="clear" w:color="auto" w:fill="FAFAFA"/>
        </w:rPr>
      </w:pPr>
      <w:r>
        <w:rPr>
          <w:shd w:val="clear" w:color="auto" w:fill="FAFAFA"/>
        </w:rPr>
        <w:t>Metodología</w:t>
      </w:r>
      <w:r w:rsidR="00B15A78">
        <w:rPr>
          <w:shd w:val="clear" w:color="auto" w:fill="FAFAFA"/>
        </w:rPr>
        <w:t>: distribución en base a capas de información</w:t>
      </w:r>
    </w:p>
    <w:p w14:paraId="0FB98640" w14:textId="77777777" w:rsidR="00BF1582" w:rsidRDefault="00BF1582" w:rsidP="00D45AD6">
      <w:r>
        <w:t>Ante la</w:t>
      </w:r>
      <w:r w:rsidR="008E6D1D">
        <w:t xml:space="preserve"> futura</w:t>
      </w:r>
      <w:r>
        <w:t xml:space="preserve"> presentación de una nueva Rendición de Cuentas</w:t>
      </w:r>
      <w:r w:rsidR="008E6D1D">
        <w:t xml:space="preserve"> correspondiente al año 2018</w:t>
      </w:r>
      <w:r>
        <w:t xml:space="preserve"> e Informe voluntario</w:t>
      </w:r>
      <w:r w:rsidR="008E6D1D">
        <w:t xml:space="preserve"> del año 2019</w:t>
      </w:r>
      <w:r>
        <w:t>, se comenzó a trabajar</w:t>
      </w:r>
      <w:r w:rsidR="008E6D1D">
        <w:t>,</w:t>
      </w:r>
      <w:r w:rsidR="007C62B1">
        <w:t xml:space="preserve"> desde el Área de Gestión y Evaluación del Estado (AGEV-OPP)</w:t>
      </w:r>
      <w:r w:rsidR="008E6D1D">
        <w:t>, en</w:t>
      </w:r>
      <w:r>
        <w:t xml:space="preserve"> </w:t>
      </w:r>
      <w:r w:rsidR="00AD7753">
        <w:t>una</w:t>
      </w:r>
      <w:r w:rsidR="0046732C">
        <w:t xml:space="preserve"> nueva</w:t>
      </w:r>
      <w:r w:rsidR="00AD7753">
        <w:t xml:space="preserve"> metodología que viene a complementar los trabajos </w:t>
      </w:r>
      <w:r w:rsidR="0046732C">
        <w:t>descritos en el apartado</w:t>
      </w:r>
      <w:r>
        <w:t xml:space="preserve"> anterior</w:t>
      </w:r>
      <w:r w:rsidR="00AD7753">
        <w:t>.</w:t>
      </w:r>
    </w:p>
    <w:p w14:paraId="5B5FF487" w14:textId="77777777" w:rsidR="00F50329" w:rsidRDefault="007C62B1" w:rsidP="00D45AD6">
      <w:r>
        <w:t>El</w:t>
      </w:r>
      <w:r w:rsidR="00AD7753">
        <w:t xml:space="preserve"> </w:t>
      </w:r>
      <w:r>
        <w:t>trabajo</w:t>
      </w:r>
      <w:r w:rsidR="00AD7753">
        <w:t xml:space="preserve"> integra los eslabones del esquema presupuestal que </w:t>
      </w:r>
      <w:r w:rsidR="006D1ED0">
        <w:t>queda</w:t>
      </w:r>
      <w:r w:rsidR="00F50329">
        <w:t>ban fuera del alcance en</w:t>
      </w:r>
      <w:r w:rsidR="006D1ED0">
        <w:t xml:space="preserve"> l</w:t>
      </w:r>
      <w:r w:rsidR="0046732C">
        <w:t>as diferentes metodologías</w:t>
      </w:r>
      <w:r>
        <w:t xml:space="preserve"> de análisis que lo</w:t>
      </w:r>
      <w:r w:rsidR="0046732C">
        <w:t xml:space="preserve"> preceden</w:t>
      </w:r>
      <w:r w:rsidR="006D1ED0">
        <w:t>.</w:t>
      </w:r>
      <w:r w:rsidR="00AD7753">
        <w:t xml:space="preserve"> </w:t>
      </w:r>
    </w:p>
    <w:p w14:paraId="0B34D07D" w14:textId="0E0AB709" w:rsidR="00AD7753" w:rsidRDefault="001F7319" w:rsidP="00D45AD6">
      <w:r>
        <w:t>De esta forma se intenta</w:t>
      </w:r>
      <w:r w:rsidR="00AD7753">
        <w:t xml:space="preserve"> dar una mirada integral</w:t>
      </w:r>
      <w:r w:rsidR="00BF1582">
        <w:t xml:space="preserve"> </w:t>
      </w:r>
      <w:r w:rsidR="007C62B1">
        <w:t>entre</w:t>
      </w:r>
      <w:r w:rsidR="00BF1582">
        <w:t xml:space="preserve"> el</w:t>
      </w:r>
      <w:r w:rsidR="00AD7753">
        <w:t xml:space="preserve"> </w:t>
      </w:r>
      <w:r w:rsidR="00BF1582">
        <w:t>vínculo</w:t>
      </w:r>
      <w:r w:rsidR="007C62B1">
        <w:t xml:space="preserve"> del presupuesto nacional, desde</w:t>
      </w:r>
      <w:r w:rsidR="00AD7753">
        <w:t xml:space="preserve"> </w:t>
      </w:r>
      <w:r w:rsidR="007C62B1">
        <w:t>la planificación e</w:t>
      </w:r>
      <w:r>
        <w:t>stratégica de g</w:t>
      </w:r>
      <w:r w:rsidR="00AD7753">
        <w:t>obierno</w:t>
      </w:r>
      <w:r w:rsidR="00F50329">
        <w:t xml:space="preserve"> y</w:t>
      </w:r>
      <w:r w:rsidR="00AD7753">
        <w:t xml:space="preserve"> la </w:t>
      </w:r>
      <w:r w:rsidR="007C62B1">
        <w:t>ejecución</w:t>
      </w:r>
      <w:r w:rsidR="00AD7753">
        <w:t xml:space="preserve"> presupuestal contenida en el </w:t>
      </w:r>
      <w:r w:rsidR="00AD7753" w:rsidRPr="00AD7753">
        <w:t>Sistema Integrado de Información Financiera</w:t>
      </w:r>
      <w:r w:rsidR="00AD7753">
        <w:t xml:space="preserve"> (SIIF)</w:t>
      </w:r>
      <w:r w:rsidR="0046732C">
        <w:t>,</w:t>
      </w:r>
      <w:r w:rsidR="00AD7753">
        <w:t xml:space="preserve"> con los</w:t>
      </w:r>
      <w:r w:rsidR="00A243F4">
        <w:t xml:space="preserve"> distintos</w:t>
      </w:r>
      <w:r w:rsidR="00AD7753">
        <w:t xml:space="preserve"> ODS</w:t>
      </w:r>
      <w:r w:rsidR="005F154B">
        <w:t xml:space="preserve"> y sus respectivas metas</w:t>
      </w:r>
      <w:r w:rsidR="00AD7753">
        <w:t>.</w:t>
      </w:r>
    </w:p>
    <w:p w14:paraId="042EFF0A" w14:textId="134EC408" w:rsidR="006560A8" w:rsidRDefault="006560A8" w:rsidP="007B5A38">
      <w:pPr>
        <w:pStyle w:val="Epgrafe"/>
        <w:keepNext/>
      </w:pPr>
      <w:r>
        <w:t xml:space="preserve">Tabla </w:t>
      </w:r>
      <w:r>
        <w:fldChar w:fldCharType="begin"/>
      </w:r>
      <w:r>
        <w:instrText xml:space="preserve"> SEQ Tabla \* ARABIC </w:instrText>
      </w:r>
      <w:r>
        <w:fldChar w:fldCharType="separate"/>
      </w:r>
      <w:r w:rsidR="00833D51">
        <w:rPr>
          <w:noProof/>
        </w:rPr>
        <w:t>5</w:t>
      </w:r>
      <w:r>
        <w:fldChar w:fldCharType="end"/>
      </w:r>
      <w:r>
        <w:t xml:space="preserve"> - Esquema presupuestal y ODS</w:t>
      </w:r>
    </w:p>
    <w:p w14:paraId="19FADBE1" w14:textId="77777777" w:rsidR="00D45AD6" w:rsidRDefault="005A595A" w:rsidP="00FD03A8">
      <w:r>
        <w:rPr>
          <w:noProof/>
          <w:lang w:eastAsia="es-UY"/>
        </w:rPr>
        <w:drawing>
          <wp:inline distT="0" distB="0" distL="0" distR="0" wp14:anchorId="6070D4EF" wp14:editId="63A5B422">
            <wp:extent cx="5692310" cy="2799299"/>
            <wp:effectExtent l="0" t="0" r="3810" b="1270"/>
            <wp:docPr id="8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if-ODS.PNG"/>
                    <pic:cNvPicPr/>
                  </pic:nvPicPr>
                  <pic:blipFill>
                    <a:blip r:embed="rId12">
                      <a:extLst>
                        <a:ext uri="{28A0092B-C50C-407E-A947-70E740481C1C}">
                          <a14:useLocalDpi xmlns:a14="http://schemas.microsoft.com/office/drawing/2010/main" val="0"/>
                        </a:ext>
                      </a:extLst>
                    </a:blip>
                    <a:stretch>
                      <a:fillRect/>
                    </a:stretch>
                  </pic:blipFill>
                  <pic:spPr>
                    <a:xfrm>
                      <a:off x="0" y="0"/>
                      <a:ext cx="5696873" cy="2801543"/>
                    </a:xfrm>
                    <a:prstGeom prst="rect">
                      <a:avLst/>
                    </a:prstGeom>
                  </pic:spPr>
                </pic:pic>
              </a:graphicData>
            </a:graphic>
          </wp:inline>
        </w:drawing>
      </w:r>
      <w:r w:rsidR="00014EF9">
        <w:t xml:space="preserve"> </w:t>
      </w:r>
    </w:p>
    <w:p w14:paraId="47D217E3" w14:textId="77777777" w:rsidR="002727A8" w:rsidRDefault="0046732C" w:rsidP="00A54B39">
      <w:r>
        <w:lastRenderedPageBreak/>
        <w:t>E</w:t>
      </w:r>
      <w:r w:rsidR="0019015B">
        <w:t xml:space="preserve">sta nueva definición metodológica </w:t>
      </w:r>
      <w:r w:rsidR="002727A8">
        <w:t>di</w:t>
      </w:r>
      <w:r w:rsidR="001F7319">
        <w:t>stribuye</w:t>
      </w:r>
      <w:r w:rsidR="008A1E6A">
        <w:t xml:space="preserve"> la ejecución del Presupuesto N</w:t>
      </w:r>
      <w:r w:rsidR="002727A8">
        <w:t>acional al logro de los distintos ODS a partir del análisis de</w:t>
      </w:r>
      <w:r w:rsidR="008A1E6A">
        <w:t xml:space="preserve"> las</w:t>
      </w:r>
      <w:r w:rsidR="002727A8">
        <w:t xml:space="preserve"> distintas capas </w:t>
      </w:r>
      <w:r w:rsidR="008A1E6A">
        <w:t>en que puede desagregarse la</w:t>
      </w:r>
      <w:r w:rsidR="002727A8">
        <w:t xml:space="preserve"> estructura presupuestaria vigente.</w:t>
      </w:r>
      <w:r w:rsidR="00B006C5">
        <w:t xml:space="preserve"> El procedimiento siguió los siguientes pasos.</w:t>
      </w:r>
    </w:p>
    <w:p w14:paraId="166169C3" w14:textId="4C1C7A8F" w:rsidR="002727A8" w:rsidRDefault="008A1E6A" w:rsidP="007B5A38">
      <w:pPr>
        <w:pStyle w:val="Prrafodelista"/>
        <w:numPr>
          <w:ilvl w:val="0"/>
          <w:numId w:val="8"/>
        </w:numPr>
      </w:pPr>
      <w:r>
        <w:t xml:space="preserve">La </w:t>
      </w:r>
      <w:r w:rsidR="002727A8">
        <w:t>primera</w:t>
      </w:r>
      <w:r>
        <w:t xml:space="preserve"> capa de análisis</w:t>
      </w:r>
      <w:r w:rsidR="002727A8">
        <w:t>, en forma similar al trabajo realizado en el Año 2018,</w:t>
      </w:r>
      <w:r>
        <w:t xml:space="preserve"> corresponde a los </w:t>
      </w:r>
      <w:r w:rsidRPr="007B5A38">
        <w:rPr>
          <w:b/>
          <w:i/>
        </w:rPr>
        <w:t>Objetivos de programa</w:t>
      </w:r>
      <w:r>
        <w:t xml:space="preserve"> y</w:t>
      </w:r>
      <w:r w:rsidR="002727A8">
        <w:t xml:space="preserve"> la relación</w:t>
      </w:r>
      <w:r>
        <w:t xml:space="preserve"> encontrada</w:t>
      </w:r>
      <w:r w:rsidR="002727A8">
        <w:t xml:space="preserve"> entre </w:t>
      </w:r>
      <w:r w:rsidR="0080766C">
        <w:t>su alcance y</w:t>
      </w:r>
      <w:r w:rsidR="002727A8">
        <w:t xml:space="preserve"> los ODS. </w:t>
      </w:r>
      <w:r>
        <w:t>E</w:t>
      </w:r>
      <w:r w:rsidR="002727A8">
        <w:t xml:space="preserve">n aquellos programas donde se entiende que la relación es única, el total de la ejecución </w:t>
      </w:r>
      <w:r>
        <w:t>se asigna como contribución al logro de</w:t>
      </w:r>
      <w:r w:rsidR="002727A8">
        <w:t xml:space="preserve"> </w:t>
      </w:r>
      <w:r>
        <w:t>ese</w:t>
      </w:r>
      <w:r w:rsidR="002727A8">
        <w:t xml:space="preserve"> único ODS. </w:t>
      </w:r>
      <w:r w:rsidR="003F4D49">
        <w:t>E</w:t>
      </w:r>
      <w:r w:rsidR="002727A8">
        <w:t xml:space="preserve">n aquellos programas donde se </w:t>
      </w:r>
      <w:r w:rsidR="001F7319">
        <w:t>entiende que</w:t>
      </w:r>
      <w:r w:rsidR="003F4D49">
        <w:t xml:space="preserve"> podría</w:t>
      </w:r>
      <w:r w:rsidR="001F7319">
        <w:t xml:space="preserve"> exist</w:t>
      </w:r>
      <w:r w:rsidR="003F4D49">
        <w:t>ir</w:t>
      </w:r>
      <w:r w:rsidR="002727A8">
        <w:t xml:space="preserve"> una correspondencia con más de un ODS</w:t>
      </w:r>
      <w:r w:rsidR="003F4D49">
        <w:t xml:space="preserve"> </w:t>
      </w:r>
      <w:r w:rsidR="008E6D1D">
        <w:t>según su</w:t>
      </w:r>
      <w:r w:rsidR="003F4D49">
        <w:t xml:space="preserve"> alcance </w:t>
      </w:r>
      <w:r w:rsidR="002727A8">
        <w:t>se</w:t>
      </w:r>
      <w:r w:rsidR="003F4D49">
        <w:t xml:space="preserve"> da</w:t>
      </w:r>
      <w:r w:rsidR="002727A8">
        <w:t xml:space="preserve"> pas</w:t>
      </w:r>
      <w:r w:rsidR="003F4D49">
        <w:t>o</w:t>
      </w:r>
      <w:r w:rsidR="002727A8">
        <w:t xml:space="preserve"> a</w:t>
      </w:r>
      <w:r>
        <w:t>l análisis de</w:t>
      </w:r>
      <w:r w:rsidR="008E6D1D">
        <w:t xml:space="preserve"> las</w:t>
      </w:r>
      <w:r w:rsidR="002727A8">
        <w:t xml:space="preserve"> sucesivas capas</w:t>
      </w:r>
      <w:r w:rsidR="008E6D1D">
        <w:t xml:space="preserve"> posteriores</w:t>
      </w:r>
      <w:r w:rsidR="00A54B39">
        <w:t xml:space="preserve"> de la estructura presupuestaria</w:t>
      </w:r>
      <w:r w:rsidR="002727A8">
        <w:t xml:space="preserve">. </w:t>
      </w:r>
    </w:p>
    <w:p w14:paraId="322326F9" w14:textId="77777777" w:rsidR="00E45DD9" w:rsidRDefault="00A54B39" w:rsidP="007B5A38">
      <w:pPr>
        <w:pStyle w:val="Prrafodelista"/>
        <w:numPr>
          <w:ilvl w:val="0"/>
          <w:numId w:val="8"/>
        </w:numPr>
      </w:pPr>
      <w:r>
        <w:t>La segunda</w:t>
      </w:r>
      <w:r w:rsidR="001F7319">
        <w:t xml:space="preserve"> capa analizada</w:t>
      </w:r>
      <w:r w:rsidR="00BE696C">
        <w:t xml:space="preserve"> corresponde a</w:t>
      </w:r>
      <w:r w:rsidR="001F7319">
        <w:t xml:space="preserve"> </w:t>
      </w:r>
      <w:r w:rsidR="005E5992">
        <w:t xml:space="preserve">los objetivos </w:t>
      </w:r>
      <w:r w:rsidR="00E944BE">
        <w:t>que</w:t>
      </w:r>
      <w:r w:rsidR="005E5992">
        <w:t xml:space="preserve"> los </w:t>
      </w:r>
      <w:r w:rsidR="00E944BE">
        <w:t>distintos incisos persiguen dentro de los programas presupuestales. De esta forma se</w:t>
      </w:r>
      <w:r w:rsidR="0019015B">
        <w:t xml:space="preserve"> contempla la transversalidad de los programas</w:t>
      </w:r>
      <w:r w:rsidR="008A1E6A">
        <w:t xml:space="preserve"> y</w:t>
      </w:r>
      <w:r w:rsidR="00F4317C">
        <w:t xml:space="preserve"> l</w:t>
      </w:r>
      <w:r w:rsidR="0080766C">
        <w:t>a posibilidad de que la ejecución de los</w:t>
      </w:r>
      <w:r w:rsidR="00F4317C">
        <w:t xml:space="preserve"> mismos</w:t>
      </w:r>
      <w:r w:rsidR="0019015B">
        <w:t xml:space="preserve"> </w:t>
      </w:r>
      <w:r w:rsidR="0080766C">
        <w:t>se distribuya en la contribución al logro de</w:t>
      </w:r>
      <w:r w:rsidR="0019015B">
        <w:t xml:space="preserve"> más de un ODS según </w:t>
      </w:r>
      <w:r w:rsidR="001F7319">
        <w:t>los</w:t>
      </w:r>
      <w:r w:rsidR="0080766C">
        <w:t xml:space="preserve"> vínculos encontrados </w:t>
      </w:r>
      <w:r w:rsidR="003F4D49">
        <w:t>a nivel de</w:t>
      </w:r>
      <w:r w:rsidR="0080766C">
        <w:t xml:space="preserve"> los</w:t>
      </w:r>
      <w:r w:rsidR="00F4317C">
        <w:t xml:space="preserve"> </w:t>
      </w:r>
      <w:r w:rsidR="00E45DD9" w:rsidRPr="007B5A38">
        <w:rPr>
          <w:b/>
          <w:i/>
        </w:rPr>
        <w:t>objetivo</w:t>
      </w:r>
      <w:r w:rsidR="001F7319" w:rsidRPr="007B5A38">
        <w:rPr>
          <w:b/>
          <w:i/>
        </w:rPr>
        <w:t>s</w:t>
      </w:r>
      <w:r w:rsidR="00E45DD9" w:rsidRPr="007B5A38">
        <w:rPr>
          <w:b/>
          <w:i/>
        </w:rPr>
        <w:t xml:space="preserve"> del </w:t>
      </w:r>
      <w:r w:rsidR="00F4317C" w:rsidRPr="007B5A38">
        <w:rPr>
          <w:b/>
          <w:i/>
        </w:rPr>
        <w:t>inciso</w:t>
      </w:r>
      <w:r w:rsidR="00F4317C">
        <w:t xml:space="preserve"> ejecutor. </w:t>
      </w:r>
    </w:p>
    <w:p w14:paraId="099ADCBA" w14:textId="7B9692D1" w:rsidR="00E45DD9" w:rsidRDefault="00A54B39" w:rsidP="007B5A38">
      <w:pPr>
        <w:pStyle w:val="Prrafodelista"/>
        <w:numPr>
          <w:ilvl w:val="0"/>
          <w:numId w:val="8"/>
        </w:numPr>
      </w:pPr>
      <w:r>
        <w:t xml:space="preserve">La tercera capa </w:t>
      </w:r>
      <w:r w:rsidR="003F4D49">
        <w:t xml:space="preserve">corresponde al análisis de los </w:t>
      </w:r>
      <w:r w:rsidR="003F4D49" w:rsidRPr="007B5A38">
        <w:rPr>
          <w:b/>
          <w:i/>
        </w:rPr>
        <w:t xml:space="preserve">objetivos </w:t>
      </w:r>
      <w:r w:rsidR="00A76CF5" w:rsidRPr="007B5A38">
        <w:rPr>
          <w:b/>
          <w:i/>
        </w:rPr>
        <w:t xml:space="preserve">de las </w:t>
      </w:r>
      <w:r w:rsidR="003F4D49" w:rsidRPr="007B5A38">
        <w:rPr>
          <w:b/>
          <w:i/>
        </w:rPr>
        <w:t>unidades ejecutoras</w:t>
      </w:r>
      <w:r w:rsidR="003F4D49">
        <w:t xml:space="preserve"> cuando se entiende que los objetivos de inciso podrían vincularse con el logro de más de un ODS</w:t>
      </w:r>
      <w:r>
        <w:t>.</w:t>
      </w:r>
      <w:r w:rsidR="003F4D49">
        <w:t xml:space="preserve"> Así</w:t>
      </w:r>
      <w:r>
        <w:t xml:space="preserve"> s</w:t>
      </w:r>
      <w:r w:rsidR="0019015B">
        <w:t xml:space="preserve">e </w:t>
      </w:r>
      <w:r w:rsidR="00F63D9A">
        <w:t>contempla</w:t>
      </w:r>
      <w:r w:rsidR="00F4317C">
        <w:t xml:space="preserve"> </w:t>
      </w:r>
      <w:r w:rsidR="0019015B">
        <w:t>que</w:t>
      </w:r>
      <w:r w:rsidR="003F4D49">
        <w:t>,</w:t>
      </w:r>
      <w:r w:rsidR="0019015B">
        <w:t xml:space="preserve"> para un mismo programa e inciso ejecutor</w:t>
      </w:r>
      <w:r w:rsidR="003F4D49">
        <w:t>,</w:t>
      </w:r>
      <w:r w:rsidR="0019015B">
        <w:t xml:space="preserve"> pueda existir más de un vínculo </w:t>
      </w:r>
      <w:r w:rsidR="00F63D9A">
        <w:t>con</w:t>
      </w:r>
      <w:r w:rsidR="00AD7F89">
        <w:t xml:space="preserve"> la contribución </w:t>
      </w:r>
      <w:r w:rsidR="001F7319">
        <w:t xml:space="preserve">del logro de </w:t>
      </w:r>
      <w:r w:rsidR="00F63D9A">
        <w:t>los</w:t>
      </w:r>
      <w:r w:rsidR="00AD7F89">
        <w:t xml:space="preserve"> ODS</w:t>
      </w:r>
      <w:r>
        <w:t xml:space="preserve"> según los objetivos perseguidos por la</w:t>
      </w:r>
      <w:r w:rsidR="001F7319">
        <w:t>s distintas</w:t>
      </w:r>
      <w:r>
        <w:t xml:space="preserve"> unidad</w:t>
      </w:r>
      <w:r w:rsidR="001F7319">
        <w:t>es</w:t>
      </w:r>
      <w:r w:rsidR="003F4D49">
        <w:t xml:space="preserve"> que realizan</w:t>
      </w:r>
      <w:r>
        <w:t xml:space="preserve"> el gasto.</w:t>
      </w:r>
      <w:r w:rsidR="00E944BE">
        <w:t xml:space="preserve"> </w:t>
      </w:r>
    </w:p>
    <w:p w14:paraId="014D64C9" w14:textId="5A8B5815" w:rsidR="005A595A" w:rsidRDefault="00F4317C" w:rsidP="007B5A38">
      <w:pPr>
        <w:pStyle w:val="Prrafodelista"/>
        <w:numPr>
          <w:ilvl w:val="0"/>
          <w:numId w:val="8"/>
        </w:numPr>
      </w:pPr>
      <w:r>
        <w:t xml:space="preserve">Finalmente, con la integración del SIIF se </w:t>
      </w:r>
      <w:r w:rsidR="00E944BE">
        <w:t xml:space="preserve">llegó a analizar, cuando se entendió necesario, una cuarta capa que contempla la ejecución presupuestal efectuada a </w:t>
      </w:r>
      <w:r w:rsidR="00E944BE" w:rsidRPr="007B5A38">
        <w:rPr>
          <w:b/>
          <w:i/>
        </w:rPr>
        <w:t>nivel de proyectos u objetos del gasto</w:t>
      </w:r>
      <w:r w:rsidR="00E944BE">
        <w:t xml:space="preserve"> dentro de una</w:t>
      </w:r>
      <w:r w:rsidR="00A54B39">
        <w:t xml:space="preserve"> misma</w:t>
      </w:r>
      <w:r w:rsidR="00E944BE">
        <w:t xml:space="preserve"> </w:t>
      </w:r>
      <w:r w:rsidR="00A54B39">
        <w:t>u</w:t>
      </w:r>
      <w:r w:rsidR="00E944BE">
        <w:t>nidad ejecutora</w:t>
      </w:r>
      <w:r w:rsidR="00A54B39">
        <w:t xml:space="preserve"> de un inciso</w:t>
      </w:r>
      <w:r w:rsidR="00E944BE">
        <w:t xml:space="preserve"> para un programa específico y </w:t>
      </w:r>
      <w:r w:rsidR="001F7319">
        <w:t>los</w:t>
      </w:r>
      <w:r w:rsidR="00E944BE">
        <w:t xml:space="preserve"> vínculo</w:t>
      </w:r>
      <w:r w:rsidR="001F7319">
        <w:t>s encontrados a</w:t>
      </w:r>
      <w:r w:rsidR="00A54B39">
        <w:t xml:space="preserve"> este nivel</w:t>
      </w:r>
      <w:r w:rsidR="00E944BE">
        <w:t xml:space="preserve"> con distintos ODS. </w:t>
      </w:r>
      <w:r w:rsidR="00E944BE" w:rsidRPr="00754403">
        <w:t>Los</w:t>
      </w:r>
      <w:r w:rsidR="001F7319" w:rsidRPr="00754403">
        <w:t xml:space="preserve"> proyectos son la unidad </w:t>
      </w:r>
      <w:r w:rsidR="00F63D9A" w:rsidRPr="00754403">
        <w:t>subsiguiente</w:t>
      </w:r>
      <w:r w:rsidR="001F7319" w:rsidRPr="00754403">
        <w:t xml:space="preserve"> dentro de las </w:t>
      </w:r>
      <w:r w:rsidR="001A0FA0" w:rsidRPr="00754403">
        <w:t>estructuras programáticas</w:t>
      </w:r>
      <w:r w:rsidR="00F63D9A" w:rsidRPr="00754403">
        <w:t xml:space="preserve"> en que se descompone la ejecución</w:t>
      </w:r>
      <w:r w:rsidR="001A0FA0" w:rsidRPr="00754403">
        <w:t xml:space="preserve"> </w:t>
      </w:r>
      <w:r w:rsidR="00F63D9A" w:rsidRPr="00754403">
        <w:t>de</w:t>
      </w:r>
      <w:r w:rsidR="001A0FA0" w:rsidRPr="00754403">
        <w:t xml:space="preserve"> los distintos programas del presupuesto nacional.</w:t>
      </w:r>
      <w:r w:rsidR="001A0FA0">
        <w:t xml:space="preserve"> Los</w:t>
      </w:r>
      <w:r w:rsidR="00E944BE">
        <w:t xml:space="preserve"> objetos del gasto son</w:t>
      </w:r>
      <w:r w:rsidR="00754403">
        <w:t>,</w:t>
      </w:r>
      <w:r w:rsidR="001A0FA0">
        <w:t xml:space="preserve"> por su parte</w:t>
      </w:r>
      <w:r w:rsidR="00754403">
        <w:t>,</w:t>
      </w:r>
      <w:r>
        <w:t xml:space="preserve"> la última unidad posible </w:t>
      </w:r>
      <w:r w:rsidR="00E45DD9">
        <w:t>de desagregación de</w:t>
      </w:r>
      <w:r>
        <w:t xml:space="preserve"> la ejecución del Presupuesto Nacional.  </w:t>
      </w:r>
    </w:p>
    <w:p w14:paraId="11202A78" w14:textId="77777777" w:rsidR="0017080F" w:rsidRDefault="00B34C0A" w:rsidP="00A54B39">
      <w:r>
        <w:t>En</w:t>
      </w:r>
      <w:r w:rsidR="0017080F">
        <w:t xml:space="preserve"> algunos casos concretos </w:t>
      </w:r>
      <w:r w:rsidR="00F63D9A">
        <w:t xml:space="preserve">se dio un tratamiento especial </w:t>
      </w:r>
      <w:r w:rsidR="0017080F">
        <w:t>en la forma de medir la ejecución correspondiente a un ODS</w:t>
      </w:r>
      <w:r w:rsidR="00F63D9A">
        <w:t xml:space="preserve"> específico,</w:t>
      </w:r>
      <w:r w:rsidR="0017080F">
        <w:t xml:space="preserve"> o</w:t>
      </w:r>
      <w:r w:rsidR="00F63D9A">
        <w:t xml:space="preserve"> </w:t>
      </w:r>
      <w:r w:rsidR="0017080F">
        <w:t>la</w:t>
      </w:r>
      <w:r w:rsidR="00730119">
        <w:t xml:space="preserve"> falta de</w:t>
      </w:r>
      <w:r w:rsidR="0017080F">
        <w:t xml:space="preserve"> vi</w:t>
      </w:r>
      <w:r w:rsidR="00730119">
        <w:t xml:space="preserve">nculación de algunos programas, o parte </w:t>
      </w:r>
      <w:r w:rsidR="0017080F">
        <w:t>de</w:t>
      </w:r>
      <w:r w:rsidR="00730119">
        <w:t xml:space="preserve"> los mismos</w:t>
      </w:r>
      <w:r w:rsidR="001A0FA0">
        <w:t xml:space="preserve"> (proyectos u objetos del gasto)</w:t>
      </w:r>
      <w:r w:rsidR="00730119">
        <w:t>,</w:t>
      </w:r>
      <w:r w:rsidR="0017080F">
        <w:t xml:space="preserve"> </w:t>
      </w:r>
      <w:r w:rsidR="00F63D9A">
        <w:t>con</w:t>
      </w:r>
      <w:r w:rsidR="00730119">
        <w:t xml:space="preserve"> </w:t>
      </w:r>
      <w:r w:rsidR="00F63D9A">
        <w:t>los ODS en general. Estos casos se detallan a continuación:</w:t>
      </w:r>
      <w:r w:rsidR="0017080F">
        <w:t xml:space="preserve"> </w:t>
      </w:r>
    </w:p>
    <w:p w14:paraId="1A0A00F5" w14:textId="77777777" w:rsidR="001A0FA0" w:rsidRDefault="001A0FA0" w:rsidP="001A0FA0">
      <w:pPr>
        <w:pStyle w:val="Prrafodelista"/>
        <w:numPr>
          <w:ilvl w:val="0"/>
          <w:numId w:val="2"/>
        </w:numPr>
      </w:pPr>
      <w:r>
        <w:t xml:space="preserve">A partir del año 2016, se realizó dentro de la administración un trabajo de sensibilización respecto al tratamiento de los presupuestos con enfoque de género. Parte de este trabajo implicó la creación de proyectos específicos de género. </w:t>
      </w:r>
      <w:r w:rsidR="0017080F" w:rsidRPr="0017080F">
        <w:t>La ejecución del ODS 5 (Género) se midi</w:t>
      </w:r>
      <w:r>
        <w:t>ó en forma transversal según estos</w:t>
      </w:r>
      <w:r w:rsidR="0017080F" w:rsidRPr="0017080F">
        <w:t xml:space="preserve"> proyectos específicos ejecutados por cada Inciso</w:t>
      </w:r>
      <w:r>
        <w:t xml:space="preserve"> en los distintos programas</w:t>
      </w:r>
      <w:r w:rsidR="0017080F" w:rsidRPr="0017080F">
        <w:t>.</w:t>
      </w:r>
      <w:r w:rsidR="0017080F">
        <w:t xml:space="preserve"> </w:t>
      </w:r>
    </w:p>
    <w:p w14:paraId="0CD3814C" w14:textId="2EBEF6B8" w:rsidR="00145ED9" w:rsidRDefault="00145ED9" w:rsidP="0017080F">
      <w:pPr>
        <w:pStyle w:val="Prrafodelista"/>
        <w:numPr>
          <w:ilvl w:val="0"/>
          <w:numId w:val="2"/>
        </w:numPr>
      </w:pPr>
      <w:r>
        <w:t>L</w:t>
      </w:r>
      <w:r w:rsidR="008C1482">
        <w:t xml:space="preserve">a ejecución presupuestal correspondiente a </w:t>
      </w:r>
      <w:r w:rsidR="0017080F" w:rsidRPr="0017080F">
        <w:t xml:space="preserve">pagos de </w:t>
      </w:r>
      <w:r>
        <w:t>intereses de deuda y</w:t>
      </w:r>
      <w:r w:rsidR="004143D5">
        <w:t xml:space="preserve"> parte de la</w:t>
      </w:r>
      <w:r w:rsidR="008C1482">
        <w:t xml:space="preserve"> </w:t>
      </w:r>
      <w:r w:rsidR="0017080F" w:rsidRPr="0017080F">
        <w:t>devolución de certificados de crédito</w:t>
      </w:r>
      <w:r>
        <w:t xml:space="preserve"> no fue asignada a la contribución del l</w:t>
      </w:r>
      <w:r w:rsidR="001A0FA0">
        <w:t>ogro de ningún ODS en particular</w:t>
      </w:r>
      <w:r w:rsidR="00233928">
        <w:rPr>
          <w:rStyle w:val="Refdenotaalpie"/>
        </w:rPr>
        <w:footnoteReference w:id="1"/>
      </w:r>
      <w:r w:rsidR="0017080F" w:rsidRPr="0017080F">
        <w:t>.</w:t>
      </w:r>
    </w:p>
    <w:p w14:paraId="29140AFA" w14:textId="77777777" w:rsidR="0017080F" w:rsidRPr="00145ED9" w:rsidRDefault="00145ED9" w:rsidP="0017080F">
      <w:pPr>
        <w:pStyle w:val="Prrafodelista"/>
        <w:numPr>
          <w:ilvl w:val="0"/>
          <w:numId w:val="2"/>
        </w:numPr>
      </w:pPr>
      <w:r>
        <w:lastRenderedPageBreak/>
        <w:t>La ejecución correspondiente al programa “</w:t>
      </w:r>
      <w:r w:rsidRPr="00145ED9">
        <w:t>Personal excedentario de ejercicios anteriores”</w:t>
      </w:r>
      <w:r>
        <w:t xml:space="preserve"> cuyo objetivo es dar Cumplimiento del Artículo</w:t>
      </w:r>
      <w:r w:rsidRPr="00145ED9">
        <w:t xml:space="preserve"> 723</w:t>
      </w:r>
      <w:r>
        <w:t xml:space="preserve"> de la</w:t>
      </w:r>
      <w:r w:rsidRPr="00145ED9">
        <w:t xml:space="preserve"> Ley 16.736</w:t>
      </w:r>
      <w:r>
        <w:t xml:space="preserve"> tampoco fue asignada a la contribución del logro de ningún ODS específico. </w:t>
      </w:r>
      <w:r w:rsidRPr="00145ED9">
        <w:t xml:space="preserve"> </w:t>
      </w:r>
      <w:r w:rsidR="0017080F" w:rsidRPr="00145ED9">
        <w:t xml:space="preserve"> </w:t>
      </w:r>
    </w:p>
    <w:p w14:paraId="00F5EA29" w14:textId="77777777" w:rsidR="00071B82" w:rsidRDefault="00930F88" w:rsidP="00A54B39">
      <w:r>
        <w:t>De esta forma se logra obtener una distribución</w:t>
      </w:r>
      <w:r w:rsidR="002B1238">
        <w:t xml:space="preserve"> cuantitativa del </w:t>
      </w:r>
      <w:r w:rsidR="008C1482">
        <w:t>P</w:t>
      </w:r>
      <w:r w:rsidR="002B1238">
        <w:t>resupuesto</w:t>
      </w:r>
      <w:r>
        <w:t xml:space="preserve"> </w:t>
      </w:r>
      <w:r w:rsidR="008E6D1D">
        <w:t>Nacional, vinculando</w:t>
      </w:r>
      <w:r w:rsidR="001A0FA0">
        <w:t xml:space="preserve"> </w:t>
      </w:r>
      <w:r w:rsidR="008E6D1D">
        <w:t>toda la</w:t>
      </w:r>
      <w:r w:rsidR="008C1482">
        <w:t xml:space="preserve"> información que surge de su esquema de formulación</w:t>
      </w:r>
      <w:r w:rsidR="00145ED9">
        <w:t xml:space="preserve"> y</w:t>
      </w:r>
      <w:r w:rsidR="008C1482">
        <w:t xml:space="preserve"> estructura de gasto</w:t>
      </w:r>
      <w:r w:rsidR="008E6D1D">
        <w:t>,</w:t>
      </w:r>
      <w:r w:rsidR="008C1482">
        <w:t xml:space="preserve"> con los Objetivos de Desarrollo Sostenible.</w:t>
      </w:r>
    </w:p>
    <w:p w14:paraId="7524CDBE" w14:textId="24F2C55D" w:rsidR="004A16FF" w:rsidRDefault="00C61509" w:rsidP="00A54B39">
      <w:r>
        <w:t xml:space="preserve">El procedimiento general consistió en </w:t>
      </w:r>
      <w:r w:rsidR="004A16FF">
        <w:t>vincular cada línea de información</w:t>
      </w:r>
      <w:r w:rsidR="004143D5">
        <w:t xml:space="preserve"> presupuestal</w:t>
      </w:r>
      <w:r w:rsidR="004A16FF">
        <w:t xml:space="preserve"> a un ODS. Sin embargo, existieron algunos casos en donde, incluso en la capa de información de mayor nivel de detalle, se consideró que correspondía asignar </w:t>
      </w:r>
      <w:r>
        <w:t xml:space="preserve">el </w:t>
      </w:r>
      <w:r w:rsidR="004A16FF">
        <w:t>monto ejecutado</w:t>
      </w:r>
      <w:r w:rsidRPr="00C61509">
        <w:t xml:space="preserve"> </w:t>
      </w:r>
      <w:r>
        <w:t>a más de un ODS</w:t>
      </w:r>
      <w:r w:rsidR="004A16FF">
        <w:t>. En dichos casos se recurrió a información externa</w:t>
      </w:r>
      <w:r w:rsidR="00D26AED">
        <w:t xml:space="preserve"> para determinar</w:t>
      </w:r>
      <w:r w:rsidR="004143D5">
        <w:t xml:space="preserve"> </w:t>
      </w:r>
      <w:r w:rsidR="00AB3528">
        <w:t>la asignación correspondiente</w:t>
      </w:r>
      <w:r w:rsidR="004A16FF">
        <w:t>.</w:t>
      </w:r>
      <w:r w:rsidR="009E0E81">
        <w:rPr>
          <w:rStyle w:val="Refdenotaalpie"/>
        </w:rPr>
        <w:footnoteReference w:id="2"/>
      </w:r>
    </w:p>
    <w:p w14:paraId="630CE25F" w14:textId="4F4033D1" w:rsidR="00340C57" w:rsidRDefault="00340C57" w:rsidP="007B5A38">
      <w:pPr>
        <w:pStyle w:val="Ttulo1"/>
        <w:numPr>
          <w:ilvl w:val="0"/>
          <w:numId w:val="9"/>
        </w:numPr>
        <w:rPr>
          <w:shd w:val="clear" w:color="auto" w:fill="FAFAFA"/>
        </w:rPr>
      </w:pPr>
      <w:r>
        <w:rPr>
          <w:shd w:val="clear" w:color="auto" w:fill="FAFAFA"/>
        </w:rPr>
        <w:t xml:space="preserve">Resultados obtenidos </w:t>
      </w:r>
    </w:p>
    <w:p w14:paraId="5F1E5F03" w14:textId="379DB8BC" w:rsidR="00E06CA9" w:rsidRDefault="00E06CA9" w:rsidP="00E06CA9">
      <w:r>
        <w:t>Una vez aplicada la metodología, la distribución por ODS para el presupuesto nacional</w:t>
      </w:r>
      <w:r w:rsidR="007901C2">
        <w:t xml:space="preserve"> </w:t>
      </w:r>
      <w:r>
        <w:t xml:space="preserve">fue la siguiente. </w:t>
      </w:r>
    </w:p>
    <w:p w14:paraId="1F1DBE15" w14:textId="5ECDA08A" w:rsidR="00D43F16" w:rsidRDefault="00D43F16" w:rsidP="00E06CA9"/>
    <w:p w14:paraId="2B2FE416" w14:textId="71688EF5" w:rsidR="00354E46" w:rsidRPr="005D079D" w:rsidRDefault="007B5A38" w:rsidP="007B5A38">
      <w:pPr>
        <w:jc w:val="center"/>
        <w:rPr>
          <w:b/>
        </w:rPr>
      </w:pPr>
      <w:r w:rsidRPr="007B5A38">
        <w:rPr>
          <w:b/>
          <w:highlight w:val="yellow"/>
        </w:rPr>
        <w:lastRenderedPageBreak/>
        <w:drawing>
          <wp:inline distT="0" distB="0" distL="0" distR="0" wp14:anchorId="78D67410" wp14:editId="562F90D5">
            <wp:extent cx="5401524" cy="5407621"/>
            <wp:effectExtent l="0" t="0" r="8890" b="3175"/>
            <wp:docPr id="1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4"/>
                    <pic:cNvPicPr>
                      <a:picLocks noChangeAspect="1"/>
                    </pic:cNvPicPr>
                  </pic:nvPicPr>
                  <pic:blipFill>
                    <a:blip r:embed="rId13"/>
                    <a:stretch>
                      <a:fillRect/>
                    </a:stretch>
                  </pic:blipFill>
                  <pic:spPr>
                    <a:xfrm>
                      <a:off x="0" y="0"/>
                      <a:ext cx="5401524" cy="5407621"/>
                    </a:xfrm>
                    <a:prstGeom prst="rect">
                      <a:avLst/>
                    </a:prstGeom>
                  </pic:spPr>
                </pic:pic>
              </a:graphicData>
            </a:graphic>
          </wp:inline>
        </w:drawing>
      </w:r>
      <w:r w:rsidRPr="007B5A38">
        <w:rPr>
          <w:b/>
          <w:highlight w:val="yellow"/>
        </w:rPr>
        <w:t xml:space="preserve"> </w:t>
      </w:r>
    </w:p>
    <w:p w14:paraId="30BB3B12" w14:textId="5CF896C6" w:rsidR="00DD6D6B" w:rsidRDefault="00DD6D6B">
      <w:r>
        <w:t xml:space="preserve">De acuerdo a la distribución realizada, se destacan como los cinco principales los ODS relacionados con la Reducción de las desigualdades, la Educación de Calidad, la Salud y Bienestar, la Paz, Justicia e Instituciones Sólidas y el Fin de la Pobreza. </w:t>
      </w:r>
    </w:p>
    <w:p w14:paraId="54044731" w14:textId="03D82E16" w:rsidR="00BF7075" w:rsidRPr="00E85C8C" w:rsidRDefault="00B34C0A">
      <w:pPr>
        <w:sectPr w:rsidR="00BF7075" w:rsidRPr="00E85C8C" w:rsidSect="0010296C">
          <w:pgSz w:w="11906" w:h="16838"/>
          <w:pgMar w:top="1418" w:right="1418" w:bottom="1418" w:left="1418" w:header="709" w:footer="709" w:gutter="0"/>
          <w:cols w:space="708"/>
          <w:docGrid w:linePitch="360"/>
        </w:sectPr>
      </w:pPr>
      <w:r>
        <w:t>A continuación se</w:t>
      </w:r>
      <w:r w:rsidR="00C13329">
        <w:t xml:space="preserve"> m</w:t>
      </w:r>
      <w:r>
        <w:t>uestra</w:t>
      </w:r>
      <w:r w:rsidR="00B411B8">
        <w:t xml:space="preserve"> la distribución de la ejecución presupuestal</w:t>
      </w:r>
      <w:r w:rsidR="00C13329">
        <w:t xml:space="preserve"> ob</w:t>
      </w:r>
      <w:r w:rsidR="00B411B8">
        <w:t>tenida</w:t>
      </w:r>
      <w:r w:rsidR="00C13329">
        <w:t xml:space="preserve"> al vincular la mirada funcional del Presupu</w:t>
      </w:r>
      <w:r>
        <w:t>esto Nacional, desagregado por área p</w:t>
      </w:r>
      <w:r w:rsidR="00C13329">
        <w:t>rogramática, con los ODS.</w:t>
      </w:r>
    </w:p>
    <w:p w14:paraId="534DB29D" w14:textId="49FAA973" w:rsidR="007D00E2" w:rsidRDefault="007D00E2" w:rsidP="007B5A38">
      <w:pPr>
        <w:pStyle w:val="Epgrafe"/>
        <w:keepNext/>
      </w:pPr>
      <w:r>
        <w:lastRenderedPageBreak/>
        <w:t xml:space="preserve">Tabla </w:t>
      </w:r>
      <w:r>
        <w:fldChar w:fldCharType="begin"/>
      </w:r>
      <w:r>
        <w:instrText xml:space="preserve"> SEQ Tabla \* ARABIC </w:instrText>
      </w:r>
      <w:r>
        <w:fldChar w:fldCharType="separate"/>
      </w:r>
      <w:r w:rsidR="00833D51">
        <w:rPr>
          <w:noProof/>
        </w:rPr>
        <w:t>6</w:t>
      </w:r>
      <w:r>
        <w:fldChar w:fldCharType="end"/>
      </w:r>
      <w:r>
        <w:t xml:space="preserve"> - Presupuesto por Área Programática y ODS (millones de pesos)</w:t>
      </w:r>
    </w:p>
    <w:p w14:paraId="432C1105" w14:textId="40F90893" w:rsidR="0010296C" w:rsidRPr="00B34C0A" w:rsidRDefault="00D43F16" w:rsidP="0010296C">
      <w:r w:rsidRPr="00D43F16">
        <w:rPr>
          <w:noProof/>
          <w:lang w:eastAsia="es-UY"/>
        </w:rPr>
        <w:drawing>
          <wp:inline distT="0" distB="0" distL="0" distR="0" wp14:anchorId="1F9F2F28" wp14:editId="2694A7A3">
            <wp:extent cx="5759450" cy="2012266"/>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2012266"/>
                    </a:xfrm>
                    <a:prstGeom prst="rect">
                      <a:avLst/>
                    </a:prstGeom>
                    <a:noFill/>
                    <a:ln>
                      <a:noFill/>
                    </a:ln>
                  </pic:spPr>
                </pic:pic>
              </a:graphicData>
            </a:graphic>
          </wp:inline>
        </w:drawing>
      </w:r>
    </w:p>
    <w:p w14:paraId="0C95CE14" w14:textId="2CCAD349" w:rsidR="00A70D3A" w:rsidRDefault="00A70D3A">
      <w:r w:rsidRPr="00A70D3A">
        <w:t xml:space="preserve">Igualmente resulta </w:t>
      </w:r>
      <w:r w:rsidR="00A04F13" w:rsidRPr="00A70D3A">
        <w:t xml:space="preserve">interesante </w:t>
      </w:r>
      <w:r w:rsidRPr="00A70D3A">
        <w:t>la posibilidad</w:t>
      </w:r>
      <w:r>
        <w:t xml:space="preserve"> que brinda la metodología</w:t>
      </w:r>
      <w:r w:rsidR="000A7F29">
        <w:t xml:space="preserve"> actual</w:t>
      </w:r>
      <w:r w:rsidRPr="00A70D3A">
        <w:t xml:space="preserve"> de</w:t>
      </w:r>
      <w:r>
        <w:t xml:space="preserve"> mostr</w:t>
      </w:r>
      <w:r w:rsidR="00B411B8">
        <w:t>ar la distribución por ODS de la ejecución del</w:t>
      </w:r>
      <w:r w:rsidR="00E85C8C">
        <w:t xml:space="preserve"> Presupuesto N</w:t>
      </w:r>
      <w:r>
        <w:t xml:space="preserve">acional </w:t>
      </w:r>
      <w:r w:rsidR="00BA78FE">
        <w:t>dese una mirada institucional</w:t>
      </w:r>
      <w:r w:rsidR="00BF7075">
        <w:t>.</w:t>
      </w:r>
      <w:r w:rsidR="00BA78FE">
        <w:t xml:space="preserve"> </w:t>
      </w:r>
    </w:p>
    <w:p w14:paraId="4934DC16" w14:textId="7C184FDD" w:rsidR="00F82BAC" w:rsidRDefault="00F82BAC" w:rsidP="0010296C"/>
    <w:p w14:paraId="0BEC07B8" w14:textId="5B15AEAD" w:rsidR="00F82BAC" w:rsidRDefault="00F82BAC" w:rsidP="007B5A38">
      <w:pPr>
        <w:pStyle w:val="Epgrafe"/>
        <w:keepNext/>
      </w:pPr>
      <w:r>
        <w:t xml:space="preserve">Tabla </w:t>
      </w:r>
      <w:r>
        <w:fldChar w:fldCharType="begin"/>
      </w:r>
      <w:r>
        <w:instrText xml:space="preserve"> SEQ Tabla \* ARABIC </w:instrText>
      </w:r>
      <w:r>
        <w:fldChar w:fldCharType="separate"/>
      </w:r>
      <w:r w:rsidR="00833D51">
        <w:rPr>
          <w:noProof/>
        </w:rPr>
        <w:t>7</w:t>
      </w:r>
      <w:r>
        <w:fldChar w:fldCharType="end"/>
      </w:r>
      <w:r>
        <w:t xml:space="preserve"> - Presupuesto por Inciso</w:t>
      </w:r>
      <w:r w:rsidRPr="004C77F4">
        <w:t xml:space="preserve"> y ODS (millones de pesos)</w:t>
      </w:r>
    </w:p>
    <w:p w14:paraId="6A0F7FE6" w14:textId="4BBCC1E7" w:rsidR="0010296C" w:rsidRPr="0010296C" w:rsidRDefault="00D43F16" w:rsidP="0010296C">
      <w:r w:rsidRPr="00D43F16">
        <w:rPr>
          <w:noProof/>
          <w:lang w:eastAsia="es-UY"/>
        </w:rPr>
        <w:drawing>
          <wp:inline distT="0" distB="0" distL="0" distR="0" wp14:anchorId="7841F420" wp14:editId="19FD2268">
            <wp:extent cx="5759450" cy="2302112"/>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2302112"/>
                    </a:xfrm>
                    <a:prstGeom prst="rect">
                      <a:avLst/>
                    </a:prstGeom>
                    <a:noFill/>
                    <a:ln>
                      <a:noFill/>
                    </a:ln>
                  </pic:spPr>
                </pic:pic>
              </a:graphicData>
            </a:graphic>
          </wp:inline>
        </w:drawing>
      </w:r>
    </w:p>
    <w:p w14:paraId="6FAA81F4" w14:textId="77777777" w:rsidR="00B66A81" w:rsidRDefault="00B66A81" w:rsidP="007B5A38">
      <w:pPr>
        <w:pStyle w:val="Ttulo1"/>
        <w:numPr>
          <w:ilvl w:val="0"/>
          <w:numId w:val="9"/>
        </w:numPr>
        <w:rPr>
          <w:shd w:val="clear" w:color="auto" w:fill="FAFAFA"/>
        </w:rPr>
      </w:pPr>
      <w:r>
        <w:rPr>
          <w:shd w:val="clear" w:color="auto" w:fill="FAFAFA"/>
        </w:rPr>
        <w:t>Limitaciones metodológicas</w:t>
      </w:r>
    </w:p>
    <w:p w14:paraId="2FA6FE38" w14:textId="0332DB22" w:rsidR="001B22BB" w:rsidRDefault="00AA601B" w:rsidP="00B66A81">
      <w:r>
        <w:t xml:space="preserve">La metodología utilizada </w:t>
      </w:r>
      <w:r w:rsidR="001B22BB">
        <w:t>tiene algunas limitaciones metodológicas que se explicitan a continuación.</w:t>
      </w:r>
    </w:p>
    <w:p w14:paraId="72A3A02A" w14:textId="750E9B83" w:rsidR="00D74963" w:rsidRDefault="002B3817" w:rsidP="007B5A38">
      <w:pPr>
        <w:pStyle w:val="Prrafodelista"/>
        <w:numPr>
          <w:ilvl w:val="0"/>
          <w:numId w:val="11"/>
        </w:numPr>
      </w:pPr>
      <w:r>
        <w:rPr>
          <w:b/>
        </w:rPr>
        <w:t>Montos no contemplados en el p</w:t>
      </w:r>
      <w:r w:rsidR="00D74963">
        <w:rPr>
          <w:b/>
        </w:rPr>
        <w:t xml:space="preserve">resupuesto. </w:t>
      </w:r>
      <w:r w:rsidR="00D74963">
        <w:t xml:space="preserve">El presupuesto nacional no involucra a la totalidad del gasto estatal. En materia de salud y seguridad social solamente se encuentran computadas las asistencias financieras a los sistemas por parte del gobierno central, pero no la totalidad de recursos que se dedican al pago de pensiones y jubilaciones o al pago de las </w:t>
      </w:r>
      <w:r w:rsidR="00D74963">
        <w:t>capitas</w:t>
      </w:r>
      <w:r w:rsidR="00D74963">
        <w:t xml:space="preserve"> del sistema de salud. Tampoco se encuentran comprendidos los recursos manejados por las empresas públicas o por los gobiernos departamentales (exceptuando las transferencias que el gobierno central brinda a dichos gobiernos </w:t>
      </w:r>
      <w:proofErr w:type="spellStart"/>
      <w:r w:rsidR="00D74963">
        <w:t>subnacionales</w:t>
      </w:r>
      <w:proofErr w:type="spellEnd"/>
      <w:r w:rsidR="00D74963">
        <w:t>).</w:t>
      </w:r>
      <w:r w:rsidR="00D74963">
        <w:rPr>
          <w:rStyle w:val="Refdenotaalpie"/>
        </w:rPr>
        <w:footnoteReference w:id="3"/>
      </w:r>
    </w:p>
    <w:p w14:paraId="347387B5" w14:textId="4788533E" w:rsidR="001B22BB" w:rsidRDefault="001B22BB" w:rsidP="007B5A38">
      <w:pPr>
        <w:pStyle w:val="Prrafodelista"/>
        <w:numPr>
          <w:ilvl w:val="0"/>
          <w:numId w:val="11"/>
        </w:numPr>
      </w:pPr>
      <w:r w:rsidRPr="007B5A38">
        <w:rPr>
          <w:b/>
        </w:rPr>
        <w:t>Carácter subjetivo</w:t>
      </w:r>
      <w:r w:rsidR="00661AA9">
        <w:rPr>
          <w:b/>
        </w:rPr>
        <w:t>.</w:t>
      </w:r>
      <w:r w:rsidR="00D62617">
        <w:rPr>
          <w:b/>
        </w:rPr>
        <w:t xml:space="preserve"> </w:t>
      </w:r>
      <w:r w:rsidR="00D62617" w:rsidRPr="007B5A38">
        <w:t>Si bien la metodología perm</w:t>
      </w:r>
      <w:r w:rsidR="00AB3528" w:rsidRPr="007B5A38">
        <w:t>it</w:t>
      </w:r>
      <w:r w:rsidR="00233928">
        <w:t>e</w:t>
      </w:r>
      <w:r w:rsidR="00D62617" w:rsidRPr="007B5A38">
        <w:t xml:space="preserve"> un análisis en el máximo nivel de detalle d</w:t>
      </w:r>
      <w:r w:rsidR="00233928" w:rsidRPr="00233928">
        <w:t>e la formulación del Presupuest</w:t>
      </w:r>
      <w:r w:rsidR="00D62617" w:rsidRPr="007B5A38">
        <w:t>o Nacional</w:t>
      </w:r>
      <w:r w:rsidR="00233928">
        <w:t xml:space="preserve">, </w:t>
      </w:r>
      <w:r w:rsidR="00D62617" w:rsidRPr="007B5A38">
        <w:t>limita</w:t>
      </w:r>
      <w:r w:rsidR="00EF6C7A">
        <w:t>ndo</w:t>
      </w:r>
      <w:r w:rsidR="00D62617" w:rsidRPr="007B5A38">
        <w:t xml:space="preserve"> la subjetividad en la asignación de las </w:t>
      </w:r>
      <w:r w:rsidR="00D62617" w:rsidRPr="007B5A38">
        <w:lastRenderedPageBreak/>
        <w:t>partidas,</w:t>
      </w:r>
      <w:r w:rsidR="00D62617">
        <w:t xml:space="preserve"> </w:t>
      </w:r>
      <w:r w:rsidR="00AB3528">
        <w:t>los</w:t>
      </w:r>
      <w:r w:rsidR="00D62617">
        <w:t xml:space="preserve"> vínculo</w:t>
      </w:r>
      <w:r w:rsidR="00AB3528">
        <w:t>s</w:t>
      </w:r>
      <w:r w:rsidR="00D62617">
        <w:t xml:space="preserve"> establecido</w:t>
      </w:r>
      <w:r w:rsidR="00AB3528">
        <w:t>s con la Agenda 2030</w:t>
      </w:r>
      <w:r w:rsidR="00D62617">
        <w:t xml:space="preserve"> continúa</w:t>
      </w:r>
      <w:r w:rsidR="00AB3528">
        <w:t>n</w:t>
      </w:r>
      <w:r w:rsidR="00D62617">
        <w:t xml:space="preserve"> siendo </w:t>
      </w:r>
      <w:r>
        <w:t xml:space="preserve"> una decisión subjetiva y, por lo tanto, pasible de ser discutida.</w:t>
      </w:r>
    </w:p>
    <w:p w14:paraId="4F29EAAB" w14:textId="13173BB7" w:rsidR="001B22BB" w:rsidRDefault="001B22BB" w:rsidP="007B5A38">
      <w:pPr>
        <w:pStyle w:val="Prrafodelista"/>
        <w:numPr>
          <w:ilvl w:val="0"/>
          <w:numId w:val="11"/>
        </w:numPr>
      </w:pPr>
      <w:r>
        <w:rPr>
          <w:b/>
        </w:rPr>
        <w:t>Categorías exhaustivas y excluyentes.</w:t>
      </w:r>
      <w:r>
        <w:t xml:space="preserve"> La distribución del presupuesto por ODS tiene como definición implícita la asignación del gasto en categorías exhaustivas y excluyentes,</w:t>
      </w:r>
      <w:r w:rsidRPr="001B22BB">
        <w:t xml:space="preserve"> implicando una relación unívoca entre </w:t>
      </w:r>
      <w:r>
        <w:t xml:space="preserve">montos </w:t>
      </w:r>
      <w:r w:rsidRPr="001B22BB">
        <w:t xml:space="preserve">presupuestales y </w:t>
      </w:r>
      <w:r>
        <w:t xml:space="preserve">ODS. Por este motivo, el </w:t>
      </w:r>
      <w:r w:rsidR="006F642F">
        <w:t>gasto</w:t>
      </w:r>
      <w:r>
        <w:t xml:space="preserve"> por ODS de</w:t>
      </w:r>
      <w:r w:rsidR="00BD0BFC">
        <w:t xml:space="preserve">l presente documento </w:t>
      </w:r>
      <w:r>
        <w:t xml:space="preserve">puede no coincidir con </w:t>
      </w:r>
      <w:r w:rsidR="00BD0BFC">
        <w:t xml:space="preserve">totales de </w:t>
      </w:r>
      <w:r w:rsidR="006F642F">
        <w:t xml:space="preserve">gastos que se deriven de </w:t>
      </w:r>
      <w:r>
        <w:t xml:space="preserve">análisis </w:t>
      </w:r>
      <w:r w:rsidR="006F642F">
        <w:t xml:space="preserve">específicos </w:t>
      </w:r>
      <w:r>
        <w:t>de ODS que se realicen</w:t>
      </w:r>
      <w:r w:rsidR="006F642F">
        <w:t>. Esto sucede porque si bien desde estudios parciales puede considerarse que un mismo gasto aporta para diferentes ODS, en un análisis global como el que se presenta esto no resulta factible (de lo contrario, el gasto total sumado sería superior al presupuesto total)</w:t>
      </w:r>
      <w:r>
        <w:t>.</w:t>
      </w:r>
    </w:p>
    <w:p w14:paraId="3D1DB3F0" w14:textId="63C69E19" w:rsidR="00AA2F32" w:rsidRDefault="00661AA9" w:rsidP="00D74963">
      <w:pPr>
        <w:pStyle w:val="Prrafodelista"/>
        <w:numPr>
          <w:ilvl w:val="0"/>
          <w:numId w:val="11"/>
        </w:numPr>
      </w:pPr>
      <w:r w:rsidRPr="007B5A38">
        <w:rPr>
          <w:b/>
        </w:rPr>
        <w:t>Partidas presupuestales no consideradas.</w:t>
      </w:r>
      <w:r>
        <w:t xml:space="preserve"> Se decidió eliminar del análisis las partidas correspondientes a intereses de deuda</w:t>
      </w:r>
      <w:r w:rsidR="00BE62E2">
        <w:t>, por considerar que no inciden en un ODS específico sino en el financiamiento del conjunto de las obligaciones presupuestales. El mismo criterio se tomó con</w:t>
      </w:r>
      <w:r w:rsidR="00B71D45">
        <w:t xml:space="preserve"> la parte de</w:t>
      </w:r>
      <w:r w:rsidR="00BE62E2">
        <w:t xml:space="preserve"> las extensiones de certificados</w:t>
      </w:r>
      <w:r w:rsidR="00BE62E2" w:rsidRPr="00BE62E2">
        <w:t xml:space="preserve"> </w:t>
      </w:r>
      <w:r w:rsidR="00BE62E2" w:rsidRPr="00FE71A4">
        <w:t>a favor de los contribuyentes</w:t>
      </w:r>
      <w:r w:rsidR="00BE62E2">
        <w:t xml:space="preserve"> de la Dirección General Impositiva</w:t>
      </w:r>
      <w:r w:rsidR="00B71D45">
        <w:t xml:space="preserve"> que no representan beneficios impositivos</w:t>
      </w:r>
      <w:r w:rsidR="00BE62E2">
        <w:t xml:space="preserve"> sino devoluciones de impuestos.</w:t>
      </w:r>
      <w:commentRangeStart w:id="1"/>
      <w:r w:rsidR="00D535F9">
        <w:rPr>
          <w:rStyle w:val="Refdenotaalpie"/>
        </w:rPr>
        <w:footnoteReference w:id="4"/>
      </w:r>
      <w:commentRangeEnd w:id="1"/>
      <w:r w:rsidR="00A83752">
        <w:rPr>
          <w:rStyle w:val="Refdecomentario"/>
        </w:rPr>
        <w:commentReference w:id="1"/>
      </w:r>
    </w:p>
    <w:p w14:paraId="5D73420C" w14:textId="23D1A7C3" w:rsidR="000316A9" w:rsidRDefault="00AA2F32" w:rsidP="007B5A38">
      <w:pPr>
        <w:pStyle w:val="Prrafodelista"/>
        <w:numPr>
          <w:ilvl w:val="0"/>
          <w:numId w:val="11"/>
        </w:numPr>
      </w:pPr>
      <w:r w:rsidRPr="005F637D">
        <w:rPr>
          <w:b/>
        </w:rPr>
        <w:t xml:space="preserve">Otras limitaciones. </w:t>
      </w:r>
      <w:r w:rsidRPr="007B5A38">
        <w:t>Otras limitaciones encontradas se corresponden con los desafíos que se</w:t>
      </w:r>
      <w:r>
        <w:t xml:space="preserve"> plantean dentro del propio proceso presupuestario nacional, sobre los cuales es necesario seguir trabajando, como mejorar la definición de objetivos a nivel de incisos y unidades ejecutoras o continuar la búsqueda de mejorar la consistencia entre planificación y presupuesto corrigiendo las asignaciones en función de los programas vigentes.</w:t>
      </w:r>
    </w:p>
    <w:p w14:paraId="3EA151F8" w14:textId="6E20C14F" w:rsidR="00B66A81" w:rsidRPr="000A1182" w:rsidRDefault="00B66A81" w:rsidP="00B66A81">
      <w:r>
        <w:t>Estas limitaciones representan la necesidad de una evaluación exhaustiva los resultados obtenidos que pueden, a su vez, derivar en correcciones de asignaciones realizadas. En ocasiones se encuentra que, contrariamente a lo que debería esperarse, la vinculación posible de los programas presupuestales con los distintos ODS aumenta conforme se avanza en el análisis de las capas de información del esquema presupuestal.</w:t>
      </w:r>
    </w:p>
    <w:p w14:paraId="2E8CA9C2" w14:textId="37B88674" w:rsidR="001D503B" w:rsidRDefault="00340C57" w:rsidP="007B5A38">
      <w:pPr>
        <w:pStyle w:val="Ttulo1"/>
        <w:numPr>
          <w:ilvl w:val="0"/>
          <w:numId w:val="9"/>
        </w:numPr>
        <w:rPr>
          <w:shd w:val="clear" w:color="auto" w:fill="FAFAFA"/>
        </w:rPr>
      </w:pPr>
      <w:r>
        <w:rPr>
          <w:shd w:val="clear" w:color="auto" w:fill="FAFAFA"/>
        </w:rPr>
        <w:t>Desafíos a futuro</w:t>
      </w:r>
    </w:p>
    <w:p w14:paraId="2E6C03C8" w14:textId="4A0584C2" w:rsidR="000A7F29" w:rsidRDefault="00C00B75" w:rsidP="00C00B75">
      <w:r>
        <w:t>El principal desafío que persigue este trabajo es generar, a partir de las discusiones que puedan darse en el marco de los resultados obtenidos, un i</w:t>
      </w:r>
      <w:r w:rsidRPr="00C00B75">
        <w:t xml:space="preserve">nsumo </w:t>
      </w:r>
      <w:r>
        <w:t xml:space="preserve">que fomente un mayor involucramiento y </w:t>
      </w:r>
      <w:r w:rsidR="00895133">
        <w:t>vinculación</w:t>
      </w:r>
      <w:r w:rsidRPr="00C00B75">
        <w:t xml:space="preserve"> </w:t>
      </w:r>
      <w:r>
        <w:t>entre los O</w:t>
      </w:r>
      <w:r w:rsidR="00895133">
        <w:t xml:space="preserve">bjetivos de </w:t>
      </w:r>
      <w:r>
        <w:t>D</w:t>
      </w:r>
      <w:r w:rsidR="00895133">
        <w:t xml:space="preserve">esarrollo </w:t>
      </w:r>
      <w:r>
        <w:t>S</w:t>
      </w:r>
      <w:r w:rsidR="00895133">
        <w:t>ostenible</w:t>
      </w:r>
      <w:r>
        <w:t xml:space="preserve"> y</w:t>
      </w:r>
      <w:r w:rsidRPr="00C00B75">
        <w:t xml:space="preserve"> los procesos</w:t>
      </w:r>
      <w:r w:rsidR="00895133">
        <w:t xml:space="preserve"> nacionales</w:t>
      </w:r>
      <w:r w:rsidRPr="00C00B75">
        <w:t xml:space="preserve"> de planificación y formulación presupuestal</w:t>
      </w:r>
      <w:r>
        <w:t xml:space="preserve"> </w:t>
      </w:r>
      <w:r w:rsidR="00895133">
        <w:t>que deberán encararse a futuro</w:t>
      </w:r>
      <w:r w:rsidRPr="00C00B75">
        <w:t>.</w:t>
      </w:r>
    </w:p>
    <w:p w14:paraId="1E319095" w14:textId="3C05181E" w:rsidR="00FC77B2" w:rsidRDefault="000D0FC2">
      <w:r>
        <w:t>El esfuerzo de distribución del presupuesto nacional por ODS constituye un nuevo paso en este sentido, que a su vez abre una rica agenda de trabajo hacia futuro</w:t>
      </w:r>
      <w:r w:rsidR="00835DB1">
        <w:t>. La i</w:t>
      </w:r>
      <w:r>
        <w:t>ncorporación al análisis de recursos que no están en el presupuesto, como los montos totales d</w:t>
      </w:r>
      <w:r w:rsidR="006065A8">
        <w:t>el sistema de seguridad social,</w:t>
      </w:r>
      <w:r>
        <w:t xml:space="preserve"> del sistema nacional de salud</w:t>
      </w:r>
      <w:r w:rsidR="006065A8">
        <w:t xml:space="preserve"> o l</w:t>
      </w:r>
      <w:r w:rsidR="002B3817">
        <w:t>a ejecución de los recursos de las empresas públicas,</w:t>
      </w:r>
      <w:r w:rsidR="00835DB1">
        <w:t xml:space="preserve"> constituye un desafío importante para complementar el análisis realizado. A su vez, el intercambio con expertos </w:t>
      </w:r>
      <w:r w:rsidR="00FC1EF9">
        <w:t xml:space="preserve">nacionales e internacionales </w:t>
      </w:r>
      <w:r w:rsidR="00835DB1">
        <w:t xml:space="preserve">permitirá </w:t>
      </w:r>
      <w:r w:rsidR="00FC1EF9">
        <w:t xml:space="preserve">perfeccionar la metodología y robustecer los </w:t>
      </w:r>
      <w:r w:rsidR="00835DB1">
        <w:t xml:space="preserve">resultados </w:t>
      </w:r>
      <w:r w:rsidR="00FC1EF9">
        <w:t>encontrados</w:t>
      </w:r>
      <w:r w:rsidR="00835DB1">
        <w:t>.</w:t>
      </w:r>
    </w:p>
    <w:p w14:paraId="626C5907" w14:textId="77777777" w:rsidR="00C00B75" w:rsidRPr="005A595A" w:rsidRDefault="00C00B75" w:rsidP="005A595A"/>
    <w:sectPr w:rsidR="00C00B75" w:rsidRPr="005A595A" w:rsidSect="0010296C">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miliano Gonzalez" w:date="2019-05-02T14:50:00Z" w:initials="EG">
    <w:p w14:paraId="15845394" w14:textId="284B3913" w:rsidR="00A83752" w:rsidRDefault="00A83752">
      <w:pPr>
        <w:pStyle w:val="Textocomentario"/>
      </w:pPr>
      <w:r>
        <w:rPr>
          <w:rStyle w:val="Refdecomentario"/>
        </w:rPr>
        <w:annotationRef/>
      </w:r>
      <w:r>
        <w:t>Ver el nuevo porcentaje que representa la partida de certificados.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0088E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6940F" w14:textId="77777777" w:rsidR="00EF02FA" w:rsidRDefault="00EF02FA" w:rsidP="009E0E81">
      <w:pPr>
        <w:spacing w:after="0" w:line="240" w:lineRule="auto"/>
      </w:pPr>
      <w:r>
        <w:separator/>
      </w:r>
    </w:p>
  </w:endnote>
  <w:endnote w:type="continuationSeparator" w:id="0">
    <w:p w14:paraId="21028885" w14:textId="77777777" w:rsidR="00EF02FA" w:rsidRDefault="00EF02FA" w:rsidP="009E0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Rambla Libro">
    <w:altName w:val="Rambla Libro"/>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19D6E5" w14:textId="77777777" w:rsidR="00EF02FA" w:rsidRDefault="00EF02FA" w:rsidP="009E0E81">
      <w:pPr>
        <w:spacing w:after="0" w:line="240" w:lineRule="auto"/>
      </w:pPr>
      <w:r>
        <w:separator/>
      </w:r>
    </w:p>
  </w:footnote>
  <w:footnote w:type="continuationSeparator" w:id="0">
    <w:p w14:paraId="1A1B8684" w14:textId="77777777" w:rsidR="00EF02FA" w:rsidRDefault="00EF02FA" w:rsidP="009E0E81">
      <w:pPr>
        <w:spacing w:after="0" w:line="240" w:lineRule="auto"/>
      </w:pPr>
      <w:r>
        <w:continuationSeparator/>
      </w:r>
    </w:p>
  </w:footnote>
  <w:footnote w:id="1">
    <w:p w14:paraId="4CEFB976" w14:textId="26C00032" w:rsidR="00233928" w:rsidRPr="002120EE" w:rsidRDefault="00233928" w:rsidP="00233928">
      <w:pPr>
        <w:rPr>
          <w:sz w:val="16"/>
        </w:rPr>
      </w:pPr>
      <w:r>
        <w:rPr>
          <w:rStyle w:val="Refdenotaalpie"/>
        </w:rPr>
        <w:footnoteRef/>
      </w:r>
      <w:r>
        <w:t xml:space="preserve"> </w:t>
      </w:r>
      <w:r w:rsidRPr="007B5A38">
        <w:rPr>
          <w:sz w:val="16"/>
        </w:rPr>
        <w:t>A</w:t>
      </w:r>
      <w:r w:rsidRPr="002120EE">
        <w:rPr>
          <w:sz w:val="16"/>
        </w:rPr>
        <w:t xml:space="preserve"> partir de datos brindados por la Dirección General Impositiva</w:t>
      </w:r>
      <w:r>
        <w:rPr>
          <w:sz w:val="16"/>
        </w:rPr>
        <w:t>,</w:t>
      </w:r>
      <w:r>
        <w:t xml:space="preserve"> </w:t>
      </w:r>
      <w:r w:rsidR="00F4620D">
        <w:rPr>
          <w:sz w:val="16"/>
        </w:rPr>
        <w:t>se concluyó que un 22</w:t>
      </w:r>
      <w:r w:rsidRPr="002120EE">
        <w:rPr>
          <w:sz w:val="16"/>
        </w:rPr>
        <w:t xml:space="preserve"> % de la partida que codifica la devolución de certificados de crédito puede ser asignada al ODS 8 por tra</w:t>
      </w:r>
      <w:r w:rsidRPr="00B71D45">
        <w:rPr>
          <w:sz w:val="16"/>
        </w:rPr>
        <w:t>tarse de beneficios impositivos</w:t>
      </w:r>
      <w:r w:rsidR="00F4620D">
        <w:rPr>
          <w:sz w:val="16"/>
        </w:rPr>
        <w:t>. El 78</w:t>
      </w:r>
      <w:r w:rsidRPr="002120EE">
        <w:rPr>
          <w:sz w:val="16"/>
        </w:rPr>
        <w:t xml:space="preserve"> % restante corresponde principalmente a liquidaciones de adelantos impositivos</w:t>
      </w:r>
      <w:r>
        <w:rPr>
          <w:sz w:val="16"/>
        </w:rPr>
        <w:t xml:space="preserve"> que no fueron asignados a ningún ODS en particular (Ver limitaciones metodológicas)</w:t>
      </w:r>
      <w:r w:rsidRPr="002120EE">
        <w:rPr>
          <w:sz w:val="16"/>
        </w:rPr>
        <w:t xml:space="preserve">. </w:t>
      </w:r>
      <w:r w:rsidRPr="002120EE">
        <w:annotationRef/>
      </w:r>
      <w:r w:rsidRPr="002120EE">
        <w:annotationRef/>
      </w:r>
    </w:p>
    <w:p w14:paraId="2FB49526" w14:textId="2003CD82" w:rsidR="00233928" w:rsidRDefault="00233928">
      <w:pPr>
        <w:pStyle w:val="Textonotapie"/>
      </w:pPr>
    </w:p>
  </w:footnote>
  <w:footnote w:id="2">
    <w:p w14:paraId="73E62F9D" w14:textId="4481A29C" w:rsidR="00B71D45" w:rsidRPr="007B5A38" w:rsidRDefault="009E0E81" w:rsidP="00B71D45">
      <w:pPr>
        <w:rPr>
          <w:sz w:val="16"/>
        </w:rPr>
      </w:pPr>
      <w:r>
        <w:rPr>
          <w:rStyle w:val="Refdenotaalpie"/>
        </w:rPr>
        <w:footnoteRef/>
      </w:r>
      <w:r>
        <w:t xml:space="preserve"> </w:t>
      </w:r>
      <w:r w:rsidRPr="007B5A38">
        <w:rPr>
          <w:sz w:val="16"/>
        </w:rPr>
        <w:t xml:space="preserve">Un claro ejemplo de esto es la asignación presupuestal dentro del Inciso Presidencia de la República, Unidad Ejecutora Unidad Reguladora de Servicios de Energía y Agua del programa 482 “Regulación y Control”. </w:t>
      </w:r>
      <w:r w:rsidR="00B46F6B" w:rsidRPr="007B5A38">
        <w:rPr>
          <w:sz w:val="16"/>
        </w:rPr>
        <w:t xml:space="preserve">La unidad claramente tiene vínculos con </w:t>
      </w:r>
      <w:r w:rsidR="007D783D" w:rsidRPr="007B5A38">
        <w:rPr>
          <w:sz w:val="16"/>
        </w:rPr>
        <w:t xml:space="preserve">el ODS 6 </w:t>
      </w:r>
      <w:r w:rsidR="00CD26E1" w:rsidRPr="007B5A38">
        <w:rPr>
          <w:sz w:val="16"/>
        </w:rPr>
        <w:t>(</w:t>
      </w:r>
      <w:r w:rsidR="002608F5" w:rsidRPr="007B5A38">
        <w:rPr>
          <w:sz w:val="16"/>
        </w:rPr>
        <w:t>A</w:t>
      </w:r>
      <w:r w:rsidRPr="007B5A38">
        <w:rPr>
          <w:sz w:val="16"/>
        </w:rPr>
        <w:t xml:space="preserve">gua </w:t>
      </w:r>
      <w:r w:rsidR="002608F5" w:rsidRPr="007B5A38">
        <w:rPr>
          <w:sz w:val="16"/>
        </w:rPr>
        <w:t xml:space="preserve">limpia y </w:t>
      </w:r>
      <w:r w:rsidRPr="007B5A38">
        <w:rPr>
          <w:sz w:val="16"/>
        </w:rPr>
        <w:t>saneamiento</w:t>
      </w:r>
      <w:r w:rsidR="00CD26E1" w:rsidRPr="007B5A38">
        <w:rPr>
          <w:sz w:val="16"/>
        </w:rPr>
        <w:t>)</w:t>
      </w:r>
      <w:r w:rsidR="007D783D" w:rsidRPr="007B5A38">
        <w:rPr>
          <w:sz w:val="16"/>
        </w:rPr>
        <w:t xml:space="preserve"> y el ODS 7</w:t>
      </w:r>
      <w:r w:rsidR="00CD26E1" w:rsidRPr="007B5A38">
        <w:rPr>
          <w:sz w:val="16"/>
        </w:rPr>
        <w:t xml:space="preserve"> (</w:t>
      </w:r>
      <w:r w:rsidR="002608F5" w:rsidRPr="007B5A38">
        <w:rPr>
          <w:sz w:val="16"/>
        </w:rPr>
        <w:t>Energía asequible y no contaminante)</w:t>
      </w:r>
      <w:r w:rsidR="007D783D" w:rsidRPr="007B5A38">
        <w:rPr>
          <w:sz w:val="16"/>
        </w:rPr>
        <w:t xml:space="preserve">, pero no es posible diferenciar estos objetivos </w:t>
      </w:r>
      <w:r w:rsidRPr="007B5A38">
        <w:rPr>
          <w:sz w:val="16"/>
        </w:rPr>
        <w:t>a nivel de proyectos ni de objetos del gasto.</w:t>
      </w:r>
      <w:r w:rsidR="007D783D" w:rsidRPr="007B5A38">
        <w:rPr>
          <w:sz w:val="16"/>
        </w:rPr>
        <w:t xml:space="preserve"> En este caso se decidió </w:t>
      </w:r>
      <w:r w:rsidR="00F6681D" w:rsidRPr="007B5A38">
        <w:rPr>
          <w:sz w:val="16"/>
        </w:rPr>
        <w:t>imputar 50% del gasto para cada ODS.</w:t>
      </w:r>
      <w:r w:rsidR="00CD26E1" w:rsidRPr="007B5A38">
        <w:rPr>
          <w:sz w:val="16"/>
        </w:rPr>
        <w:t xml:space="preserve"> Otro ejemplo de relevancia es el caso de la Asistencia Financiera a la Seguridad Social, en donde se decidió imputar en parte al cumplimiento del ODS 01 </w:t>
      </w:r>
      <w:r w:rsidR="002608F5" w:rsidRPr="007B5A38">
        <w:rPr>
          <w:sz w:val="16"/>
        </w:rPr>
        <w:t xml:space="preserve">(Fin de la pobreza) </w:t>
      </w:r>
      <w:r w:rsidR="00CD26E1" w:rsidRPr="007B5A38">
        <w:rPr>
          <w:sz w:val="16"/>
        </w:rPr>
        <w:t>y en parte al cumplimiento del ODS 10</w:t>
      </w:r>
      <w:r w:rsidR="002608F5" w:rsidRPr="007B5A38">
        <w:rPr>
          <w:sz w:val="16"/>
        </w:rPr>
        <w:t xml:space="preserve"> (Reducción de las desigualdades).</w:t>
      </w:r>
      <w:r w:rsidR="00B71D45">
        <w:rPr>
          <w:sz w:val="16"/>
        </w:rPr>
        <w:t xml:space="preserve"> </w:t>
      </w:r>
    </w:p>
    <w:p w14:paraId="17D00353" w14:textId="448AC8B5" w:rsidR="009E0E81" w:rsidRDefault="009E0E81">
      <w:pPr>
        <w:pStyle w:val="Textonotapie"/>
      </w:pPr>
    </w:p>
  </w:footnote>
  <w:footnote w:id="3">
    <w:p w14:paraId="30C44E09" w14:textId="6C9FBFA7" w:rsidR="00D74963" w:rsidRDefault="00D74963">
      <w:pPr>
        <w:pStyle w:val="Textonotapie"/>
      </w:pPr>
      <w:r w:rsidRPr="006065A8">
        <w:rPr>
          <w:rStyle w:val="Refdenotaalpie"/>
          <w:sz w:val="22"/>
          <w:szCs w:val="22"/>
        </w:rPr>
        <w:footnoteRef/>
      </w:r>
      <w:r w:rsidRPr="006065A8">
        <w:rPr>
          <w:rStyle w:val="Refdenotaalpie"/>
          <w:sz w:val="22"/>
          <w:szCs w:val="22"/>
        </w:rPr>
        <w:t xml:space="preserve"> </w:t>
      </w:r>
      <w:r w:rsidRPr="006065A8">
        <w:rPr>
          <w:sz w:val="16"/>
        </w:rPr>
        <w:t>A modo de referencia, el total del Presupuesto Nacional representó en el Año 2017 un 28% del Producto</w:t>
      </w:r>
      <w:r w:rsidR="006065A8" w:rsidRPr="006065A8">
        <w:rPr>
          <w:sz w:val="16"/>
        </w:rPr>
        <w:t xml:space="preserve"> Bruto</w:t>
      </w:r>
      <w:r w:rsidRPr="006065A8">
        <w:rPr>
          <w:sz w:val="16"/>
        </w:rPr>
        <w:t xml:space="preserve"> Interno</w:t>
      </w:r>
      <w:r w:rsidR="006065A8">
        <w:rPr>
          <w:sz w:val="16"/>
        </w:rPr>
        <w:t xml:space="preserve"> del País.</w:t>
      </w:r>
      <w:r>
        <w:t xml:space="preserve"> </w:t>
      </w:r>
    </w:p>
  </w:footnote>
  <w:footnote w:id="4">
    <w:p w14:paraId="221C4665" w14:textId="3D0ADF91" w:rsidR="00D535F9" w:rsidRDefault="00D535F9">
      <w:pPr>
        <w:pStyle w:val="Textonotapie"/>
      </w:pPr>
      <w:r>
        <w:rPr>
          <w:rStyle w:val="Refdenotaalpie"/>
        </w:rPr>
        <w:footnoteRef/>
      </w:r>
      <w:r>
        <w:t xml:space="preserve"> </w:t>
      </w:r>
      <w:r w:rsidRPr="007B5A38">
        <w:rPr>
          <w:sz w:val="16"/>
        </w:rPr>
        <w:t xml:space="preserve">Vale aclarar que la ejecución </w:t>
      </w:r>
      <w:r w:rsidR="00A72130" w:rsidRPr="007B5A38">
        <w:rPr>
          <w:sz w:val="16"/>
        </w:rPr>
        <w:t xml:space="preserve">presupuestal </w:t>
      </w:r>
      <w:r w:rsidRPr="007B5A38">
        <w:rPr>
          <w:sz w:val="16"/>
        </w:rPr>
        <w:t>por estos conceptos representa un porcentaje importante del presupuesto nacional ejecutado (9</w:t>
      </w:r>
      <w:r w:rsidR="002374EF" w:rsidRPr="007B5A38">
        <w:rPr>
          <w:sz w:val="16"/>
        </w:rPr>
        <w:t>,6</w:t>
      </w:r>
      <w:r w:rsidRPr="007B5A38">
        <w:rPr>
          <w:sz w:val="16"/>
        </w:rPr>
        <w:t xml:space="preserve">% y </w:t>
      </w:r>
      <w:r w:rsidR="00746C9F">
        <w:rPr>
          <w:sz w:val="16"/>
        </w:rPr>
        <w:t>6</w:t>
      </w:r>
      <w:r w:rsidRPr="007B5A38">
        <w:rPr>
          <w:sz w:val="16"/>
        </w:rPr>
        <w:t>,</w:t>
      </w:r>
      <w:r w:rsidR="002374EF" w:rsidRPr="007B5A38">
        <w:rPr>
          <w:sz w:val="16"/>
        </w:rPr>
        <w:t>9</w:t>
      </w:r>
      <w:r w:rsidRPr="007B5A38">
        <w:rPr>
          <w:sz w:val="16"/>
        </w:rPr>
        <w:t>% respectivamente para el año 2017).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076D"/>
    <w:multiLevelType w:val="hybridMultilevel"/>
    <w:tmpl w:val="2760E95C"/>
    <w:lvl w:ilvl="0" w:tplc="14A45800">
      <w:start w:val="1"/>
      <w:numFmt w:val="bullet"/>
      <w:lvlText w:val="•"/>
      <w:lvlJc w:val="left"/>
      <w:pPr>
        <w:tabs>
          <w:tab w:val="num" w:pos="720"/>
        </w:tabs>
        <w:ind w:left="720" w:hanging="360"/>
      </w:pPr>
      <w:rPr>
        <w:rFonts w:ascii="Arial" w:hAnsi="Arial" w:hint="default"/>
      </w:rPr>
    </w:lvl>
    <w:lvl w:ilvl="1" w:tplc="4A7866A4">
      <w:start w:val="1"/>
      <w:numFmt w:val="bullet"/>
      <w:lvlText w:val="•"/>
      <w:lvlJc w:val="left"/>
      <w:pPr>
        <w:tabs>
          <w:tab w:val="num" w:pos="1440"/>
        </w:tabs>
        <w:ind w:left="1440" w:hanging="360"/>
      </w:pPr>
      <w:rPr>
        <w:rFonts w:ascii="Arial" w:hAnsi="Arial" w:hint="default"/>
      </w:rPr>
    </w:lvl>
    <w:lvl w:ilvl="2" w:tplc="13BEC5A4" w:tentative="1">
      <w:start w:val="1"/>
      <w:numFmt w:val="bullet"/>
      <w:lvlText w:val="•"/>
      <w:lvlJc w:val="left"/>
      <w:pPr>
        <w:tabs>
          <w:tab w:val="num" w:pos="2160"/>
        </w:tabs>
        <w:ind w:left="2160" w:hanging="360"/>
      </w:pPr>
      <w:rPr>
        <w:rFonts w:ascii="Arial" w:hAnsi="Arial" w:hint="default"/>
      </w:rPr>
    </w:lvl>
    <w:lvl w:ilvl="3" w:tplc="A4DAE3D2" w:tentative="1">
      <w:start w:val="1"/>
      <w:numFmt w:val="bullet"/>
      <w:lvlText w:val="•"/>
      <w:lvlJc w:val="left"/>
      <w:pPr>
        <w:tabs>
          <w:tab w:val="num" w:pos="2880"/>
        </w:tabs>
        <w:ind w:left="2880" w:hanging="360"/>
      </w:pPr>
      <w:rPr>
        <w:rFonts w:ascii="Arial" w:hAnsi="Arial" w:hint="default"/>
      </w:rPr>
    </w:lvl>
    <w:lvl w:ilvl="4" w:tplc="7DC43578" w:tentative="1">
      <w:start w:val="1"/>
      <w:numFmt w:val="bullet"/>
      <w:lvlText w:val="•"/>
      <w:lvlJc w:val="left"/>
      <w:pPr>
        <w:tabs>
          <w:tab w:val="num" w:pos="3600"/>
        </w:tabs>
        <w:ind w:left="3600" w:hanging="360"/>
      </w:pPr>
      <w:rPr>
        <w:rFonts w:ascii="Arial" w:hAnsi="Arial" w:hint="default"/>
      </w:rPr>
    </w:lvl>
    <w:lvl w:ilvl="5" w:tplc="88C6B29C" w:tentative="1">
      <w:start w:val="1"/>
      <w:numFmt w:val="bullet"/>
      <w:lvlText w:val="•"/>
      <w:lvlJc w:val="left"/>
      <w:pPr>
        <w:tabs>
          <w:tab w:val="num" w:pos="4320"/>
        </w:tabs>
        <w:ind w:left="4320" w:hanging="360"/>
      </w:pPr>
      <w:rPr>
        <w:rFonts w:ascii="Arial" w:hAnsi="Arial" w:hint="default"/>
      </w:rPr>
    </w:lvl>
    <w:lvl w:ilvl="6" w:tplc="7832BAF2" w:tentative="1">
      <w:start w:val="1"/>
      <w:numFmt w:val="bullet"/>
      <w:lvlText w:val="•"/>
      <w:lvlJc w:val="left"/>
      <w:pPr>
        <w:tabs>
          <w:tab w:val="num" w:pos="5040"/>
        </w:tabs>
        <w:ind w:left="5040" w:hanging="360"/>
      </w:pPr>
      <w:rPr>
        <w:rFonts w:ascii="Arial" w:hAnsi="Arial" w:hint="default"/>
      </w:rPr>
    </w:lvl>
    <w:lvl w:ilvl="7" w:tplc="486846A2" w:tentative="1">
      <w:start w:val="1"/>
      <w:numFmt w:val="bullet"/>
      <w:lvlText w:val="•"/>
      <w:lvlJc w:val="left"/>
      <w:pPr>
        <w:tabs>
          <w:tab w:val="num" w:pos="5760"/>
        </w:tabs>
        <w:ind w:left="5760" w:hanging="360"/>
      </w:pPr>
      <w:rPr>
        <w:rFonts w:ascii="Arial" w:hAnsi="Arial" w:hint="default"/>
      </w:rPr>
    </w:lvl>
    <w:lvl w:ilvl="8" w:tplc="0C22ED80" w:tentative="1">
      <w:start w:val="1"/>
      <w:numFmt w:val="bullet"/>
      <w:lvlText w:val="•"/>
      <w:lvlJc w:val="left"/>
      <w:pPr>
        <w:tabs>
          <w:tab w:val="num" w:pos="6480"/>
        </w:tabs>
        <w:ind w:left="6480" w:hanging="360"/>
      </w:pPr>
      <w:rPr>
        <w:rFonts w:ascii="Arial" w:hAnsi="Arial" w:hint="default"/>
      </w:rPr>
    </w:lvl>
  </w:abstractNum>
  <w:abstractNum w:abstractNumId="1">
    <w:nsid w:val="05164E81"/>
    <w:multiLevelType w:val="hybridMultilevel"/>
    <w:tmpl w:val="01E03672"/>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05F65FA1"/>
    <w:multiLevelType w:val="hybridMultilevel"/>
    <w:tmpl w:val="FED86EF4"/>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15CE3E62"/>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933F16"/>
    <w:multiLevelType w:val="hybridMultilevel"/>
    <w:tmpl w:val="0256203E"/>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nsid w:val="1C51177D"/>
    <w:multiLevelType w:val="hybridMultilevel"/>
    <w:tmpl w:val="9730AF5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46660554"/>
    <w:multiLevelType w:val="hybridMultilevel"/>
    <w:tmpl w:val="2A58EEF6"/>
    <w:lvl w:ilvl="0" w:tplc="F1364BB0">
      <w:start w:val="1"/>
      <w:numFmt w:val="bullet"/>
      <w:lvlText w:val="•"/>
      <w:lvlJc w:val="left"/>
      <w:pPr>
        <w:tabs>
          <w:tab w:val="num" w:pos="720"/>
        </w:tabs>
        <w:ind w:left="720" w:hanging="360"/>
      </w:pPr>
      <w:rPr>
        <w:rFonts w:ascii="Arial" w:hAnsi="Arial" w:hint="default"/>
      </w:rPr>
    </w:lvl>
    <w:lvl w:ilvl="1" w:tplc="018A5218" w:tentative="1">
      <w:start w:val="1"/>
      <w:numFmt w:val="bullet"/>
      <w:lvlText w:val="•"/>
      <w:lvlJc w:val="left"/>
      <w:pPr>
        <w:tabs>
          <w:tab w:val="num" w:pos="1440"/>
        </w:tabs>
        <w:ind w:left="1440" w:hanging="360"/>
      </w:pPr>
      <w:rPr>
        <w:rFonts w:ascii="Arial" w:hAnsi="Arial" w:hint="default"/>
      </w:rPr>
    </w:lvl>
    <w:lvl w:ilvl="2" w:tplc="E2C8D8AE">
      <w:start w:val="1"/>
      <w:numFmt w:val="bullet"/>
      <w:lvlText w:val="•"/>
      <w:lvlJc w:val="left"/>
      <w:pPr>
        <w:tabs>
          <w:tab w:val="num" w:pos="2160"/>
        </w:tabs>
        <w:ind w:left="2160" w:hanging="360"/>
      </w:pPr>
      <w:rPr>
        <w:rFonts w:ascii="Arial" w:hAnsi="Arial" w:hint="default"/>
      </w:rPr>
    </w:lvl>
    <w:lvl w:ilvl="3" w:tplc="1B423522" w:tentative="1">
      <w:start w:val="1"/>
      <w:numFmt w:val="bullet"/>
      <w:lvlText w:val="•"/>
      <w:lvlJc w:val="left"/>
      <w:pPr>
        <w:tabs>
          <w:tab w:val="num" w:pos="2880"/>
        </w:tabs>
        <w:ind w:left="2880" w:hanging="360"/>
      </w:pPr>
      <w:rPr>
        <w:rFonts w:ascii="Arial" w:hAnsi="Arial" w:hint="default"/>
      </w:rPr>
    </w:lvl>
    <w:lvl w:ilvl="4" w:tplc="B732AE2E" w:tentative="1">
      <w:start w:val="1"/>
      <w:numFmt w:val="bullet"/>
      <w:lvlText w:val="•"/>
      <w:lvlJc w:val="left"/>
      <w:pPr>
        <w:tabs>
          <w:tab w:val="num" w:pos="3600"/>
        </w:tabs>
        <w:ind w:left="3600" w:hanging="360"/>
      </w:pPr>
      <w:rPr>
        <w:rFonts w:ascii="Arial" w:hAnsi="Arial" w:hint="default"/>
      </w:rPr>
    </w:lvl>
    <w:lvl w:ilvl="5" w:tplc="89F02E6C" w:tentative="1">
      <w:start w:val="1"/>
      <w:numFmt w:val="bullet"/>
      <w:lvlText w:val="•"/>
      <w:lvlJc w:val="left"/>
      <w:pPr>
        <w:tabs>
          <w:tab w:val="num" w:pos="4320"/>
        </w:tabs>
        <w:ind w:left="4320" w:hanging="360"/>
      </w:pPr>
      <w:rPr>
        <w:rFonts w:ascii="Arial" w:hAnsi="Arial" w:hint="default"/>
      </w:rPr>
    </w:lvl>
    <w:lvl w:ilvl="6" w:tplc="4DC4B414" w:tentative="1">
      <w:start w:val="1"/>
      <w:numFmt w:val="bullet"/>
      <w:lvlText w:val="•"/>
      <w:lvlJc w:val="left"/>
      <w:pPr>
        <w:tabs>
          <w:tab w:val="num" w:pos="5040"/>
        </w:tabs>
        <w:ind w:left="5040" w:hanging="360"/>
      </w:pPr>
      <w:rPr>
        <w:rFonts w:ascii="Arial" w:hAnsi="Arial" w:hint="default"/>
      </w:rPr>
    </w:lvl>
    <w:lvl w:ilvl="7" w:tplc="ECDA00D4" w:tentative="1">
      <w:start w:val="1"/>
      <w:numFmt w:val="bullet"/>
      <w:lvlText w:val="•"/>
      <w:lvlJc w:val="left"/>
      <w:pPr>
        <w:tabs>
          <w:tab w:val="num" w:pos="5760"/>
        </w:tabs>
        <w:ind w:left="5760" w:hanging="360"/>
      </w:pPr>
      <w:rPr>
        <w:rFonts w:ascii="Arial" w:hAnsi="Arial" w:hint="default"/>
      </w:rPr>
    </w:lvl>
    <w:lvl w:ilvl="8" w:tplc="35A439F4" w:tentative="1">
      <w:start w:val="1"/>
      <w:numFmt w:val="bullet"/>
      <w:lvlText w:val="•"/>
      <w:lvlJc w:val="left"/>
      <w:pPr>
        <w:tabs>
          <w:tab w:val="num" w:pos="6480"/>
        </w:tabs>
        <w:ind w:left="6480" w:hanging="360"/>
      </w:pPr>
      <w:rPr>
        <w:rFonts w:ascii="Arial" w:hAnsi="Arial" w:hint="default"/>
      </w:rPr>
    </w:lvl>
  </w:abstractNum>
  <w:abstractNum w:abstractNumId="7">
    <w:nsid w:val="56287914"/>
    <w:multiLevelType w:val="hybridMultilevel"/>
    <w:tmpl w:val="9C26075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65443693"/>
    <w:multiLevelType w:val="hybridMultilevel"/>
    <w:tmpl w:val="C79AD578"/>
    <w:lvl w:ilvl="0" w:tplc="F31E7988">
      <w:start w:val="1"/>
      <w:numFmt w:val="bullet"/>
      <w:lvlText w:val="•"/>
      <w:lvlJc w:val="left"/>
      <w:pPr>
        <w:tabs>
          <w:tab w:val="num" w:pos="720"/>
        </w:tabs>
        <w:ind w:left="720" w:hanging="360"/>
      </w:pPr>
      <w:rPr>
        <w:rFonts w:ascii="Arial" w:hAnsi="Arial" w:hint="default"/>
      </w:rPr>
    </w:lvl>
    <w:lvl w:ilvl="1" w:tplc="D3D4FF64" w:tentative="1">
      <w:start w:val="1"/>
      <w:numFmt w:val="bullet"/>
      <w:lvlText w:val="•"/>
      <w:lvlJc w:val="left"/>
      <w:pPr>
        <w:tabs>
          <w:tab w:val="num" w:pos="1440"/>
        </w:tabs>
        <w:ind w:left="1440" w:hanging="360"/>
      </w:pPr>
      <w:rPr>
        <w:rFonts w:ascii="Arial" w:hAnsi="Arial" w:hint="default"/>
      </w:rPr>
    </w:lvl>
    <w:lvl w:ilvl="2" w:tplc="6770CD26">
      <w:start w:val="1"/>
      <w:numFmt w:val="bullet"/>
      <w:lvlText w:val="•"/>
      <w:lvlJc w:val="left"/>
      <w:pPr>
        <w:tabs>
          <w:tab w:val="num" w:pos="2160"/>
        </w:tabs>
        <w:ind w:left="2160" w:hanging="360"/>
      </w:pPr>
      <w:rPr>
        <w:rFonts w:ascii="Arial" w:hAnsi="Arial" w:hint="default"/>
      </w:rPr>
    </w:lvl>
    <w:lvl w:ilvl="3" w:tplc="ADBC8270" w:tentative="1">
      <w:start w:val="1"/>
      <w:numFmt w:val="bullet"/>
      <w:lvlText w:val="•"/>
      <w:lvlJc w:val="left"/>
      <w:pPr>
        <w:tabs>
          <w:tab w:val="num" w:pos="2880"/>
        </w:tabs>
        <w:ind w:left="2880" w:hanging="360"/>
      </w:pPr>
      <w:rPr>
        <w:rFonts w:ascii="Arial" w:hAnsi="Arial" w:hint="default"/>
      </w:rPr>
    </w:lvl>
    <w:lvl w:ilvl="4" w:tplc="A828B9D6" w:tentative="1">
      <w:start w:val="1"/>
      <w:numFmt w:val="bullet"/>
      <w:lvlText w:val="•"/>
      <w:lvlJc w:val="left"/>
      <w:pPr>
        <w:tabs>
          <w:tab w:val="num" w:pos="3600"/>
        </w:tabs>
        <w:ind w:left="3600" w:hanging="360"/>
      </w:pPr>
      <w:rPr>
        <w:rFonts w:ascii="Arial" w:hAnsi="Arial" w:hint="default"/>
      </w:rPr>
    </w:lvl>
    <w:lvl w:ilvl="5" w:tplc="E506AABE" w:tentative="1">
      <w:start w:val="1"/>
      <w:numFmt w:val="bullet"/>
      <w:lvlText w:val="•"/>
      <w:lvlJc w:val="left"/>
      <w:pPr>
        <w:tabs>
          <w:tab w:val="num" w:pos="4320"/>
        </w:tabs>
        <w:ind w:left="4320" w:hanging="360"/>
      </w:pPr>
      <w:rPr>
        <w:rFonts w:ascii="Arial" w:hAnsi="Arial" w:hint="default"/>
      </w:rPr>
    </w:lvl>
    <w:lvl w:ilvl="6" w:tplc="A9BAB4CE" w:tentative="1">
      <w:start w:val="1"/>
      <w:numFmt w:val="bullet"/>
      <w:lvlText w:val="•"/>
      <w:lvlJc w:val="left"/>
      <w:pPr>
        <w:tabs>
          <w:tab w:val="num" w:pos="5040"/>
        </w:tabs>
        <w:ind w:left="5040" w:hanging="360"/>
      </w:pPr>
      <w:rPr>
        <w:rFonts w:ascii="Arial" w:hAnsi="Arial" w:hint="default"/>
      </w:rPr>
    </w:lvl>
    <w:lvl w:ilvl="7" w:tplc="E9A04DCC" w:tentative="1">
      <w:start w:val="1"/>
      <w:numFmt w:val="bullet"/>
      <w:lvlText w:val="•"/>
      <w:lvlJc w:val="left"/>
      <w:pPr>
        <w:tabs>
          <w:tab w:val="num" w:pos="5760"/>
        </w:tabs>
        <w:ind w:left="5760" w:hanging="360"/>
      </w:pPr>
      <w:rPr>
        <w:rFonts w:ascii="Arial" w:hAnsi="Arial" w:hint="default"/>
      </w:rPr>
    </w:lvl>
    <w:lvl w:ilvl="8" w:tplc="05CEF222" w:tentative="1">
      <w:start w:val="1"/>
      <w:numFmt w:val="bullet"/>
      <w:lvlText w:val="•"/>
      <w:lvlJc w:val="left"/>
      <w:pPr>
        <w:tabs>
          <w:tab w:val="num" w:pos="6480"/>
        </w:tabs>
        <w:ind w:left="6480" w:hanging="360"/>
      </w:pPr>
      <w:rPr>
        <w:rFonts w:ascii="Arial" w:hAnsi="Arial" w:hint="default"/>
      </w:rPr>
    </w:lvl>
  </w:abstractNum>
  <w:abstractNum w:abstractNumId="9">
    <w:nsid w:val="76B37397"/>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8202DE1"/>
    <w:multiLevelType w:val="hybridMultilevel"/>
    <w:tmpl w:val="76AC42F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7DCF3A62"/>
    <w:multiLevelType w:val="hybridMultilevel"/>
    <w:tmpl w:val="0C682BA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0"/>
  </w:num>
  <w:num w:numId="4">
    <w:abstractNumId w:val="0"/>
  </w:num>
  <w:num w:numId="5">
    <w:abstractNumId w:val="6"/>
  </w:num>
  <w:num w:numId="6">
    <w:abstractNumId w:val="8"/>
  </w:num>
  <w:num w:numId="7">
    <w:abstractNumId w:val="11"/>
  </w:num>
  <w:num w:numId="8">
    <w:abstractNumId w:val="4"/>
  </w:num>
  <w:num w:numId="9">
    <w:abstractNumId w:val="9"/>
  </w:num>
  <w:num w:numId="10">
    <w:abstractNumId w:val="3"/>
  </w:num>
  <w:num w:numId="11">
    <w:abstractNumId w:val="2"/>
  </w:num>
  <w:num w:numId="12">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to">
    <w15:presenceInfo w15:providerId="None" w15:userId="Li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revisionView w:markup="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C57"/>
    <w:rsid w:val="00006CA2"/>
    <w:rsid w:val="00014EF9"/>
    <w:rsid w:val="000316A9"/>
    <w:rsid w:val="00057A50"/>
    <w:rsid w:val="00071B82"/>
    <w:rsid w:val="000757E3"/>
    <w:rsid w:val="00081D56"/>
    <w:rsid w:val="00086273"/>
    <w:rsid w:val="00093F84"/>
    <w:rsid w:val="000A0396"/>
    <w:rsid w:val="000A1182"/>
    <w:rsid w:val="000A19CE"/>
    <w:rsid w:val="000A7F29"/>
    <w:rsid w:val="000B33D5"/>
    <w:rsid w:val="000B45DD"/>
    <w:rsid w:val="000C3D45"/>
    <w:rsid w:val="000D0FC2"/>
    <w:rsid w:val="0010296C"/>
    <w:rsid w:val="001052B4"/>
    <w:rsid w:val="00145ED9"/>
    <w:rsid w:val="001662C1"/>
    <w:rsid w:val="0017080F"/>
    <w:rsid w:val="001734C7"/>
    <w:rsid w:val="00181F2D"/>
    <w:rsid w:val="0019015B"/>
    <w:rsid w:val="001A0FA0"/>
    <w:rsid w:val="001B22BB"/>
    <w:rsid w:val="001D503B"/>
    <w:rsid w:val="001F007A"/>
    <w:rsid w:val="001F7319"/>
    <w:rsid w:val="00201A84"/>
    <w:rsid w:val="00206B4E"/>
    <w:rsid w:val="002100C9"/>
    <w:rsid w:val="00233928"/>
    <w:rsid w:val="002374EF"/>
    <w:rsid w:val="00242DCB"/>
    <w:rsid w:val="002608F5"/>
    <w:rsid w:val="002727A8"/>
    <w:rsid w:val="002823AC"/>
    <w:rsid w:val="002A0091"/>
    <w:rsid w:val="002B1238"/>
    <w:rsid w:val="002B3817"/>
    <w:rsid w:val="003329B1"/>
    <w:rsid w:val="00340C57"/>
    <w:rsid w:val="00347FF6"/>
    <w:rsid w:val="00353721"/>
    <w:rsid w:val="00354E46"/>
    <w:rsid w:val="00384E23"/>
    <w:rsid w:val="003A3775"/>
    <w:rsid w:val="003B43BF"/>
    <w:rsid w:val="003F1464"/>
    <w:rsid w:val="003F35B4"/>
    <w:rsid w:val="003F4D49"/>
    <w:rsid w:val="00404BB5"/>
    <w:rsid w:val="00405C04"/>
    <w:rsid w:val="00412533"/>
    <w:rsid w:val="004143D5"/>
    <w:rsid w:val="0042112D"/>
    <w:rsid w:val="004330D1"/>
    <w:rsid w:val="00453669"/>
    <w:rsid w:val="0046732C"/>
    <w:rsid w:val="004936FD"/>
    <w:rsid w:val="004A16FF"/>
    <w:rsid w:val="004D2B13"/>
    <w:rsid w:val="004E4CED"/>
    <w:rsid w:val="005025FA"/>
    <w:rsid w:val="00532C92"/>
    <w:rsid w:val="00535F6C"/>
    <w:rsid w:val="005544E7"/>
    <w:rsid w:val="00567432"/>
    <w:rsid w:val="00585C95"/>
    <w:rsid w:val="0059772F"/>
    <w:rsid w:val="005A595A"/>
    <w:rsid w:val="005A5AA4"/>
    <w:rsid w:val="005C1786"/>
    <w:rsid w:val="005D079D"/>
    <w:rsid w:val="005E5992"/>
    <w:rsid w:val="005F154B"/>
    <w:rsid w:val="006065A8"/>
    <w:rsid w:val="006560A8"/>
    <w:rsid w:val="00661AA9"/>
    <w:rsid w:val="00672CBA"/>
    <w:rsid w:val="00675F3E"/>
    <w:rsid w:val="006A710A"/>
    <w:rsid w:val="006D1ED0"/>
    <w:rsid w:val="006F642F"/>
    <w:rsid w:val="007161AD"/>
    <w:rsid w:val="00730119"/>
    <w:rsid w:val="00746C9F"/>
    <w:rsid w:val="00753491"/>
    <w:rsid w:val="00754403"/>
    <w:rsid w:val="00765CAF"/>
    <w:rsid w:val="00771F05"/>
    <w:rsid w:val="00781A8E"/>
    <w:rsid w:val="007901C2"/>
    <w:rsid w:val="007A1AF7"/>
    <w:rsid w:val="007B2101"/>
    <w:rsid w:val="007B2CB1"/>
    <w:rsid w:val="007B5A38"/>
    <w:rsid w:val="007B6E52"/>
    <w:rsid w:val="007C2686"/>
    <w:rsid w:val="007C62B1"/>
    <w:rsid w:val="007D00E2"/>
    <w:rsid w:val="007D783D"/>
    <w:rsid w:val="007E0002"/>
    <w:rsid w:val="007E7A2B"/>
    <w:rsid w:val="0080766C"/>
    <w:rsid w:val="00833D51"/>
    <w:rsid w:val="00835DB1"/>
    <w:rsid w:val="00895133"/>
    <w:rsid w:val="008A1E6A"/>
    <w:rsid w:val="008A22D1"/>
    <w:rsid w:val="008A7BF0"/>
    <w:rsid w:val="008C1482"/>
    <w:rsid w:val="008D1AA4"/>
    <w:rsid w:val="008E4DC0"/>
    <w:rsid w:val="008E6D1D"/>
    <w:rsid w:val="00904001"/>
    <w:rsid w:val="009073C7"/>
    <w:rsid w:val="00923AB2"/>
    <w:rsid w:val="00930F88"/>
    <w:rsid w:val="00961004"/>
    <w:rsid w:val="009713A3"/>
    <w:rsid w:val="00975659"/>
    <w:rsid w:val="00992E57"/>
    <w:rsid w:val="009972CD"/>
    <w:rsid w:val="009A0221"/>
    <w:rsid w:val="009A5B8A"/>
    <w:rsid w:val="009B13AB"/>
    <w:rsid w:val="009B7DCD"/>
    <w:rsid w:val="009C1B26"/>
    <w:rsid w:val="009E0E81"/>
    <w:rsid w:val="00A04F13"/>
    <w:rsid w:val="00A2077A"/>
    <w:rsid w:val="00A243F4"/>
    <w:rsid w:val="00A319C0"/>
    <w:rsid w:val="00A4419D"/>
    <w:rsid w:val="00A54B39"/>
    <w:rsid w:val="00A70D3A"/>
    <w:rsid w:val="00A72130"/>
    <w:rsid w:val="00A76CF5"/>
    <w:rsid w:val="00A83752"/>
    <w:rsid w:val="00AA2614"/>
    <w:rsid w:val="00AA2F32"/>
    <w:rsid w:val="00AA601B"/>
    <w:rsid w:val="00AB3528"/>
    <w:rsid w:val="00AB50DC"/>
    <w:rsid w:val="00AD02E3"/>
    <w:rsid w:val="00AD5006"/>
    <w:rsid w:val="00AD5EAF"/>
    <w:rsid w:val="00AD7577"/>
    <w:rsid w:val="00AD7753"/>
    <w:rsid w:val="00AD7F89"/>
    <w:rsid w:val="00B006C5"/>
    <w:rsid w:val="00B0257D"/>
    <w:rsid w:val="00B02B66"/>
    <w:rsid w:val="00B03F4F"/>
    <w:rsid w:val="00B15A78"/>
    <w:rsid w:val="00B34C0A"/>
    <w:rsid w:val="00B411B8"/>
    <w:rsid w:val="00B46083"/>
    <w:rsid w:val="00B46F6B"/>
    <w:rsid w:val="00B47D53"/>
    <w:rsid w:val="00B66A81"/>
    <w:rsid w:val="00B71D45"/>
    <w:rsid w:val="00B770B9"/>
    <w:rsid w:val="00B807FF"/>
    <w:rsid w:val="00B86FD9"/>
    <w:rsid w:val="00B872B4"/>
    <w:rsid w:val="00B95590"/>
    <w:rsid w:val="00BA78FE"/>
    <w:rsid w:val="00BC49C0"/>
    <w:rsid w:val="00BC7634"/>
    <w:rsid w:val="00BD0BFC"/>
    <w:rsid w:val="00BE62E2"/>
    <w:rsid w:val="00BE696C"/>
    <w:rsid w:val="00BF124B"/>
    <w:rsid w:val="00BF1582"/>
    <w:rsid w:val="00BF62BD"/>
    <w:rsid w:val="00BF7075"/>
    <w:rsid w:val="00C00B75"/>
    <w:rsid w:val="00C07115"/>
    <w:rsid w:val="00C13329"/>
    <w:rsid w:val="00C20189"/>
    <w:rsid w:val="00C30CB8"/>
    <w:rsid w:val="00C43089"/>
    <w:rsid w:val="00C43304"/>
    <w:rsid w:val="00C52193"/>
    <w:rsid w:val="00C61509"/>
    <w:rsid w:val="00C802F6"/>
    <w:rsid w:val="00C9282E"/>
    <w:rsid w:val="00C941C8"/>
    <w:rsid w:val="00CD26E1"/>
    <w:rsid w:val="00D26AED"/>
    <w:rsid w:val="00D31F01"/>
    <w:rsid w:val="00D43F16"/>
    <w:rsid w:val="00D45A12"/>
    <w:rsid w:val="00D45AD6"/>
    <w:rsid w:val="00D535F9"/>
    <w:rsid w:val="00D62617"/>
    <w:rsid w:val="00D74963"/>
    <w:rsid w:val="00DA166D"/>
    <w:rsid w:val="00DC0BF3"/>
    <w:rsid w:val="00DD6D6B"/>
    <w:rsid w:val="00E06CA9"/>
    <w:rsid w:val="00E21FE2"/>
    <w:rsid w:val="00E238C1"/>
    <w:rsid w:val="00E25DE7"/>
    <w:rsid w:val="00E41C1F"/>
    <w:rsid w:val="00E45DD9"/>
    <w:rsid w:val="00E6622A"/>
    <w:rsid w:val="00E85C8C"/>
    <w:rsid w:val="00E944BE"/>
    <w:rsid w:val="00EB44E2"/>
    <w:rsid w:val="00EC3190"/>
    <w:rsid w:val="00EE04EF"/>
    <w:rsid w:val="00EE5D63"/>
    <w:rsid w:val="00EF02FA"/>
    <w:rsid w:val="00EF6C7A"/>
    <w:rsid w:val="00F33021"/>
    <w:rsid w:val="00F4317C"/>
    <w:rsid w:val="00F4620D"/>
    <w:rsid w:val="00F50329"/>
    <w:rsid w:val="00F63D9A"/>
    <w:rsid w:val="00F6681D"/>
    <w:rsid w:val="00F82BAC"/>
    <w:rsid w:val="00F914A1"/>
    <w:rsid w:val="00FB0C41"/>
    <w:rsid w:val="00FC1EF9"/>
    <w:rsid w:val="00FC77B2"/>
    <w:rsid w:val="00FD03A8"/>
    <w:rsid w:val="00FD071E"/>
    <w:rsid w:val="00FE71A4"/>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5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A81"/>
    <w:pPr>
      <w:jc w:val="both"/>
    </w:pPr>
  </w:style>
  <w:style w:type="paragraph" w:styleId="Ttulo1">
    <w:name w:val="heading 1"/>
    <w:basedOn w:val="Normal"/>
    <w:next w:val="Normal"/>
    <w:link w:val="Ttulo1Car"/>
    <w:uiPriority w:val="9"/>
    <w:qFormat/>
    <w:rsid w:val="00BC49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238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49C0"/>
    <w:rPr>
      <w:rFonts w:asciiTheme="majorHAnsi" w:eastAsiaTheme="majorEastAsia" w:hAnsiTheme="majorHAnsi" w:cstheme="majorBidi"/>
      <w:b/>
      <w:bCs/>
      <w:color w:val="365F91" w:themeColor="accent1" w:themeShade="BF"/>
      <w:sz w:val="28"/>
      <w:szCs w:val="28"/>
    </w:rPr>
  </w:style>
  <w:style w:type="character" w:customStyle="1" w:styleId="A7">
    <w:name w:val="A7"/>
    <w:uiPriority w:val="99"/>
    <w:rsid w:val="009B13AB"/>
    <w:rPr>
      <w:rFonts w:cs="Rambla Libro"/>
      <w:color w:val="000000"/>
      <w:sz w:val="12"/>
      <w:szCs w:val="12"/>
    </w:rPr>
  </w:style>
  <w:style w:type="paragraph" w:customStyle="1" w:styleId="Pa12">
    <w:name w:val="Pa12"/>
    <w:basedOn w:val="Normal"/>
    <w:next w:val="Normal"/>
    <w:uiPriority w:val="99"/>
    <w:rsid w:val="00EB44E2"/>
    <w:pPr>
      <w:autoSpaceDE w:val="0"/>
      <w:autoSpaceDN w:val="0"/>
      <w:adjustRightInd w:val="0"/>
      <w:spacing w:after="0" w:line="171" w:lineRule="atLeast"/>
    </w:pPr>
    <w:rPr>
      <w:rFonts w:ascii="Rambla Libro" w:hAnsi="Rambla Libro"/>
      <w:sz w:val="24"/>
      <w:szCs w:val="24"/>
    </w:rPr>
  </w:style>
  <w:style w:type="table" w:styleId="Tablaconcuadrcula">
    <w:name w:val="Table Grid"/>
    <w:basedOn w:val="Tablanormal"/>
    <w:uiPriority w:val="59"/>
    <w:rsid w:val="00EB4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nfasis4">
    <w:name w:val="Light Grid Accent 4"/>
    <w:basedOn w:val="Tablanormal"/>
    <w:uiPriority w:val="62"/>
    <w:rsid w:val="00A319C0"/>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A319C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media1-nfasis5">
    <w:name w:val="Medium Grid 1 Accent 5"/>
    <w:basedOn w:val="Tablanormal"/>
    <w:uiPriority w:val="67"/>
    <w:rsid w:val="00A319C0"/>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extodeglobo">
    <w:name w:val="Balloon Text"/>
    <w:basedOn w:val="Normal"/>
    <w:link w:val="TextodegloboCar"/>
    <w:uiPriority w:val="99"/>
    <w:semiHidden/>
    <w:unhideWhenUsed/>
    <w:rsid w:val="00A319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19C0"/>
    <w:rPr>
      <w:rFonts w:ascii="Tahoma" w:hAnsi="Tahoma" w:cs="Tahoma"/>
      <w:sz w:val="16"/>
      <w:szCs w:val="16"/>
    </w:rPr>
  </w:style>
  <w:style w:type="paragraph" w:customStyle="1" w:styleId="Pa14">
    <w:name w:val="Pa14"/>
    <w:basedOn w:val="Normal"/>
    <w:next w:val="Normal"/>
    <w:uiPriority w:val="99"/>
    <w:rsid w:val="00201A84"/>
    <w:pPr>
      <w:autoSpaceDE w:val="0"/>
      <w:autoSpaceDN w:val="0"/>
      <w:adjustRightInd w:val="0"/>
      <w:spacing w:after="0" w:line="221" w:lineRule="atLeast"/>
    </w:pPr>
    <w:rPr>
      <w:rFonts w:ascii="Rambla Libro" w:hAnsi="Rambla Libro"/>
      <w:sz w:val="24"/>
      <w:szCs w:val="24"/>
    </w:rPr>
  </w:style>
  <w:style w:type="paragraph" w:styleId="Prrafodelista">
    <w:name w:val="List Paragraph"/>
    <w:basedOn w:val="Normal"/>
    <w:uiPriority w:val="34"/>
    <w:qFormat/>
    <w:rsid w:val="00201A84"/>
    <w:pPr>
      <w:ind w:left="720"/>
      <w:contextualSpacing/>
    </w:pPr>
  </w:style>
  <w:style w:type="table" w:styleId="Cuadrculamedia1-nfasis1">
    <w:name w:val="Medium Grid 1 Accent 1"/>
    <w:basedOn w:val="Tablanormal"/>
    <w:uiPriority w:val="67"/>
    <w:rsid w:val="000A19C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Ttulo2Car">
    <w:name w:val="Título 2 Car"/>
    <w:basedOn w:val="Fuentedeprrafopredeter"/>
    <w:link w:val="Ttulo2"/>
    <w:uiPriority w:val="9"/>
    <w:rsid w:val="00E238C1"/>
    <w:rPr>
      <w:rFonts w:asciiTheme="majorHAnsi" w:eastAsiaTheme="majorEastAsia" w:hAnsiTheme="majorHAnsi" w:cstheme="majorBidi"/>
      <w:color w:val="365F91" w:themeColor="accent1" w:themeShade="BF"/>
      <w:sz w:val="26"/>
      <w:szCs w:val="26"/>
    </w:rPr>
  </w:style>
  <w:style w:type="paragraph" w:styleId="Epgrafe">
    <w:name w:val="caption"/>
    <w:basedOn w:val="Normal"/>
    <w:next w:val="Normal"/>
    <w:uiPriority w:val="35"/>
    <w:unhideWhenUsed/>
    <w:qFormat/>
    <w:rsid w:val="00753491"/>
    <w:pPr>
      <w:spacing w:line="240" w:lineRule="auto"/>
      <w:jc w:val="center"/>
    </w:pPr>
    <w:rPr>
      <w:i/>
      <w:iCs/>
      <w:color w:val="1F497D" w:themeColor="text2"/>
      <w:sz w:val="18"/>
      <w:szCs w:val="18"/>
    </w:rPr>
  </w:style>
  <w:style w:type="paragraph" w:styleId="Textonotapie">
    <w:name w:val="footnote text"/>
    <w:basedOn w:val="Normal"/>
    <w:link w:val="TextonotapieCar"/>
    <w:uiPriority w:val="99"/>
    <w:semiHidden/>
    <w:unhideWhenUsed/>
    <w:rsid w:val="009E0E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E0E81"/>
    <w:rPr>
      <w:sz w:val="20"/>
      <w:szCs w:val="20"/>
    </w:rPr>
  </w:style>
  <w:style w:type="character" w:styleId="Refdenotaalpie">
    <w:name w:val="footnote reference"/>
    <w:basedOn w:val="Fuentedeprrafopredeter"/>
    <w:uiPriority w:val="99"/>
    <w:semiHidden/>
    <w:unhideWhenUsed/>
    <w:rsid w:val="009E0E81"/>
    <w:rPr>
      <w:vertAlign w:val="superscript"/>
    </w:rPr>
  </w:style>
  <w:style w:type="character" w:styleId="Refdecomentario">
    <w:name w:val="annotation reference"/>
    <w:basedOn w:val="Fuentedeprrafopredeter"/>
    <w:uiPriority w:val="99"/>
    <w:semiHidden/>
    <w:unhideWhenUsed/>
    <w:rsid w:val="005C1786"/>
    <w:rPr>
      <w:sz w:val="16"/>
      <w:szCs w:val="16"/>
    </w:rPr>
  </w:style>
  <w:style w:type="paragraph" w:styleId="Textocomentario">
    <w:name w:val="annotation text"/>
    <w:basedOn w:val="Normal"/>
    <w:link w:val="TextocomentarioCar"/>
    <w:uiPriority w:val="99"/>
    <w:semiHidden/>
    <w:unhideWhenUsed/>
    <w:rsid w:val="005C178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1786"/>
    <w:rPr>
      <w:sz w:val="20"/>
      <w:szCs w:val="20"/>
    </w:rPr>
  </w:style>
  <w:style w:type="paragraph" w:styleId="Asuntodelcomentario">
    <w:name w:val="annotation subject"/>
    <w:basedOn w:val="Textocomentario"/>
    <w:next w:val="Textocomentario"/>
    <w:link w:val="AsuntodelcomentarioCar"/>
    <w:uiPriority w:val="99"/>
    <w:semiHidden/>
    <w:unhideWhenUsed/>
    <w:rsid w:val="005C1786"/>
    <w:rPr>
      <w:b/>
      <w:bCs/>
    </w:rPr>
  </w:style>
  <w:style w:type="character" w:customStyle="1" w:styleId="AsuntodelcomentarioCar">
    <w:name w:val="Asunto del comentario Car"/>
    <w:basedOn w:val="TextocomentarioCar"/>
    <w:link w:val="Asuntodelcomentario"/>
    <w:uiPriority w:val="99"/>
    <w:semiHidden/>
    <w:rsid w:val="005C178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A81"/>
    <w:pPr>
      <w:jc w:val="both"/>
    </w:pPr>
  </w:style>
  <w:style w:type="paragraph" w:styleId="Ttulo1">
    <w:name w:val="heading 1"/>
    <w:basedOn w:val="Normal"/>
    <w:next w:val="Normal"/>
    <w:link w:val="Ttulo1Car"/>
    <w:uiPriority w:val="9"/>
    <w:qFormat/>
    <w:rsid w:val="00BC49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238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49C0"/>
    <w:rPr>
      <w:rFonts w:asciiTheme="majorHAnsi" w:eastAsiaTheme="majorEastAsia" w:hAnsiTheme="majorHAnsi" w:cstheme="majorBidi"/>
      <w:b/>
      <w:bCs/>
      <w:color w:val="365F91" w:themeColor="accent1" w:themeShade="BF"/>
      <w:sz w:val="28"/>
      <w:szCs w:val="28"/>
    </w:rPr>
  </w:style>
  <w:style w:type="character" w:customStyle="1" w:styleId="A7">
    <w:name w:val="A7"/>
    <w:uiPriority w:val="99"/>
    <w:rsid w:val="009B13AB"/>
    <w:rPr>
      <w:rFonts w:cs="Rambla Libro"/>
      <w:color w:val="000000"/>
      <w:sz w:val="12"/>
      <w:szCs w:val="12"/>
    </w:rPr>
  </w:style>
  <w:style w:type="paragraph" w:customStyle="1" w:styleId="Pa12">
    <w:name w:val="Pa12"/>
    <w:basedOn w:val="Normal"/>
    <w:next w:val="Normal"/>
    <w:uiPriority w:val="99"/>
    <w:rsid w:val="00EB44E2"/>
    <w:pPr>
      <w:autoSpaceDE w:val="0"/>
      <w:autoSpaceDN w:val="0"/>
      <w:adjustRightInd w:val="0"/>
      <w:spacing w:after="0" w:line="171" w:lineRule="atLeast"/>
    </w:pPr>
    <w:rPr>
      <w:rFonts w:ascii="Rambla Libro" w:hAnsi="Rambla Libro"/>
      <w:sz w:val="24"/>
      <w:szCs w:val="24"/>
    </w:rPr>
  </w:style>
  <w:style w:type="table" w:styleId="Tablaconcuadrcula">
    <w:name w:val="Table Grid"/>
    <w:basedOn w:val="Tablanormal"/>
    <w:uiPriority w:val="59"/>
    <w:rsid w:val="00EB4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nfasis4">
    <w:name w:val="Light Grid Accent 4"/>
    <w:basedOn w:val="Tablanormal"/>
    <w:uiPriority w:val="62"/>
    <w:rsid w:val="00A319C0"/>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A319C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media1-nfasis5">
    <w:name w:val="Medium Grid 1 Accent 5"/>
    <w:basedOn w:val="Tablanormal"/>
    <w:uiPriority w:val="67"/>
    <w:rsid w:val="00A319C0"/>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extodeglobo">
    <w:name w:val="Balloon Text"/>
    <w:basedOn w:val="Normal"/>
    <w:link w:val="TextodegloboCar"/>
    <w:uiPriority w:val="99"/>
    <w:semiHidden/>
    <w:unhideWhenUsed/>
    <w:rsid w:val="00A319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19C0"/>
    <w:rPr>
      <w:rFonts w:ascii="Tahoma" w:hAnsi="Tahoma" w:cs="Tahoma"/>
      <w:sz w:val="16"/>
      <w:szCs w:val="16"/>
    </w:rPr>
  </w:style>
  <w:style w:type="paragraph" w:customStyle="1" w:styleId="Pa14">
    <w:name w:val="Pa14"/>
    <w:basedOn w:val="Normal"/>
    <w:next w:val="Normal"/>
    <w:uiPriority w:val="99"/>
    <w:rsid w:val="00201A84"/>
    <w:pPr>
      <w:autoSpaceDE w:val="0"/>
      <w:autoSpaceDN w:val="0"/>
      <w:adjustRightInd w:val="0"/>
      <w:spacing w:after="0" w:line="221" w:lineRule="atLeast"/>
    </w:pPr>
    <w:rPr>
      <w:rFonts w:ascii="Rambla Libro" w:hAnsi="Rambla Libro"/>
      <w:sz w:val="24"/>
      <w:szCs w:val="24"/>
    </w:rPr>
  </w:style>
  <w:style w:type="paragraph" w:styleId="Prrafodelista">
    <w:name w:val="List Paragraph"/>
    <w:basedOn w:val="Normal"/>
    <w:uiPriority w:val="34"/>
    <w:qFormat/>
    <w:rsid w:val="00201A84"/>
    <w:pPr>
      <w:ind w:left="720"/>
      <w:contextualSpacing/>
    </w:pPr>
  </w:style>
  <w:style w:type="table" w:styleId="Cuadrculamedia1-nfasis1">
    <w:name w:val="Medium Grid 1 Accent 1"/>
    <w:basedOn w:val="Tablanormal"/>
    <w:uiPriority w:val="67"/>
    <w:rsid w:val="000A19C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Ttulo2Car">
    <w:name w:val="Título 2 Car"/>
    <w:basedOn w:val="Fuentedeprrafopredeter"/>
    <w:link w:val="Ttulo2"/>
    <w:uiPriority w:val="9"/>
    <w:rsid w:val="00E238C1"/>
    <w:rPr>
      <w:rFonts w:asciiTheme="majorHAnsi" w:eastAsiaTheme="majorEastAsia" w:hAnsiTheme="majorHAnsi" w:cstheme="majorBidi"/>
      <w:color w:val="365F91" w:themeColor="accent1" w:themeShade="BF"/>
      <w:sz w:val="26"/>
      <w:szCs w:val="26"/>
    </w:rPr>
  </w:style>
  <w:style w:type="paragraph" w:styleId="Epgrafe">
    <w:name w:val="caption"/>
    <w:basedOn w:val="Normal"/>
    <w:next w:val="Normal"/>
    <w:uiPriority w:val="35"/>
    <w:unhideWhenUsed/>
    <w:qFormat/>
    <w:rsid w:val="00753491"/>
    <w:pPr>
      <w:spacing w:line="240" w:lineRule="auto"/>
      <w:jc w:val="center"/>
    </w:pPr>
    <w:rPr>
      <w:i/>
      <w:iCs/>
      <w:color w:val="1F497D" w:themeColor="text2"/>
      <w:sz w:val="18"/>
      <w:szCs w:val="18"/>
    </w:rPr>
  </w:style>
  <w:style w:type="paragraph" w:styleId="Textonotapie">
    <w:name w:val="footnote text"/>
    <w:basedOn w:val="Normal"/>
    <w:link w:val="TextonotapieCar"/>
    <w:uiPriority w:val="99"/>
    <w:semiHidden/>
    <w:unhideWhenUsed/>
    <w:rsid w:val="009E0E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E0E81"/>
    <w:rPr>
      <w:sz w:val="20"/>
      <w:szCs w:val="20"/>
    </w:rPr>
  </w:style>
  <w:style w:type="character" w:styleId="Refdenotaalpie">
    <w:name w:val="footnote reference"/>
    <w:basedOn w:val="Fuentedeprrafopredeter"/>
    <w:uiPriority w:val="99"/>
    <w:semiHidden/>
    <w:unhideWhenUsed/>
    <w:rsid w:val="009E0E81"/>
    <w:rPr>
      <w:vertAlign w:val="superscript"/>
    </w:rPr>
  </w:style>
  <w:style w:type="character" w:styleId="Refdecomentario">
    <w:name w:val="annotation reference"/>
    <w:basedOn w:val="Fuentedeprrafopredeter"/>
    <w:uiPriority w:val="99"/>
    <w:semiHidden/>
    <w:unhideWhenUsed/>
    <w:rsid w:val="005C1786"/>
    <w:rPr>
      <w:sz w:val="16"/>
      <w:szCs w:val="16"/>
    </w:rPr>
  </w:style>
  <w:style w:type="paragraph" w:styleId="Textocomentario">
    <w:name w:val="annotation text"/>
    <w:basedOn w:val="Normal"/>
    <w:link w:val="TextocomentarioCar"/>
    <w:uiPriority w:val="99"/>
    <w:semiHidden/>
    <w:unhideWhenUsed/>
    <w:rsid w:val="005C178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1786"/>
    <w:rPr>
      <w:sz w:val="20"/>
      <w:szCs w:val="20"/>
    </w:rPr>
  </w:style>
  <w:style w:type="paragraph" w:styleId="Asuntodelcomentario">
    <w:name w:val="annotation subject"/>
    <w:basedOn w:val="Textocomentario"/>
    <w:next w:val="Textocomentario"/>
    <w:link w:val="AsuntodelcomentarioCar"/>
    <w:uiPriority w:val="99"/>
    <w:semiHidden/>
    <w:unhideWhenUsed/>
    <w:rsid w:val="005C1786"/>
    <w:rPr>
      <w:b/>
      <w:bCs/>
    </w:rPr>
  </w:style>
  <w:style w:type="character" w:customStyle="1" w:styleId="AsuntodelcomentarioCar">
    <w:name w:val="Asunto del comentario Car"/>
    <w:basedOn w:val="TextocomentarioCar"/>
    <w:link w:val="Asuntodelcomentario"/>
    <w:uiPriority w:val="99"/>
    <w:semiHidden/>
    <w:rsid w:val="005C17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399604">
      <w:bodyDiv w:val="1"/>
      <w:marLeft w:val="0"/>
      <w:marRight w:val="0"/>
      <w:marTop w:val="0"/>
      <w:marBottom w:val="0"/>
      <w:divBdr>
        <w:top w:val="none" w:sz="0" w:space="0" w:color="auto"/>
        <w:left w:val="none" w:sz="0" w:space="0" w:color="auto"/>
        <w:bottom w:val="none" w:sz="0" w:space="0" w:color="auto"/>
        <w:right w:val="none" w:sz="0" w:space="0" w:color="auto"/>
      </w:divBdr>
      <w:divsChild>
        <w:div w:id="276185269">
          <w:marLeft w:val="1800"/>
          <w:marRight w:val="0"/>
          <w:marTop w:val="100"/>
          <w:marBottom w:val="0"/>
          <w:divBdr>
            <w:top w:val="none" w:sz="0" w:space="0" w:color="auto"/>
            <w:left w:val="none" w:sz="0" w:space="0" w:color="auto"/>
            <w:bottom w:val="none" w:sz="0" w:space="0" w:color="auto"/>
            <w:right w:val="none" w:sz="0" w:space="0" w:color="auto"/>
          </w:divBdr>
        </w:div>
        <w:div w:id="503007828">
          <w:marLeft w:val="1800"/>
          <w:marRight w:val="0"/>
          <w:marTop w:val="100"/>
          <w:marBottom w:val="0"/>
          <w:divBdr>
            <w:top w:val="none" w:sz="0" w:space="0" w:color="auto"/>
            <w:left w:val="none" w:sz="0" w:space="0" w:color="auto"/>
            <w:bottom w:val="none" w:sz="0" w:space="0" w:color="auto"/>
            <w:right w:val="none" w:sz="0" w:space="0" w:color="auto"/>
          </w:divBdr>
        </w:div>
      </w:divsChild>
    </w:div>
    <w:div w:id="325399081">
      <w:bodyDiv w:val="1"/>
      <w:marLeft w:val="0"/>
      <w:marRight w:val="0"/>
      <w:marTop w:val="0"/>
      <w:marBottom w:val="0"/>
      <w:divBdr>
        <w:top w:val="none" w:sz="0" w:space="0" w:color="auto"/>
        <w:left w:val="none" w:sz="0" w:space="0" w:color="auto"/>
        <w:bottom w:val="none" w:sz="0" w:space="0" w:color="auto"/>
        <w:right w:val="none" w:sz="0" w:space="0" w:color="auto"/>
      </w:divBdr>
    </w:div>
    <w:div w:id="481582728">
      <w:bodyDiv w:val="1"/>
      <w:marLeft w:val="0"/>
      <w:marRight w:val="0"/>
      <w:marTop w:val="0"/>
      <w:marBottom w:val="0"/>
      <w:divBdr>
        <w:top w:val="none" w:sz="0" w:space="0" w:color="auto"/>
        <w:left w:val="none" w:sz="0" w:space="0" w:color="auto"/>
        <w:bottom w:val="none" w:sz="0" w:space="0" w:color="auto"/>
        <w:right w:val="none" w:sz="0" w:space="0" w:color="auto"/>
      </w:divBdr>
    </w:div>
    <w:div w:id="573664234">
      <w:bodyDiv w:val="1"/>
      <w:marLeft w:val="0"/>
      <w:marRight w:val="0"/>
      <w:marTop w:val="0"/>
      <w:marBottom w:val="0"/>
      <w:divBdr>
        <w:top w:val="none" w:sz="0" w:space="0" w:color="auto"/>
        <w:left w:val="none" w:sz="0" w:space="0" w:color="auto"/>
        <w:bottom w:val="none" w:sz="0" w:space="0" w:color="auto"/>
        <w:right w:val="none" w:sz="0" w:space="0" w:color="auto"/>
      </w:divBdr>
    </w:div>
    <w:div w:id="653341181">
      <w:bodyDiv w:val="1"/>
      <w:marLeft w:val="0"/>
      <w:marRight w:val="0"/>
      <w:marTop w:val="0"/>
      <w:marBottom w:val="0"/>
      <w:divBdr>
        <w:top w:val="none" w:sz="0" w:space="0" w:color="auto"/>
        <w:left w:val="none" w:sz="0" w:space="0" w:color="auto"/>
        <w:bottom w:val="none" w:sz="0" w:space="0" w:color="auto"/>
        <w:right w:val="none" w:sz="0" w:space="0" w:color="auto"/>
      </w:divBdr>
    </w:div>
    <w:div w:id="816191716">
      <w:bodyDiv w:val="1"/>
      <w:marLeft w:val="0"/>
      <w:marRight w:val="0"/>
      <w:marTop w:val="0"/>
      <w:marBottom w:val="0"/>
      <w:divBdr>
        <w:top w:val="none" w:sz="0" w:space="0" w:color="auto"/>
        <w:left w:val="none" w:sz="0" w:space="0" w:color="auto"/>
        <w:bottom w:val="none" w:sz="0" w:space="0" w:color="auto"/>
        <w:right w:val="none" w:sz="0" w:space="0" w:color="auto"/>
      </w:divBdr>
      <w:divsChild>
        <w:div w:id="555777990">
          <w:marLeft w:val="1080"/>
          <w:marRight w:val="0"/>
          <w:marTop w:val="100"/>
          <w:marBottom w:val="0"/>
          <w:divBdr>
            <w:top w:val="none" w:sz="0" w:space="0" w:color="auto"/>
            <w:left w:val="none" w:sz="0" w:space="0" w:color="auto"/>
            <w:bottom w:val="none" w:sz="0" w:space="0" w:color="auto"/>
            <w:right w:val="none" w:sz="0" w:space="0" w:color="auto"/>
          </w:divBdr>
        </w:div>
      </w:divsChild>
    </w:div>
    <w:div w:id="854029449">
      <w:bodyDiv w:val="1"/>
      <w:marLeft w:val="0"/>
      <w:marRight w:val="0"/>
      <w:marTop w:val="0"/>
      <w:marBottom w:val="0"/>
      <w:divBdr>
        <w:top w:val="none" w:sz="0" w:space="0" w:color="auto"/>
        <w:left w:val="none" w:sz="0" w:space="0" w:color="auto"/>
        <w:bottom w:val="none" w:sz="0" w:space="0" w:color="auto"/>
        <w:right w:val="none" w:sz="0" w:space="0" w:color="auto"/>
      </w:divBdr>
    </w:div>
    <w:div w:id="921529573">
      <w:bodyDiv w:val="1"/>
      <w:marLeft w:val="0"/>
      <w:marRight w:val="0"/>
      <w:marTop w:val="0"/>
      <w:marBottom w:val="0"/>
      <w:divBdr>
        <w:top w:val="none" w:sz="0" w:space="0" w:color="auto"/>
        <w:left w:val="none" w:sz="0" w:space="0" w:color="auto"/>
        <w:bottom w:val="none" w:sz="0" w:space="0" w:color="auto"/>
        <w:right w:val="none" w:sz="0" w:space="0" w:color="auto"/>
      </w:divBdr>
    </w:div>
    <w:div w:id="940450946">
      <w:bodyDiv w:val="1"/>
      <w:marLeft w:val="0"/>
      <w:marRight w:val="0"/>
      <w:marTop w:val="0"/>
      <w:marBottom w:val="0"/>
      <w:divBdr>
        <w:top w:val="none" w:sz="0" w:space="0" w:color="auto"/>
        <w:left w:val="none" w:sz="0" w:space="0" w:color="auto"/>
        <w:bottom w:val="none" w:sz="0" w:space="0" w:color="auto"/>
        <w:right w:val="none" w:sz="0" w:space="0" w:color="auto"/>
      </w:divBdr>
    </w:div>
    <w:div w:id="1517303290">
      <w:bodyDiv w:val="1"/>
      <w:marLeft w:val="0"/>
      <w:marRight w:val="0"/>
      <w:marTop w:val="0"/>
      <w:marBottom w:val="0"/>
      <w:divBdr>
        <w:top w:val="none" w:sz="0" w:space="0" w:color="auto"/>
        <w:left w:val="none" w:sz="0" w:space="0" w:color="auto"/>
        <w:bottom w:val="none" w:sz="0" w:space="0" w:color="auto"/>
        <w:right w:val="none" w:sz="0" w:space="0" w:color="auto"/>
      </w:divBdr>
      <w:divsChild>
        <w:div w:id="886717323">
          <w:marLeft w:val="1800"/>
          <w:marRight w:val="0"/>
          <w:marTop w:val="100"/>
          <w:marBottom w:val="0"/>
          <w:divBdr>
            <w:top w:val="none" w:sz="0" w:space="0" w:color="auto"/>
            <w:left w:val="none" w:sz="0" w:space="0" w:color="auto"/>
            <w:bottom w:val="none" w:sz="0" w:space="0" w:color="auto"/>
            <w:right w:val="none" w:sz="0" w:space="0" w:color="auto"/>
          </w:divBdr>
        </w:div>
      </w:divsChild>
    </w:div>
    <w:div w:id="1544706196">
      <w:bodyDiv w:val="1"/>
      <w:marLeft w:val="0"/>
      <w:marRight w:val="0"/>
      <w:marTop w:val="0"/>
      <w:marBottom w:val="0"/>
      <w:divBdr>
        <w:top w:val="none" w:sz="0" w:space="0" w:color="auto"/>
        <w:left w:val="none" w:sz="0" w:space="0" w:color="auto"/>
        <w:bottom w:val="none" w:sz="0" w:space="0" w:color="auto"/>
        <w:right w:val="none" w:sz="0" w:space="0" w:color="auto"/>
      </w:divBdr>
    </w:div>
    <w:div w:id="1977445969">
      <w:bodyDiv w:val="1"/>
      <w:marLeft w:val="0"/>
      <w:marRight w:val="0"/>
      <w:marTop w:val="0"/>
      <w:marBottom w:val="0"/>
      <w:divBdr>
        <w:top w:val="none" w:sz="0" w:space="0" w:color="auto"/>
        <w:left w:val="none" w:sz="0" w:space="0" w:color="auto"/>
        <w:bottom w:val="none" w:sz="0" w:space="0" w:color="auto"/>
        <w:right w:val="none" w:sz="0" w:space="0" w:color="auto"/>
      </w:divBdr>
      <w:divsChild>
        <w:div w:id="10141454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26"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58635-9051-4807-ACF8-18ED91948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1387</TotalTime>
  <Pages>11</Pages>
  <Words>3288</Words>
  <Characters>18084</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Emiliano Gonzalez</dc:creator>
  <cp:lastModifiedBy>Emiliano Gonzalez</cp:lastModifiedBy>
  <cp:revision>4</cp:revision>
  <cp:lastPrinted>2019-05-15T15:46:00Z</cp:lastPrinted>
  <dcterms:created xsi:type="dcterms:W3CDTF">2019-05-15T15:29:00Z</dcterms:created>
  <dcterms:modified xsi:type="dcterms:W3CDTF">2019-05-16T14:37:00Z</dcterms:modified>
</cp:coreProperties>
</file>