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10829" w14:textId="7316D205" w:rsidR="00D832C4" w:rsidRPr="00D832C4" w:rsidRDefault="00D832C4" w:rsidP="00D832C4">
      <w:pPr>
        <w:spacing w:after="225" w:line="240" w:lineRule="auto"/>
        <w:outlineLvl w:val="3"/>
        <w:rPr>
          <w:rFonts w:ascii="Arial" w:eastAsia="Times New Roman" w:hAnsi="Arial" w:cs="Arial"/>
          <w:b/>
          <w:bCs/>
          <w:color w:val="000000" w:themeColor="text1"/>
          <w:kern w:val="0"/>
          <w:lang w:eastAsia="en-GB"/>
          <w14:ligatures w14:val="none"/>
        </w:rPr>
      </w:pPr>
      <w:r w:rsidRPr="00D832C4">
        <w:rPr>
          <w:rFonts w:ascii="Arial" w:eastAsia="Times New Roman" w:hAnsi="Arial" w:cs="Arial"/>
          <w:b/>
          <w:bCs/>
          <w:color w:val="000000" w:themeColor="text1"/>
          <w:kern w:val="0"/>
          <w:lang w:eastAsia="en-GB"/>
          <w14:ligatures w14:val="none"/>
        </w:rPr>
        <w:t>Agent Based Systems</w:t>
      </w:r>
      <w:r>
        <w:rPr>
          <w:rFonts w:ascii="Arial" w:eastAsia="Times New Roman" w:hAnsi="Arial" w:cs="Arial"/>
          <w:b/>
          <w:bCs/>
          <w:color w:val="000000" w:themeColor="text1"/>
          <w:kern w:val="0"/>
          <w:lang w:eastAsia="en-GB"/>
          <w14:ligatures w14:val="none"/>
        </w:rPr>
        <w:t xml:space="preserve"> – Collaborative Discussion: Initial Post </w:t>
      </w:r>
    </w:p>
    <w:p w14:paraId="36ADA2EC" w14:textId="77777777" w:rsidR="00D832C4" w:rsidRPr="0070797C" w:rsidRDefault="00D832C4" w:rsidP="00D832C4">
      <w:r w:rsidRPr="0070797C">
        <w:t>The rise of agent-based systems has been driven by multiple factors and, as a result, provides organisations with several benefits in both the short and long term. An agent is a computer system situated in some environment and capable of autonomous action within that environment to meet its delegated objectives (Wooldridge, 2009). The industry has observed a shift from single-turn responses to multi-step autonomous execution. Economic pressure is arguably one of the biggest drivers of this shift, as organisations facing growing costs and demand increasingly turn to agent-based systems to keep headcount proportional to rising workloads.</w:t>
      </w:r>
    </w:p>
    <w:p w14:paraId="3E4FFA0C" w14:textId="77777777" w:rsidR="00D832C4" w:rsidRPr="0070797C" w:rsidRDefault="00D832C4" w:rsidP="00D832C4">
      <w:r w:rsidRPr="0070797C">
        <w:t>Alongside this economic pressure, the industry has also seen exponential growth in technical maturity, from embedding AI training into every role to companies promoting AI adoption across every department. Improved architecture has made deployment considerably easier, and this has been accompanied by the development of tools that allow agents to communicate across multiple vendor products (</w:t>
      </w:r>
      <w:proofErr w:type="spellStart"/>
      <w:r w:rsidRPr="0070797C">
        <w:t>Murtuza</w:t>
      </w:r>
      <w:proofErr w:type="spellEnd"/>
      <w:r w:rsidRPr="0070797C">
        <w:t>, 2026).</w:t>
      </w:r>
    </w:p>
    <w:p w14:paraId="1D386EAF" w14:textId="77777777" w:rsidR="00D832C4" w:rsidRPr="0070797C" w:rsidRDefault="00D832C4" w:rsidP="00D832C4">
      <w:r w:rsidRPr="0070797C">
        <w:t>The benefits for organisations are substantial. A 2025 PwC survey found that firms adopting AI agents reported around a 66% increase in work productivity (PwC, 2025), while industry data point to significant cost reductions and faster decision-making cycles from automating previously manual, multi-step workflows (Saks, 2026). More broadly, McKinsey frames this as a paradigm shift toward the "agentic organisation," where structures and processes are redesigned around human-AI collaboration rather than treating AI as a bolt-on tool (</w:t>
      </w:r>
      <w:proofErr w:type="spellStart"/>
      <w:r w:rsidRPr="0070797C">
        <w:t>Sukharevsky</w:t>
      </w:r>
      <w:proofErr w:type="spellEnd"/>
      <w:r w:rsidRPr="0070797C">
        <w:t xml:space="preserve"> et al., 2026).</w:t>
      </w:r>
    </w:p>
    <w:p w14:paraId="18FAFEA0" w14:textId="77777777" w:rsidR="00D832C4" w:rsidRPr="0070797C" w:rsidRDefault="00D832C4" w:rsidP="00D832C4">
      <w:r w:rsidRPr="0070797C">
        <w:t>However, this transition is not without risk. Gartner forecasts that over 40% of agentic AI projects will be cancelled by 2027 due to unclear business value or weak governance (Gartner, 2025). This suggests the benefits are tangible but contingent on organisations building adequate oversight before scaling.</w:t>
      </w:r>
    </w:p>
    <w:p w14:paraId="70070BCD" w14:textId="77777777" w:rsidR="00D832C4" w:rsidRDefault="00D832C4" w:rsidP="00D832C4"/>
    <w:p w14:paraId="595CA2D8" w14:textId="77777777" w:rsidR="00D832C4" w:rsidRDefault="00D832C4" w:rsidP="00D832C4">
      <w:r>
        <w:t>References</w:t>
      </w:r>
    </w:p>
    <w:p w14:paraId="51E01D8C" w14:textId="77777777" w:rsidR="00D832C4" w:rsidRDefault="00D832C4" w:rsidP="00D832C4">
      <w:r>
        <w:t>Gartner (2</w:t>
      </w:r>
      <w:r w:rsidRPr="00E3017E">
        <w:t>025) </w:t>
      </w:r>
      <w:r w:rsidRPr="00E3017E">
        <w:rPr>
          <w:i/>
          <w:iCs/>
        </w:rPr>
        <w:t xml:space="preserve">Gartner predicts over 40% of agentic AI projects will be </w:t>
      </w:r>
      <w:proofErr w:type="spellStart"/>
      <w:r w:rsidRPr="00E3017E">
        <w:rPr>
          <w:i/>
          <w:iCs/>
        </w:rPr>
        <w:t>canceled</w:t>
      </w:r>
      <w:proofErr w:type="spellEnd"/>
      <w:r w:rsidRPr="00E3017E">
        <w:rPr>
          <w:i/>
          <w:iCs/>
        </w:rPr>
        <w:t xml:space="preserve"> by end of 2027</w:t>
      </w:r>
      <w:r w:rsidRPr="00E3017E">
        <w:t>. Available at: https://www.gartner.com/en/newsroom/press-releases/2025-06-25-gartner-predicts-over-40-percent-of-agentic-ai-projects-will-be-canceled-by-end-of-2027 (Accessed: 02 August 2026). </w:t>
      </w:r>
    </w:p>
    <w:p w14:paraId="1DDA5EF9" w14:textId="77777777" w:rsidR="00D832C4" w:rsidRDefault="00D832C4" w:rsidP="00D832C4">
      <w:proofErr w:type="spellStart"/>
      <w:r w:rsidRPr="001C0E83">
        <w:t>Murtuza</w:t>
      </w:r>
      <w:proofErr w:type="spellEnd"/>
      <w:r>
        <w:t>.</w:t>
      </w:r>
      <w:r w:rsidRPr="001C0E83">
        <w:t xml:space="preserve"> (2026) </w:t>
      </w:r>
      <w:r w:rsidRPr="001C0E83">
        <w:rPr>
          <w:i/>
          <w:iCs/>
        </w:rPr>
        <w:t>The rise of agentic AI in 2026: Transforming workflows with autonomy</w:t>
      </w:r>
      <w:r w:rsidRPr="001C0E83">
        <w:t>, </w:t>
      </w:r>
      <w:proofErr w:type="spellStart"/>
      <w:r w:rsidRPr="001C0E83">
        <w:rPr>
          <w:i/>
          <w:iCs/>
        </w:rPr>
        <w:t>Codezilla</w:t>
      </w:r>
      <w:proofErr w:type="spellEnd"/>
      <w:r w:rsidRPr="001C0E83">
        <w:t>. Available at: https://codezilla.io/blog/the-rise-of-agentic-ai-in-2026-replacing-traditional-workflows-with-autonomous-systems (Accessed: 02 August 2026).</w:t>
      </w:r>
    </w:p>
    <w:p w14:paraId="5D7A4B80" w14:textId="77777777" w:rsidR="00D832C4" w:rsidRDefault="00D832C4" w:rsidP="00D832C4">
      <w:r>
        <w:t xml:space="preserve">PwC. </w:t>
      </w:r>
      <w:r w:rsidRPr="00264ED8">
        <w:t>(</w:t>
      </w:r>
      <w:r>
        <w:t xml:space="preserve">2025) </w:t>
      </w:r>
      <w:r w:rsidRPr="00264ED8">
        <w:rPr>
          <w:i/>
          <w:iCs/>
        </w:rPr>
        <w:t>PWC’s AI agent survey</w:t>
      </w:r>
      <w:r w:rsidRPr="00264ED8">
        <w:t>. Available at: https://www.pwc.com/us/en/tech-effect/ai-analytics/ai-agent-survey.html (Accessed: 02 August 2026). </w:t>
      </w:r>
    </w:p>
    <w:p w14:paraId="37AF4D8F" w14:textId="77777777" w:rsidR="00D832C4" w:rsidRDefault="00D832C4" w:rsidP="00D832C4">
      <w:r w:rsidRPr="00264ED8">
        <w:lastRenderedPageBreak/>
        <w:t>Saks, D. (2026) </w:t>
      </w:r>
      <w:r w:rsidRPr="00264ED8">
        <w:rPr>
          <w:i/>
          <w:iCs/>
        </w:rPr>
        <w:t>39 agentic AI statistics every GTM leader should know in 2026</w:t>
      </w:r>
      <w:r w:rsidRPr="00264ED8">
        <w:t>, </w:t>
      </w:r>
      <w:proofErr w:type="spellStart"/>
      <w:r w:rsidRPr="00264ED8">
        <w:rPr>
          <w:i/>
          <w:iCs/>
        </w:rPr>
        <w:t>Landbase</w:t>
      </w:r>
      <w:proofErr w:type="spellEnd"/>
      <w:r w:rsidRPr="00264ED8">
        <w:t>. Available at: https://www.landbase.com/blog/agentic-ai-statistics (Accessed: 02 August 2026). </w:t>
      </w:r>
    </w:p>
    <w:p w14:paraId="5B3F3B8B" w14:textId="77777777" w:rsidR="00D832C4" w:rsidRPr="001C0E83" w:rsidRDefault="00D832C4" w:rsidP="00D832C4">
      <w:proofErr w:type="spellStart"/>
      <w:r w:rsidRPr="00E3017E">
        <w:t>Sukharevsky</w:t>
      </w:r>
      <w:proofErr w:type="spellEnd"/>
      <w:r>
        <w:t xml:space="preserve"> et al.</w:t>
      </w:r>
      <w:r w:rsidRPr="00E3017E">
        <w:t xml:space="preserve"> (2026) </w:t>
      </w:r>
      <w:r w:rsidRPr="00E3017E">
        <w:rPr>
          <w:i/>
          <w:iCs/>
        </w:rPr>
        <w:t>The agentic organization: Contours of the next paradigm for the AI era</w:t>
      </w:r>
      <w:r w:rsidRPr="00E3017E">
        <w:t>. Available at: https://www.mckinsey.com/capabilities/people-and-organizational-performance/our-insights/the-agentic-organization-contours-of-the-next-paradigm-for-the-ai-era (Accessed: 02 August 2026). </w:t>
      </w:r>
    </w:p>
    <w:p w14:paraId="23DC201C" w14:textId="77777777" w:rsidR="00D832C4" w:rsidRPr="001C0E83" w:rsidRDefault="00D832C4" w:rsidP="00D832C4">
      <w:r w:rsidRPr="001C0E83">
        <w:t>Wooldridge, M.J. (2009) </w:t>
      </w:r>
      <w:r w:rsidRPr="001C0E83">
        <w:rPr>
          <w:i/>
          <w:iCs/>
        </w:rPr>
        <w:t>An introduction to multiagent systems</w:t>
      </w:r>
      <w:r w:rsidRPr="001C0E83">
        <w:t>. Hoboken, NJ: John Wiley &amp; Sons. </w:t>
      </w:r>
    </w:p>
    <w:p w14:paraId="4A018F18" w14:textId="77777777" w:rsidR="00D832C4" w:rsidRDefault="00D832C4"/>
    <w:sectPr w:rsidR="00D832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2C4"/>
    <w:rsid w:val="006E697B"/>
    <w:rsid w:val="00D832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F743B85"/>
  <w15:chartTrackingRefBased/>
  <w15:docId w15:val="{CE3A743C-5DFE-5344-9716-A98845BDD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3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2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832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2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2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32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2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832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2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2C4"/>
    <w:rPr>
      <w:rFonts w:eastAsiaTheme="majorEastAsia" w:cstheme="majorBidi"/>
      <w:color w:val="272727" w:themeColor="text1" w:themeTint="D8"/>
    </w:rPr>
  </w:style>
  <w:style w:type="paragraph" w:styleId="Title">
    <w:name w:val="Title"/>
    <w:basedOn w:val="Normal"/>
    <w:next w:val="Normal"/>
    <w:link w:val="TitleChar"/>
    <w:uiPriority w:val="10"/>
    <w:qFormat/>
    <w:rsid w:val="00D83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2C4"/>
    <w:pPr>
      <w:spacing w:before="160"/>
      <w:jc w:val="center"/>
    </w:pPr>
    <w:rPr>
      <w:i/>
      <w:iCs/>
      <w:color w:val="404040" w:themeColor="text1" w:themeTint="BF"/>
    </w:rPr>
  </w:style>
  <w:style w:type="character" w:customStyle="1" w:styleId="QuoteChar">
    <w:name w:val="Quote Char"/>
    <w:basedOn w:val="DefaultParagraphFont"/>
    <w:link w:val="Quote"/>
    <w:uiPriority w:val="29"/>
    <w:rsid w:val="00D832C4"/>
    <w:rPr>
      <w:i/>
      <w:iCs/>
      <w:color w:val="404040" w:themeColor="text1" w:themeTint="BF"/>
    </w:rPr>
  </w:style>
  <w:style w:type="paragraph" w:styleId="ListParagraph">
    <w:name w:val="List Paragraph"/>
    <w:basedOn w:val="Normal"/>
    <w:uiPriority w:val="34"/>
    <w:qFormat/>
    <w:rsid w:val="00D832C4"/>
    <w:pPr>
      <w:ind w:left="720"/>
      <w:contextualSpacing/>
    </w:pPr>
  </w:style>
  <w:style w:type="character" w:styleId="IntenseEmphasis">
    <w:name w:val="Intense Emphasis"/>
    <w:basedOn w:val="DefaultParagraphFont"/>
    <w:uiPriority w:val="21"/>
    <w:qFormat/>
    <w:rsid w:val="00D832C4"/>
    <w:rPr>
      <w:i/>
      <w:iCs/>
      <w:color w:val="0F4761" w:themeColor="accent1" w:themeShade="BF"/>
    </w:rPr>
  </w:style>
  <w:style w:type="paragraph" w:styleId="IntenseQuote">
    <w:name w:val="Intense Quote"/>
    <w:basedOn w:val="Normal"/>
    <w:next w:val="Normal"/>
    <w:link w:val="IntenseQuoteChar"/>
    <w:uiPriority w:val="30"/>
    <w:qFormat/>
    <w:rsid w:val="00D83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2C4"/>
    <w:rPr>
      <w:i/>
      <w:iCs/>
      <w:color w:val="0F4761" w:themeColor="accent1" w:themeShade="BF"/>
    </w:rPr>
  </w:style>
  <w:style w:type="character" w:styleId="IntenseReference">
    <w:name w:val="Intense Reference"/>
    <w:basedOn w:val="DefaultParagraphFont"/>
    <w:uiPriority w:val="32"/>
    <w:qFormat/>
    <w:rsid w:val="00D832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488</Words>
  <Characters>2785</Characters>
  <Application>Microsoft Office Word</Application>
  <DocSecurity>0</DocSecurity>
  <Lines>23</Lines>
  <Paragraphs>6</Paragraphs>
  <ScaleCrop>false</ScaleCrop>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Ogunlesi, Frederick</dc:creator>
  <cp:keywords/>
  <dc:description/>
  <cp:lastModifiedBy>Ogunlesi, Frederick</cp:lastModifiedBy>
  <cp:revision>1</cp:revision>
  <dcterms:created xsi:type="dcterms:W3CDTF">2026-08-22T12:37:00Z</dcterms:created>
  <dcterms:modified xsi:type="dcterms:W3CDTF">2026-08-22T12:38:00Z</dcterms:modified>
</cp:coreProperties>
</file>