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09AE" w14:textId="77777777" w:rsidR="00C36587" w:rsidRPr="00C36587" w:rsidRDefault="00C36587" w:rsidP="00A31AAC">
      <w:pPr>
        <w:jc w:val="center"/>
      </w:pPr>
      <w:r w:rsidRPr="00C36587">
        <w:t>Explainable decisions in agents (XAI)</w:t>
      </w:r>
    </w:p>
    <w:p w14:paraId="37DC1654" w14:textId="77777777" w:rsidR="00C36587" w:rsidRPr="00C36587" w:rsidRDefault="00C36587" w:rsidP="00C36587">
      <w:r w:rsidRPr="00C36587">
        <w:t>Explainable decisions in agents are becoming increasingly important as multi-agent systems are adopted across several industries globally. As agents take on more heavy lifting across domains, we must address their “black box” outputs. </w:t>
      </w:r>
    </w:p>
    <w:p w14:paraId="11515E40" w14:textId="77777777" w:rsidR="00C36587" w:rsidRPr="00C36587" w:rsidRDefault="00C36587" w:rsidP="00C36587">
      <w:r w:rsidRPr="00C36587">
        <w:t>This is where explainable AI (XAI) comes in, because understanding the actions of robots and intelligent agents allows humans to mentalize their behaviour. Mentalizing, or mindreading, is based on Theory of Mind (</w:t>
      </w:r>
      <w:proofErr w:type="spellStart"/>
      <w:r w:rsidRPr="00C36587">
        <w:t>ToM</w:t>
      </w:r>
      <w:proofErr w:type="spellEnd"/>
      <w:r w:rsidRPr="00C36587">
        <w:t xml:space="preserve">), which postulates that humans estimate other people's actions by observing their behaviour and attributing mental states (e.g., beliefs, desires, emotions, intentions, etc.). Goal-driven XAI is a research domain aimed at building explainable agents and robots capable of explaining their behaviour to a lay user. These explanations help the user build a </w:t>
      </w:r>
      <w:proofErr w:type="spellStart"/>
      <w:r w:rsidRPr="00C36587">
        <w:t>ToM</w:t>
      </w:r>
      <w:proofErr w:type="spellEnd"/>
      <w:r w:rsidRPr="00C36587">
        <w:t xml:space="preserve"> of the intelligent agent, leading to better human-agent collaboration and encouraging the user to understand the agent's capabilities and limits (</w:t>
      </w:r>
      <w:proofErr w:type="spellStart"/>
      <w:r w:rsidRPr="00C36587">
        <w:t>Anjomshoae</w:t>
      </w:r>
      <w:proofErr w:type="spellEnd"/>
      <w:r w:rsidRPr="00C36587">
        <w:t xml:space="preserve"> et al., 2019). Explainable decisions reduce the interpretability challenge consumers face and increase trust. This, in turn, drives faster adoption and fosters an environment where people can divert their resources into other areas and become more efficient. </w:t>
      </w:r>
    </w:p>
    <w:p w14:paraId="79996688" w14:textId="77777777" w:rsidR="00C36587" w:rsidRPr="00C36587" w:rsidRDefault="00C36587" w:rsidP="00C36587">
      <w:r w:rsidRPr="00C36587">
        <w:t>Areas where we are seeing more autonomy in agents include robotics, vehicles, and synthetic characters. As these become more self-reliant, people will require them to explain their behaviours on demand. The more impressive these agents’ abilities are, the more essential it is to understand them (Langley et al., 2019).</w:t>
      </w:r>
    </w:p>
    <w:p w14:paraId="0CFF72D5" w14:textId="77777777" w:rsidR="00C36587" w:rsidRDefault="00C36587" w:rsidP="00C36587">
      <w:r w:rsidRPr="00C36587">
        <w:t>Overall, from an auditability and interpretability perspective, XAI is increasingly important. This enables more efficient model refinement, easier consumption for end users, and a continuous feedback loop of improvement from both the model and the end user.</w:t>
      </w:r>
    </w:p>
    <w:p w14:paraId="03BCB75A" w14:textId="77777777" w:rsidR="00A31AAC" w:rsidRDefault="00A31AAC" w:rsidP="00C36587"/>
    <w:p w14:paraId="225F4443" w14:textId="1AA18914" w:rsidR="00A31AAC" w:rsidRPr="00C36587" w:rsidRDefault="00A31AAC" w:rsidP="00C36587">
      <w:pPr>
        <w:rPr>
          <w:u w:val="single"/>
        </w:rPr>
      </w:pPr>
      <w:r w:rsidRPr="00A31AAC">
        <w:rPr>
          <w:u w:val="single"/>
        </w:rPr>
        <w:t>References</w:t>
      </w:r>
    </w:p>
    <w:p w14:paraId="3EE51FC8" w14:textId="77777777" w:rsidR="00C36587" w:rsidRPr="00C36587" w:rsidRDefault="00C36587" w:rsidP="00C36587">
      <w:proofErr w:type="spellStart"/>
      <w:r w:rsidRPr="00C36587">
        <w:t>Anjomshoae</w:t>
      </w:r>
      <w:proofErr w:type="spellEnd"/>
      <w:r w:rsidRPr="00C36587">
        <w:t xml:space="preserve">, S., Amro, N., Calvaresi, D. and </w:t>
      </w:r>
      <w:proofErr w:type="spellStart"/>
      <w:r w:rsidRPr="00C36587">
        <w:t>Främling</w:t>
      </w:r>
      <w:proofErr w:type="spellEnd"/>
      <w:r w:rsidRPr="00C36587">
        <w:t>, K., 2019. Explainable agents and robots: Results from a systematic literature review. In Proceedings of the 18th International Conference on Autonomous Agents and Multi-Agent Systems (AAMAS) 2019. 13-17 May 2019.</w:t>
      </w:r>
    </w:p>
    <w:p w14:paraId="770123A7" w14:textId="77777777" w:rsidR="00C36587" w:rsidRPr="00C36587" w:rsidRDefault="00C36587" w:rsidP="00C36587">
      <w:r w:rsidRPr="00C36587">
        <w:t>Langley, P., Meadows, B., Sridharan, M. and Choi, D., 2017, February. Explainable agency for intelligent autonomous systems. In Proceedings of the AAAI Conference on Artificial Intelligence (Vol. 31, No. 2, pp. 4762-4763).</w:t>
      </w:r>
    </w:p>
    <w:p w14:paraId="44A186D0" w14:textId="77A7AC89" w:rsidR="00B9217B" w:rsidRPr="00C36587" w:rsidRDefault="00B9217B" w:rsidP="00C36587"/>
    <w:sectPr w:rsidR="00B9217B" w:rsidRPr="00C36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B3C67"/>
    <w:multiLevelType w:val="multilevel"/>
    <w:tmpl w:val="F73659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75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29"/>
    <w:rsid w:val="00325029"/>
    <w:rsid w:val="00642CD7"/>
    <w:rsid w:val="006A040B"/>
    <w:rsid w:val="007B2D69"/>
    <w:rsid w:val="00990D16"/>
    <w:rsid w:val="00A31AAC"/>
    <w:rsid w:val="00B9217B"/>
    <w:rsid w:val="00C36587"/>
    <w:rsid w:val="00EC4D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F469"/>
  <w15:chartTrackingRefBased/>
  <w15:docId w15:val="{35BB8A17-04DE-3044-BF97-0D45EC48F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029"/>
    <w:rPr>
      <w:rFonts w:eastAsiaTheme="majorEastAsia" w:cstheme="majorBidi"/>
      <w:color w:val="272727" w:themeColor="text1" w:themeTint="D8"/>
    </w:rPr>
  </w:style>
  <w:style w:type="paragraph" w:styleId="Title">
    <w:name w:val="Title"/>
    <w:basedOn w:val="Normal"/>
    <w:next w:val="Normal"/>
    <w:link w:val="TitleChar"/>
    <w:uiPriority w:val="10"/>
    <w:qFormat/>
    <w:rsid w:val="00325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029"/>
    <w:pPr>
      <w:spacing w:before="160"/>
      <w:jc w:val="center"/>
    </w:pPr>
    <w:rPr>
      <w:i/>
      <w:iCs/>
      <w:color w:val="404040" w:themeColor="text1" w:themeTint="BF"/>
    </w:rPr>
  </w:style>
  <w:style w:type="character" w:customStyle="1" w:styleId="QuoteChar">
    <w:name w:val="Quote Char"/>
    <w:basedOn w:val="DefaultParagraphFont"/>
    <w:link w:val="Quote"/>
    <w:uiPriority w:val="29"/>
    <w:rsid w:val="00325029"/>
    <w:rPr>
      <w:i/>
      <w:iCs/>
      <w:color w:val="404040" w:themeColor="text1" w:themeTint="BF"/>
    </w:rPr>
  </w:style>
  <w:style w:type="paragraph" w:styleId="ListParagraph">
    <w:name w:val="List Paragraph"/>
    <w:basedOn w:val="Normal"/>
    <w:uiPriority w:val="34"/>
    <w:qFormat/>
    <w:rsid w:val="00325029"/>
    <w:pPr>
      <w:ind w:left="720"/>
      <w:contextualSpacing/>
    </w:pPr>
  </w:style>
  <w:style w:type="character" w:styleId="IntenseEmphasis">
    <w:name w:val="Intense Emphasis"/>
    <w:basedOn w:val="DefaultParagraphFont"/>
    <w:uiPriority w:val="21"/>
    <w:qFormat/>
    <w:rsid w:val="00325029"/>
    <w:rPr>
      <w:i/>
      <w:iCs/>
      <w:color w:val="0F4761" w:themeColor="accent1" w:themeShade="BF"/>
    </w:rPr>
  </w:style>
  <w:style w:type="paragraph" w:styleId="IntenseQuote">
    <w:name w:val="Intense Quote"/>
    <w:basedOn w:val="Normal"/>
    <w:next w:val="Normal"/>
    <w:link w:val="IntenseQuoteChar"/>
    <w:uiPriority w:val="30"/>
    <w:qFormat/>
    <w:rsid w:val="00325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029"/>
    <w:rPr>
      <w:i/>
      <w:iCs/>
      <w:color w:val="0F4761" w:themeColor="accent1" w:themeShade="BF"/>
    </w:rPr>
  </w:style>
  <w:style w:type="character" w:styleId="IntenseReference">
    <w:name w:val="Intense Reference"/>
    <w:basedOn w:val="DefaultParagraphFont"/>
    <w:uiPriority w:val="32"/>
    <w:qFormat/>
    <w:rsid w:val="003250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3</cp:revision>
  <dcterms:created xsi:type="dcterms:W3CDTF">2026-10-06T19:10:00Z</dcterms:created>
  <dcterms:modified xsi:type="dcterms:W3CDTF">2026-10-06T19:11:00Z</dcterms:modified>
</cp:coreProperties>
</file>