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DCD2B" w14:textId="29AEC393" w:rsidR="00D2385B" w:rsidRDefault="00D2385B" w:rsidP="004B045E">
      <w:pPr>
        <w:jc w:val="center"/>
      </w:pPr>
      <w:r w:rsidRPr="00B9217B">
        <w:t>Legal and ethical frameworks for autonomous systems</w:t>
      </w:r>
    </w:p>
    <w:p w14:paraId="60F71876" w14:textId="77777777" w:rsidR="004B045E" w:rsidRDefault="004B045E" w:rsidP="004B045E"/>
    <w:p w14:paraId="2CD3F054" w14:textId="6665DDEA" w:rsidR="00916EE3" w:rsidRPr="00916EE3" w:rsidRDefault="00916EE3" w:rsidP="00916EE3">
      <w:r w:rsidRPr="00916EE3">
        <w:t xml:space="preserve">In an ideal world, autonomous systems should have rules and standards to guide autonomous decisions and allow responsibility to be assigned when failures occur. The NIST AI Risk Management Framework promotes incorporating trustworthiness into the design, </w:t>
      </w:r>
      <w:r w:rsidRPr="00916EE3">
        <w:t>development,</w:t>
      </w:r>
      <w:r w:rsidRPr="00916EE3">
        <w:t xml:space="preserve"> and use of AI products and services.</w:t>
      </w:r>
    </w:p>
    <w:p w14:paraId="59B7A3E0" w14:textId="77777777" w:rsidR="00916EE3" w:rsidRPr="00916EE3" w:rsidRDefault="00916EE3" w:rsidP="00916EE3">
      <w:r w:rsidRPr="00916EE3">
        <w:t>From an engineering perspective, building a machine that can both reliably perceive and then choose between two unethical outcomes in any real-world, fast-moving, dynamic environment should be a minimum (Winfield et al., 2019). This benchmark builds trust among consumers who would use these autonomous systems, which can be built to consider ethical implications but can’t necessarily be delegated moral responsibility.</w:t>
      </w:r>
    </w:p>
    <w:p w14:paraId="7516AEA6" w14:textId="1A9C4225" w:rsidR="00916EE3" w:rsidRPr="00916EE3" w:rsidRDefault="00916EE3" w:rsidP="00916EE3">
      <w:r w:rsidRPr="00916EE3">
        <w:t xml:space="preserve">The Ethics Guidelines for Trustworthy AI provide a framework for implementing trustworthy AI, </w:t>
      </w:r>
      <w:r w:rsidRPr="00916EE3">
        <w:t>cantered</w:t>
      </w:r>
      <w:r w:rsidRPr="00916EE3">
        <w:t xml:space="preserve"> on respect for human autonomy, prevention of harm, fairness, and interpretability (High Level Expert Group, 2019). As autonomous systems become more widely adopted, legal and ethical frameworks provide building blocks that support human decision-making and protect users and developers. However, as use cases grow, these frameworks can quickly become outdated and require regular updates to keep pace with the exponential growth of machine learning and autonomous agent development across diverse domains.</w:t>
      </w:r>
    </w:p>
    <w:p w14:paraId="02371430" w14:textId="77777777" w:rsidR="00916EE3" w:rsidRPr="00916EE3" w:rsidRDefault="00916EE3" w:rsidP="00916EE3">
      <w:pPr>
        <w:rPr>
          <w:u w:val="single"/>
        </w:rPr>
      </w:pPr>
      <w:r w:rsidRPr="00916EE3">
        <w:br/>
      </w:r>
      <w:r w:rsidRPr="00916EE3">
        <w:rPr>
          <w:u w:val="single"/>
        </w:rPr>
        <w:t>References </w:t>
      </w:r>
    </w:p>
    <w:p w14:paraId="160E2EE9" w14:textId="77777777" w:rsidR="00916EE3" w:rsidRPr="00916EE3" w:rsidRDefault="00916EE3" w:rsidP="00916EE3">
      <w:r w:rsidRPr="00916EE3">
        <w:t xml:space="preserve">High-Level Expert Group on Artificial Intelligence (2019) Ethics guidelines for trustworthy AI. https:// www. </w:t>
      </w:r>
      <w:proofErr w:type="spellStart"/>
      <w:r w:rsidRPr="00916EE3">
        <w:t>aepd</w:t>
      </w:r>
      <w:proofErr w:type="spellEnd"/>
      <w:r w:rsidRPr="00916EE3">
        <w:t xml:space="preserve">. es/ sites/ </w:t>
      </w:r>
      <w:proofErr w:type="spellStart"/>
      <w:r w:rsidRPr="00916EE3">
        <w:t>defau</w:t>
      </w:r>
      <w:proofErr w:type="spellEnd"/>
      <w:r w:rsidRPr="00916EE3">
        <w:t xml:space="preserve"> </w:t>
      </w:r>
      <w:proofErr w:type="spellStart"/>
      <w:r w:rsidRPr="00916EE3">
        <w:t>lt</w:t>
      </w:r>
      <w:proofErr w:type="spellEnd"/>
      <w:r w:rsidRPr="00916EE3">
        <w:t>/ files/ 2019- 12/ ai- ethics- guide lines. PDF (Accessed: 07 October 2026).</w:t>
      </w:r>
    </w:p>
    <w:p w14:paraId="392A6056" w14:textId="77777777" w:rsidR="00916EE3" w:rsidRPr="00916EE3" w:rsidRDefault="00916EE3" w:rsidP="00916EE3">
      <w:r w:rsidRPr="00916EE3">
        <w:t>NIST AI 100-1 artificial intelligence risk management framework (AI RMF 1.0). Available at: https://nvlpubs.nist.gov/nistpubs/ai/nist.ai.100-1.pdf (Accessed: 07 October 2026).</w:t>
      </w:r>
    </w:p>
    <w:p w14:paraId="29BE9CDC" w14:textId="77777777" w:rsidR="00916EE3" w:rsidRPr="00916EE3" w:rsidRDefault="00916EE3" w:rsidP="00916EE3">
      <w:r w:rsidRPr="00916EE3">
        <w:t>Winfield, A.F., Michael, K., Pitt, J. and Evers, V., 2019. Machine ethics: The design and governance of ethical AI and autonomous systems [scanning the issue]. Proceedings of the IEEE, 107(3), pp.509-517.</w:t>
      </w:r>
    </w:p>
    <w:p w14:paraId="78DC883E" w14:textId="44C9B665" w:rsidR="00152951" w:rsidRDefault="00152951" w:rsidP="004B045E"/>
    <w:sectPr w:rsidR="001529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5B"/>
    <w:rsid w:val="00152951"/>
    <w:rsid w:val="0042258A"/>
    <w:rsid w:val="004B045E"/>
    <w:rsid w:val="00705164"/>
    <w:rsid w:val="00916EE3"/>
    <w:rsid w:val="00D2385B"/>
    <w:rsid w:val="00DC6D85"/>
    <w:rsid w:val="00EC4D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88EF02C"/>
  <w15:chartTrackingRefBased/>
  <w15:docId w15:val="{46259C15-2AFF-B245-896D-BB18695F5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85B"/>
  </w:style>
  <w:style w:type="paragraph" w:styleId="Heading1">
    <w:name w:val="heading 1"/>
    <w:basedOn w:val="Normal"/>
    <w:next w:val="Normal"/>
    <w:link w:val="Heading1Char"/>
    <w:uiPriority w:val="9"/>
    <w:qFormat/>
    <w:rsid w:val="00D23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85B"/>
    <w:rPr>
      <w:rFonts w:eastAsiaTheme="majorEastAsia" w:cstheme="majorBidi"/>
      <w:color w:val="272727" w:themeColor="text1" w:themeTint="D8"/>
    </w:rPr>
  </w:style>
  <w:style w:type="paragraph" w:styleId="Title">
    <w:name w:val="Title"/>
    <w:basedOn w:val="Normal"/>
    <w:next w:val="Normal"/>
    <w:link w:val="TitleChar"/>
    <w:uiPriority w:val="10"/>
    <w:qFormat/>
    <w:rsid w:val="00D23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85B"/>
    <w:pPr>
      <w:spacing w:before="160"/>
      <w:jc w:val="center"/>
    </w:pPr>
    <w:rPr>
      <w:i/>
      <w:iCs/>
      <w:color w:val="404040" w:themeColor="text1" w:themeTint="BF"/>
    </w:rPr>
  </w:style>
  <w:style w:type="character" w:customStyle="1" w:styleId="QuoteChar">
    <w:name w:val="Quote Char"/>
    <w:basedOn w:val="DefaultParagraphFont"/>
    <w:link w:val="Quote"/>
    <w:uiPriority w:val="29"/>
    <w:rsid w:val="00D2385B"/>
    <w:rPr>
      <w:i/>
      <w:iCs/>
      <w:color w:val="404040" w:themeColor="text1" w:themeTint="BF"/>
    </w:rPr>
  </w:style>
  <w:style w:type="paragraph" w:styleId="ListParagraph">
    <w:name w:val="List Paragraph"/>
    <w:basedOn w:val="Normal"/>
    <w:uiPriority w:val="34"/>
    <w:qFormat/>
    <w:rsid w:val="00D2385B"/>
    <w:pPr>
      <w:ind w:left="720"/>
      <w:contextualSpacing/>
    </w:pPr>
  </w:style>
  <w:style w:type="character" w:styleId="IntenseEmphasis">
    <w:name w:val="Intense Emphasis"/>
    <w:basedOn w:val="DefaultParagraphFont"/>
    <w:uiPriority w:val="21"/>
    <w:qFormat/>
    <w:rsid w:val="00D2385B"/>
    <w:rPr>
      <w:i/>
      <w:iCs/>
      <w:color w:val="0F4761" w:themeColor="accent1" w:themeShade="BF"/>
    </w:rPr>
  </w:style>
  <w:style w:type="paragraph" w:styleId="IntenseQuote">
    <w:name w:val="Intense Quote"/>
    <w:basedOn w:val="Normal"/>
    <w:next w:val="Normal"/>
    <w:link w:val="IntenseQuoteChar"/>
    <w:uiPriority w:val="30"/>
    <w:qFormat/>
    <w:rsid w:val="00D23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85B"/>
    <w:rPr>
      <w:i/>
      <w:iCs/>
      <w:color w:val="0F4761" w:themeColor="accent1" w:themeShade="BF"/>
    </w:rPr>
  </w:style>
  <w:style w:type="character" w:styleId="IntenseReference">
    <w:name w:val="Intense Reference"/>
    <w:basedOn w:val="DefaultParagraphFont"/>
    <w:uiPriority w:val="32"/>
    <w:qFormat/>
    <w:rsid w:val="00D238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3</cp:revision>
  <dcterms:created xsi:type="dcterms:W3CDTF">2026-10-07T14:35:00Z</dcterms:created>
  <dcterms:modified xsi:type="dcterms:W3CDTF">2026-10-07T15:17:00Z</dcterms:modified>
</cp:coreProperties>
</file>