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5987" w14:textId="77777777" w:rsidR="00294EFA" w:rsidRDefault="00294EFA" w:rsidP="00294EFA">
      <w:pPr>
        <w:spacing w:after="0" w:line="240" w:lineRule="auto"/>
        <w:rPr>
          <w:rFonts w:ascii="Times New Roman" w:eastAsia="Times New Roman" w:hAnsi="Times New Roman" w:cs="Times New Roman"/>
          <w:color w:val="000000"/>
          <w:kern w:val="0"/>
          <w:lang w:eastAsia="en-GB"/>
          <w14:ligatures w14:val="none"/>
        </w:rPr>
      </w:pPr>
      <w:r w:rsidRPr="0035027B">
        <w:rPr>
          <w:rFonts w:ascii="Times New Roman" w:eastAsia="Times New Roman" w:hAnsi="Times New Roman" w:cs="Times New Roman"/>
          <w:color w:val="000000"/>
          <w:kern w:val="0"/>
          <w:lang w:eastAsia="en-GB"/>
          <w14:ligatures w14:val="none"/>
        </w:rPr>
        <w:t>My initial post raised ethical concerns around Deep Learning technologies, including copyright and ownership, plagiarism and academic dishonesty, and misinformation and fake content. These are some of the challenges with Deep Learning, which continue to grow with the advancement and adoption of AI. While guardrails around some of these ethical concerns are still fluid, there’s a trade-off between AI governance becoming a bottleneck and fostering an environment where innovation can thrive.</w:t>
      </w:r>
    </w:p>
    <w:p w14:paraId="6A1A50DB" w14:textId="77777777" w:rsidR="00294EFA" w:rsidRPr="0035027B" w:rsidRDefault="00294EFA" w:rsidP="00294EFA">
      <w:pPr>
        <w:spacing w:after="0" w:line="240" w:lineRule="auto"/>
        <w:rPr>
          <w:rFonts w:ascii="Times New Roman" w:eastAsia="Times New Roman" w:hAnsi="Times New Roman" w:cs="Times New Roman"/>
          <w:color w:val="000000"/>
          <w:kern w:val="0"/>
          <w:lang w:eastAsia="en-GB"/>
          <w14:ligatures w14:val="none"/>
        </w:rPr>
      </w:pPr>
    </w:p>
    <w:p w14:paraId="0E9CBFF9" w14:textId="77777777" w:rsidR="00294EFA" w:rsidRDefault="00294EFA" w:rsidP="00294EFA">
      <w:pPr>
        <w:spacing w:after="0" w:line="240" w:lineRule="auto"/>
        <w:rPr>
          <w:rFonts w:ascii="Times New Roman" w:eastAsia="Times New Roman" w:hAnsi="Times New Roman" w:cs="Times New Roman"/>
          <w:color w:val="000000"/>
          <w:kern w:val="0"/>
          <w:lang w:eastAsia="en-GB"/>
          <w14:ligatures w14:val="none"/>
        </w:rPr>
      </w:pPr>
      <w:r w:rsidRPr="0035027B">
        <w:rPr>
          <w:rFonts w:ascii="Times New Roman" w:eastAsia="Times New Roman" w:hAnsi="Times New Roman" w:cs="Times New Roman"/>
          <w:color w:val="000000"/>
          <w:kern w:val="0"/>
          <w:lang w:eastAsia="en-GB"/>
          <w14:ligatures w14:val="none"/>
        </w:rPr>
        <w:t xml:space="preserve">Building on my original position, my peer’s feedback, and wider unit content, I find that it reinforces my point that governance is needed without eliminating autonomy. Panagiotis noted that a consent-based approach for material used to train models may not be practical, which is a good callout since training datasets are so large that individual contributions may be hard to trace. However, this adds to the growing concern about “responsibility gaps” that Santoni and </w:t>
      </w:r>
      <w:proofErr w:type="spellStart"/>
      <w:r w:rsidRPr="0035027B">
        <w:rPr>
          <w:rFonts w:ascii="Times New Roman" w:eastAsia="Times New Roman" w:hAnsi="Times New Roman" w:cs="Times New Roman"/>
          <w:color w:val="000000"/>
          <w:kern w:val="0"/>
          <w:lang w:eastAsia="en-GB"/>
          <w14:ligatures w14:val="none"/>
        </w:rPr>
        <w:t>Mecacci</w:t>
      </w:r>
      <w:proofErr w:type="spellEnd"/>
      <w:r w:rsidRPr="0035027B">
        <w:rPr>
          <w:rFonts w:ascii="Times New Roman" w:eastAsia="Times New Roman" w:hAnsi="Times New Roman" w:cs="Times New Roman"/>
          <w:color w:val="000000"/>
          <w:kern w:val="0"/>
          <w:lang w:eastAsia="en-GB"/>
          <w14:ligatures w14:val="none"/>
        </w:rPr>
        <w:t xml:space="preserve"> (2021) report. </w:t>
      </w:r>
    </w:p>
    <w:p w14:paraId="2E7D61D7" w14:textId="77777777" w:rsidR="00294EFA" w:rsidRPr="0035027B" w:rsidRDefault="00294EFA" w:rsidP="00294EFA">
      <w:pPr>
        <w:spacing w:after="0" w:line="240" w:lineRule="auto"/>
        <w:rPr>
          <w:rFonts w:ascii="Times New Roman" w:eastAsia="Times New Roman" w:hAnsi="Times New Roman" w:cs="Times New Roman"/>
          <w:color w:val="000000"/>
          <w:kern w:val="0"/>
          <w:lang w:eastAsia="en-GB"/>
          <w14:ligatures w14:val="none"/>
        </w:rPr>
      </w:pPr>
    </w:p>
    <w:p w14:paraId="1B1F394B" w14:textId="77777777" w:rsidR="00294EFA" w:rsidRDefault="00294EFA" w:rsidP="00294EFA">
      <w:pPr>
        <w:spacing w:after="0" w:line="240" w:lineRule="auto"/>
        <w:rPr>
          <w:rFonts w:ascii="Times New Roman" w:eastAsia="Times New Roman" w:hAnsi="Times New Roman" w:cs="Times New Roman"/>
          <w:color w:val="000000"/>
          <w:kern w:val="0"/>
          <w:lang w:eastAsia="en-GB"/>
          <w14:ligatures w14:val="none"/>
        </w:rPr>
      </w:pPr>
      <w:r w:rsidRPr="0035027B">
        <w:rPr>
          <w:rFonts w:ascii="Times New Roman" w:eastAsia="Times New Roman" w:hAnsi="Times New Roman" w:cs="Times New Roman"/>
          <w:color w:val="000000"/>
          <w:kern w:val="0"/>
          <w:lang w:eastAsia="en-GB"/>
          <w14:ligatures w14:val="none"/>
        </w:rPr>
        <w:t>I previously suggested watermarking AI content, as Zhao et al. (2023) flagged, as a solution to misinformation and fake content. However, after reflecting on my peer’s feedback, this may not fully solve the problem and may only serve as a deterrent, since it could be removed through editing; cryptographically verifiable outputs may be a longer-term solution. The challenge would be the adoption of this approach by platform and software vendors and, more broadly, a standardized approach emphasized by NIST (2024) from a compatibility perspective would also be a requirement, introducing another layer of complexity since the responsibility of governance arguably is split between developers, social media platforms and the person publishing the content.</w:t>
      </w:r>
    </w:p>
    <w:p w14:paraId="17E5B0F7" w14:textId="77777777" w:rsidR="00294EFA" w:rsidRPr="0035027B" w:rsidRDefault="00294EFA" w:rsidP="00294EFA">
      <w:pPr>
        <w:spacing w:after="0" w:line="240" w:lineRule="auto"/>
        <w:rPr>
          <w:rFonts w:ascii="Times New Roman" w:eastAsia="Times New Roman" w:hAnsi="Times New Roman" w:cs="Times New Roman"/>
          <w:color w:val="000000"/>
          <w:kern w:val="0"/>
          <w:lang w:eastAsia="en-GB"/>
          <w14:ligatures w14:val="none"/>
        </w:rPr>
      </w:pPr>
    </w:p>
    <w:p w14:paraId="61C2A87A" w14:textId="77777777" w:rsidR="00294EFA" w:rsidRPr="0035027B" w:rsidRDefault="00294EFA" w:rsidP="00294EFA">
      <w:pPr>
        <w:spacing w:after="0" w:line="240" w:lineRule="auto"/>
        <w:rPr>
          <w:rFonts w:ascii="Times New Roman" w:eastAsia="Times New Roman" w:hAnsi="Times New Roman" w:cs="Times New Roman"/>
          <w:color w:val="000000"/>
          <w:kern w:val="0"/>
          <w:lang w:eastAsia="en-GB"/>
          <w14:ligatures w14:val="none"/>
        </w:rPr>
      </w:pPr>
      <w:r w:rsidRPr="0035027B">
        <w:rPr>
          <w:rFonts w:ascii="Times New Roman" w:eastAsia="Times New Roman" w:hAnsi="Times New Roman" w:cs="Times New Roman"/>
          <w:color w:val="000000"/>
          <w:kern w:val="0"/>
          <w:lang w:eastAsia="en-GB"/>
          <w14:ligatures w14:val="none"/>
        </w:rPr>
        <w:t>These ethical issues raise more accountability questions when considering intelligent agents that act autonomously, which strengthens the case for human oversight, explicit governance, and clear responsibility chains.</w:t>
      </w:r>
    </w:p>
    <w:p w14:paraId="03C64BBB" w14:textId="77777777" w:rsidR="00294EFA" w:rsidRDefault="00294EFA" w:rsidP="00294EFA">
      <w:pPr>
        <w:rPr>
          <w:color w:val="000000" w:themeColor="text1"/>
          <w:sz w:val="22"/>
          <w:szCs w:val="22"/>
        </w:rPr>
      </w:pPr>
    </w:p>
    <w:p w14:paraId="6953FEA0" w14:textId="77777777" w:rsidR="00294EFA" w:rsidRPr="0035027B" w:rsidRDefault="00294EFA" w:rsidP="00294EFA">
      <w:pPr>
        <w:rPr>
          <w:rFonts w:ascii="Times New Roman" w:eastAsia="Times New Roman" w:hAnsi="Times New Roman" w:cs="Times New Roman"/>
          <w:color w:val="000000"/>
          <w:kern w:val="0"/>
          <w:lang w:eastAsia="en-GB"/>
          <w14:ligatures w14:val="none"/>
        </w:rPr>
      </w:pPr>
      <w:r w:rsidRPr="0035027B">
        <w:rPr>
          <w:rFonts w:ascii="Times New Roman" w:eastAsia="Times New Roman" w:hAnsi="Times New Roman" w:cs="Times New Roman"/>
          <w:color w:val="000000"/>
          <w:kern w:val="0"/>
          <w:lang w:eastAsia="en-GB"/>
          <w14:ligatures w14:val="none"/>
        </w:rPr>
        <w:t>References</w:t>
      </w:r>
    </w:p>
    <w:p w14:paraId="565C3B15" w14:textId="77777777" w:rsidR="00294EFA" w:rsidRPr="0035027B" w:rsidRDefault="00294EFA" w:rsidP="00294EFA">
      <w:pPr>
        <w:rPr>
          <w:rFonts w:ascii="Times New Roman" w:eastAsia="Times New Roman" w:hAnsi="Times New Roman" w:cs="Times New Roman"/>
          <w:color w:val="000000"/>
          <w:kern w:val="0"/>
          <w:lang w:eastAsia="en-GB"/>
          <w14:ligatures w14:val="none"/>
        </w:rPr>
      </w:pPr>
      <w:r w:rsidRPr="0035027B">
        <w:rPr>
          <w:rFonts w:ascii="Times New Roman" w:eastAsia="Times New Roman" w:hAnsi="Times New Roman" w:cs="Times New Roman"/>
          <w:color w:val="000000"/>
          <w:kern w:val="0"/>
          <w:lang w:eastAsia="en-GB"/>
          <w14:ligatures w14:val="none"/>
        </w:rPr>
        <w:t>National Institute of Standards and Technology (NIST) (2024) Artificial Intelligence Risk Management Framework: Generative Artificial Intelligence Profile. NIST AI 600-1. Gaithersburg, MD: NIST.</w:t>
      </w:r>
    </w:p>
    <w:p w14:paraId="2B53713E" w14:textId="77777777" w:rsidR="00294EFA" w:rsidRPr="0035027B" w:rsidRDefault="00294EFA" w:rsidP="00294EFA">
      <w:pPr>
        <w:rPr>
          <w:rFonts w:ascii="Times New Roman" w:eastAsia="Times New Roman" w:hAnsi="Times New Roman" w:cs="Times New Roman"/>
          <w:color w:val="000000"/>
          <w:kern w:val="0"/>
          <w:lang w:eastAsia="en-GB"/>
          <w14:ligatures w14:val="none"/>
        </w:rPr>
      </w:pPr>
      <w:r w:rsidRPr="0035027B">
        <w:rPr>
          <w:rFonts w:ascii="Times New Roman" w:eastAsia="Times New Roman" w:hAnsi="Times New Roman" w:cs="Times New Roman"/>
          <w:color w:val="000000"/>
          <w:kern w:val="0"/>
          <w:lang w:eastAsia="en-GB"/>
          <w14:ligatures w14:val="none"/>
        </w:rPr>
        <w:t xml:space="preserve">Santoni de Sio, F. and </w:t>
      </w:r>
      <w:proofErr w:type="spellStart"/>
      <w:r w:rsidRPr="0035027B">
        <w:rPr>
          <w:rFonts w:ascii="Times New Roman" w:eastAsia="Times New Roman" w:hAnsi="Times New Roman" w:cs="Times New Roman"/>
          <w:color w:val="000000"/>
          <w:kern w:val="0"/>
          <w:lang w:eastAsia="en-GB"/>
          <w14:ligatures w14:val="none"/>
        </w:rPr>
        <w:t>Mecacci</w:t>
      </w:r>
      <w:proofErr w:type="spellEnd"/>
      <w:r w:rsidRPr="0035027B">
        <w:rPr>
          <w:rFonts w:ascii="Times New Roman" w:eastAsia="Times New Roman" w:hAnsi="Times New Roman" w:cs="Times New Roman"/>
          <w:color w:val="000000"/>
          <w:kern w:val="0"/>
          <w:lang w:eastAsia="en-GB"/>
          <w14:ligatures w14:val="none"/>
        </w:rPr>
        <w:t>, G., 2021. Four responsibility gaps with artificial intelligence: Why they matter and how to address them. Philosophy &amp; technology, 34(4), pp.1057-1084.</w:t>
      </w:r>
    </w:p>
    <w:p w14:paraId="3B2C1E7B" w14:textId="77777777" w:rsidR="00294EFA" w:rsidRPr="0035027B" w:rsidRDefault="00294EFA" w:rsidP="00294EFA">
      <w:pPr>
        <w:rPr>
          <w:rFonts w:ascii="Times New Roman" w:eastAsia="Times New Roman" w:hAnsi="Times New Roman" w:cs="Times New Roman"/>
          <w:color w:val="000000"/>
          <w:kern w:val="0"/>
          <w:lang w:eastAsia="en-GB"/>
          <w14:ligatures w14:val="none"/>
        </w:rPr>
      </w:pPr>
      <w:r w:rsidRPr="0035027B">
        <w:rPr>
          <w:rFonts w:ascii="Times New Roman" w:eastAsia="Times New Roman" w:hAnsi="Times New Roman" w:cs="Times New Roman"/>
          <w:color w:val="000000"/>
          <w:kern w:val="0"/>
          <w:lang w:eastAsia="en-GB"/>
          <w14:ligatures w14:val="none"/>
        </w:rPr>
        <w:t> Zhao, X., Ananth, P., Li, L. and Wang, Y.X., 2023. Provable robust watermarking for ai-generated text. </w:t>
      </w:r>
      <w:proofErr w:type="spellStart"/>
      <w:r w:rsidRPr="0035027B">
        <w:rPr>
          <w:rFonts w:ascii="Times New Roman" w:eastAsia="Times New Roman" w:hAnsi="Times New Roman" w:cs="Times New Roman"/>
          <w:color w:val="000000"/>
          <w:kern w:val="0"/>
          <w:lang w:eastAsia="en-GB"/>
          <w14:ligatures w14:val="none"/>
        </w:rPr>
        <w:t>arXiv</w:t>
      </w:r>
      <w:proofErr w:type="spellEnd"/>
      <w:r w:rsidRPr="0035027B">
        <w:rPr>
          <w:rFonts w:ascii="Times New Roman" w:eastAsia="Times New Roman" w:hAnsi="Times New Roman" w:cs="Times New Roman"/>
          <w:color w:val="000000"/>
          <w:kern w:val="0"/>
          <w:lang w:eastAsia="en-GB"/>
          <w14:ligatures w14:val="none"/>
        </w:rPr>
        <w:t xml:space="preserve"> preprint arXiv:2306.17439.</w:t>
      </w:r>
    </w:p>
    <w:p w14:paraId="6F247646" w14:textId="77777777" w:rsidR="00294EFA" w:rsidRDefault="00294EFA"/>
    <w:sectPr w:rsidR="00294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FA"/>
    <w:rsid w:val="00294EFA"/>
    <w:rsid w:val="00487E84"/>
    <w:rsid w:val="00A04D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6FBEC5"/>
  <w15:chartTrackingRefBased/>
  <w15:docId w15:val="{FC2241B6-2A16-734B-8E8B-376A209F3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EFA"/>
  </w:style>
  <w:style w:type="paragraph" w:styleId="Heading1">
    <w:name w:val="heading 1"/>
    <w:basedOn w:val="Normal"/>
    <w:next w:val="Normal"/>
    <w:link w:val="Heading1Char"/>
    <w:uiPriority w:val="9"/>
    <w:qFormat/>
    <w:rsid w:val="00294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FA"/>
    <w:rPr>
      <w:rFonts w:eastAsiaTheme="majorEastAsia" w:cstheme="majorBidi"/>
      <w:color w:val="272727" w:themeColor="text1" w:themeTint="D8"/>
    </w:rPr>
  </w:style>
  <w:style w:type="paragraph" w:styleId="Title">
    <w:name w:val="Title"/>
    <w:basedOn w:val="Normal"/>
    <w:next w:val="Normal"/>
    <w:link w:val="TitleChar"/>
    <w:uiPriority w:val="10"/>
    <w:qFormat/>
    <w:rsid w:val="00294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FA"/>
    <w:pPr>
      <w:spacing w:before="160"/>
      <w:jc w:val="center"/>
    </w:pPr>
    <w:rPr>
      <w:i/>
      <w:iCs/>
      <w:color w:val="404040" w:themeColor="text1" w:themeTint="BF"/>
    </w:rPr>
  </w:style>
  <w:style w:type="character" w:customStyle="1" w:styleId="QuoteChar">
    <w:name w:val="Quote Char"/>
    <w:basedOn w:val="DefaultParagraphFont"/>
    <w:link w:val="Quote"/>
    <w:uiPriority w:val="29"/>
    <w:rsid w:val="00294EFA"/>
    <w:rPr>
      <w:i/>
      <w:iCs/>
      <w:color w:val="404040" w:themeColor="text1" w:themeTint="BF"/>
    </w:rPr>
  </w:style>
  <w:style w:type="paragraph" w:styleId="ListParagraph">
    <w:name w:val="List Paragraph"/>
    <w:basedOn w:val="Normal"/>
    <w:uiPriority w:val="34"/>
    <w:qFormat/>
    <w:rsid w:val="00294EFA"/>
    <w:pPr>
      <w:ind w:left="720"/>
      <w:contextualSpacing/>
    </w:pPr>
  </w:style>
  <w:style w:type="character" w:styleId="IntenseEmphasis">
    <w:name w:val="Intense Emphasis"/>
    <w:basedOn w:val="DefaultParagraphFont"/>
    <w:uiPriority w:val="21"/>
    <w:qFormat/>
    <w:rsid w:val="00294EFA"/>
    <w:rPr>
      <w:i/>
      <w:iCs/>
      <w:color w:val="0F4761" w:themeColor="accent1" w:themeShade="BF"/>
    </w:rPr>
  </w:style>
  <w:style w:type="paragraph" w:styleId="IntenseQuote">
    <w:name w:val="Intense Quote"/>
    <w:basedOn w:val="Normal"/>
    <w:next w:val="Normal"/>
    <w:link w:val="IntenseQuoteChar"/>
    <w:uiPriority w:val="30"/>
    <w:qFormat/>
    <w:rsid w:val="00294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EFA"/>
    <w:rPr>
      <w:i/>
      <w:iCs/>
      <w:color w:val="0F4761" w:themeColor="accent1" w:themeShade="BF"/>
    </w:rPr>
  </w:style>
  <w:style w:type="character" w:styleId="IntenseReference">
    <w:name w:val="Intense Reference"/>
    <w:basedOn w:val="DefaultParagraphFont"/>
    <w:uiPriority w:val="32"/>
    <w:qFormat/>
    <w:rsid w:val="00294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2</cp:revision>
  <dcterms:created xsi:type="dcterms:W3CDTF">2026-09-28T21:20:00Z</dcterms:created>
  <dcterms:modified xsi:type="dcterms:W3CDTF">2026-09-28T21:20:00Z</dcterms:modified>
</cp:coreProperties>
</file>