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3ADD" w14:textId="7C8A7BAC" w:rsidR="00B45024" w:rsidRPr="00D832C4" w:rsidRDefault="00B45024" w:rsidP="00B45024">
      <w:pPr>
        <w:spacing w:after="225" w:line="240" w:lineRule="auto"/>
        <w:outlineLvl w:val="3"/>
        <w:rPr>
          <w:rFonts w:ascii="Arial" w:eastAsia="Times New Roman" w:hAnsi="Arial" w:cs="Arial"/>
          <w:b/>
          <w:bCs/>
          <w:color w:val="000000" w:themeColor="text1"/>
          <w:kern w:val="0"/>
          <w:lang w:eastAsia="en-GB"/>
          <w14:ligatures w14:val="none"/>
        </w:rPr>
      </w:pPr>
      <w:r w:rsidRPr="00D832C4">
        <w:rPr>
          <w:rFonts w:ascii="Arial" w:eastAsia="Times New Roman" w:hAnsi="Arial" w:cs="Arial"/>
          <w:b/>
          <w:bCs/>
          <w:color w:val="000000" w:themeColor="text1"/>
          <w:kern w:val="0"/>
          <w:lang w:eastAsia="en-GB"/>
          <w14:ligatures w14:val="none"/>
        </w:rPr>
        <w:t>Agent Based Systems</w:t>
      </w:r>
      <w:r>
        <w:rPr>
          <w:rFonts w:ascii="Arial" w:eastAsia="Times New Roman" w:hAnsi="Arial" w:cs="Arial"/>
          <w:b/>
          <w:bCs/>
          <w:color w:val="000000" w:themeColor="text1"/>
          <w:kern w:val="0"/>
          <w:lang w:eastAsia="en-GB"/>
          <w14:ligatures w14:val="none"/>
        </w:rPr>
        <w:t xml:space="preserve"> – Collaborative Discussion: </w:t>
      </w:r>
      <w:r>
        <w:rPr>
          <w:rFonts w:ascii="Arial" w:eastAsia="Times New Roman" w:hAnsi="Arial" w:cs="Arial"/>
          <w:b/>
          <w:bCs/>
          <w:color w:val="000000" w:themeColor="text1"/>
          <w:kern w:val="0"/>
          <w:lang w:eastAsia="en-GB"/>
          <w14:ligatures w14:val="none"/>
        </w:rPr>
        <w:t>Peer Responses</w:t>
      </w:r>
      <w:r>
        <w:rPr>
          <w:rFonts w:ascii="Arial" w:eastAsia="Times New Roman" w:hAnsi="Arial" w:cs="Arial"/>
          <w:b/>
          <w:bCs/>
          <w:color w:val="000000" w:themeColor="text1"/>
          <w:kern w:val="0"/>
          <w:lang w:eastAsia="en-GB"/>
          <w14:ligatures w14:val="none"/>
        </w:rPr>
        <w:t xml:space="preserve"> </w:t>
      </w:r>
    </w:p>
    <w:p w14:paraId="5AA9892B" w14:textId="77777777" w:rsidR="00B45024" w:rsidRDefault="00B45024" w:rsidP="00B45024">
      <w:pPr>
        <w:pStyle w:val="NormalWeb"/>
      </w:pPr>
      <w:r>
        <w:t>Hi Anne,</w:t>
      </w:r>
    </w:p>
    <w:p w14:paraId="35002AD6" w14:textId="77777777" w:rsidR="00B45024" w:rsidRDefault="00B45024" w:rsidP="00B45024">
      <w:pPr>
        <w:pStyle w:val="NormalWeb"/>
      </w:pPr>
      <w:r>
        <w:t>Thank you for the correction on PwC, that's a fair catch. 66% reflects executives answering yes, not a 66% productivity gain.</w:t>
      </w:r>
    </w:p>
    <w:p w14:paraId="62782304" w14:textId="77777777" w:rsidR="00B45024" w:rsidRDefault="00B45024" w:rsidP="00B45024">
      <w:pPr>
        <w:pStyle w:val="NormalWeb"/>
      </w:pPr>
      <w:r>
        <w:t>However, I’d offer a slight caveat on where the correction leads. You frame PwC as "perception, not evidence" while treating Gartner's 40% forecast as though it sits on firmer ground. A 2027 cancellation forecast made in 2025 is still an estimate rather than a measured outcome, so the two sources may be closer in kind than the framing suggests.</w:t>
      </w:r>
    </w:p>
    <w:p w14:paraId="35E43109" w14:textId="77777777" w:rsidR="00B45024" w:rsidRDefault="00B45024" w:rsidP="00B45024">
      <w:pPr>
        <w:pStyle w:val="NormalWeb"/>
      </w:pPr>
      <w:r>
        <w:t>I'd also gently question how far the Bratman, Israel and Pollack citation travels. Their 1988 argument is about how a single resource-bounded agent commits to intentions rather than endlessly re-deliberating, it's a theory of individual practical reasoning rather than organisational oversight. Applying "boundedness" to human supervisors is a useful analogy, but it may be doing more rhetorical than argumentative work here.</w:t>
      </w:r>
    </w:p>
    <w:p w14:paraId="0E3A0548" w14:textId="77777777" w:rsidR="00B45024" w:rsidRDefault="00B45024" w:rsidP="00B45024">
      <w:pPr>
        <w:pStyle w:val="NormalWeb"/>
      </w:pPr>
      <w:r>
        <w:t>On your closing question, I think Bainbridge (1983) helps make your case rather than just gesturing at it, automation tends to raise monitoring burden because it removes the routine practice that made human oversight easy in the first place.</w:t>
      </w:r>
    </w:p>
    <w:p w14:paraId="62E95AEB" w14:textId="77777777" w:rsidR="00B45024" w:rsidRDefault="00B45024" w:rsidP="00B45024">
      <w:pPr>
        <w:pStyle w:val="NormalWeb"/>
      </w:pPr>
      <w:r>
        <w:t>Fred</w:t>
      </w:r>
    </w:p>
    <w:p w14:paraId="2D51D951" w14:textId="77777777" w:rsidR="00B45024" w:rsidRDefault="00B45024" w:rsidP="00B45024">
      <w:pPr>
        <w:pStyle w:val="NormalWeb"/>
      </w:pPr>
      <w:r>
        <w:t>References</w:t>
      </w:r>
    </w:p>
    <w:p w14:paraId="380ABA24" w14:textId="77777777" w:rsidR="00B45024" w:rsidRDefault="00B45024" w:rsidP="00B45024">
      <w:pPr>
        <w:pStyle w:val="NormalWeb"/>
      </w:pPr>
      <w:r>
        <w:t xml:space="preserve">Bainbridge, L. (1983) 'Ironies of automation', </w:t>
      </w:r>
      <w:proofErr w:type="spellStart"/>
      <w:r>
        <w:rPr>
          <w:rStyle w:val="Emphasis"/>
          <w:rFonts w:eastAsiaTheme="majorEastAsia"/>
        </w:rPr>
        <w:t>Automatica</w:t>
      </w:r>
      <w:proofErr w:type="spellEnd"/>
      <w:r>
        <w:t>, 19(6), pp. 775–779. Available at: https://doi.org/10.1016/0005-1098(83)90046-8</w:t>
      </w:r>
    </w:p>
    <w:p w14:paraId="0E93B605" w14:textId="77777777" w:rsidR="00B45024" w:rsidRDefault="00B45024" w:rsidP="00B45024">
      <w:pPr>
        <w:rPr>
          <w:b/>
          <w:bCs/>
        </w:rPr>
      </w:pPr>
    </w:p>
    <w:p w14:paraId="106F550D" w14:textId="77777777" w:rsidR="00B45024" w:rsidRDefault="00B45024" w:rsidP="00B45024">
      <w:pPr>
        <w:pStyle w:val="NormalWeb"/>
      </w:pPr>
    </w:p>
    <w:p w14:paraId="42B6BDF8" w14:textId="77777777" w:rsidR="00B45024" w:rsidRDefault="00B45024" w:rsidP="00B45024">
      <w:pPr>
        <w:pStyle w:val="NormalWeb"/>
      </w:pPr>
    </w:p>
    <w:p w14:paraId="384C8D6D" w14:textId="77777777" w:rsidR="00B45024" w:rsidRDefault="00B45024" w:rsidP="00B45024">
      <w:pPr>
        <w:pStyle w:val="NormalWeb"/>
      </w:pPr>
    </w:p>
    <w:p w14:paraId="33CBAF09" w14:textId="77777777" w:rsidR="00B45024" w:rsidRDefault="00B45024" w:rsidP="00B45024">
      <w:pPr>
        <w:pStyle w:val="NormalWeb"/>
      </w:pPr>
    </w:p>
    <w:p w14:paraId="242211EB" w14:textId="77777777" w:rsidR="00B45024" w:rsidRDefault="00B45024" w:rsidP="00B45024">
      <w:pPr>
        <w:pStyle w:val="NormalWeb"/>
      </w:pPr>
    </w:p>
    <w:p w14:paraId="503B47DC" w14:textId="77777777" w:rsidR="00B45024" w:rsidRDefault="00B45024" w:rsidP="00B45024">
      <w:pPr>
        <w:pStyle w:val="NormalWeb"/>
      </w:pPr>
    </w:p>
    <w:p w14:paraId="05151C22" w14:textId="77777777" w:rsidR="00B45024" w:rsidRDefault="00B45024" w:rsidP="00B45024">
      <w:pPr>
        <w:pStyle w:val="NormalWeb"/>
      </w:pPr>
    </w:p>
    <w:p w14:paraId="0C718CC7" w14:textId="77777777" w:rsidR="00B45024" w:rsidRDefault="00B45024" w:rsidP="00B45024">
      <w:pPr>
        <w:pStyle w:val="NormalWeb"/>
      </w:pPr>
    </w:p>
    <w:p w14:paraId="56539A72" w14:textId="77777777" w:rsidR="00B45024" w:rsidRDefault="00B45024" w:rsidP="00B45024">
      <w:pPr>
        <w:pStyle w:val="NormalWeb"/>
      </w:pPr>
    </w:p>
    <w:p w14:paraId="4D9B02B7" w14:textId="77777777" w:rsidR="00B45024" w:rsidRDefault="00B45024" w:rsidP="00B45024">
      <w:pPr>
        <w:pStyle w:val="NormalWeb"/>
      </w:pPr>
    </w:p>
    <w:p w14:paraId="57E1B383" w14:textId="6058E6CC" w:rsidR="00B45024" w:rsidRDefault="00B45024" w:rsidP="00B45024">
      <w:pPr>
        <w:pStyle w:val="NormalWeb"/>
      </w:pPr>
      <w:r>
        <w:lastRenderedPageBreak/>
        <w:t>Hi Kapinga,</w:t>
      </w:r>
    </w:p>
    <w:p w14:paraId="08B09371" w14:textId="77777777" w:rsidR="00B45024" w:rsidRDefault="00B45024" w:rsidP="00B45024">
      <w:pPr>
        <w:pStyle w:val="NormalWeb"/>
      </w:pPr>
      <w:r>
        <w:t>Thanks for this insightful, well-structured overview of the drivers behind agent-based systems. I'd like to build on your point about increasing delegation, as I think it connects closely to a trend you didn't mention explicitly. The growing complexity of tasks that exceed what a single centralised system can handle efficiently.</w:t>
      </w:r>
    </w:p>
    <w:p w14:paraId="79150A46" w14:textId="77777777" w:rsidR="00B45024" w:rsidRDefault="00B45024" w:rsidP="00B45024">
      <w:pPr>
        <w:pStyle w:val="NormalWeb"/>
      </w:pPr>
      <w:r>
        <w:t xml:space="preserve">As environments become more dynamic and data-rich, single-agent architectures often struggle with scalability and responsiveness. This is where multi-agent systems really show their value, distributing cognitive and computational load across multiple autonomous entities. </w:t>
      </w:r>
      <w:r w:rsidRPr="00480F25">
        <w:t>Jennings et al.</w:t>
      </w:r>
      <w:r>
        <w:t xml:space="preserve"> (</w:t>
      </w:r>
      <w:r w:rsidRPr="00480F25">
        <w:t>1998)</w:t>
      </w:r>
      <w:r>
        <w:t xml:space="preserve"> argue that this transition mirrors how complex organisational problems are naturally distributed among specialised human teams, making multi-agent systems, a more intuitive fit for real-world business processes than centralised alternatives.</w:t>
      </w:r>
    </w:p>
    <w:p w14:paraId="3738106C" w14:textId="77777777" w:rsidR="00B45024" w:rsidRDefault="00B45024" w:rsidP="00B45024">
      <w:pPr>
        <w:pStyle w:val="NormalWeb"/>
      </w:pPr>
      <w:r>
        <w:t>I'd also add nuance to your point on AI advancement. While reasoning and learning capabilities are certainly important, Russell and Norvig's framing of "rational agents" pursuing goals under uncertainty is arguably more foundational than raw AI complexity (Russell and Norvig, 2021). Even relatively simple reactive agents can be highly effective if their design accounts properly for environmental uncertainty and objective behaviour.</w:t>
      </w:r>
    </w:p>
    <w:p w14:paraId="7CDAD5C6" w14:textId="77777777" w:rsidR="00B45024" w:rsidRDefault="00B45024" w:rsidP="00B45024">
      <w:pPr>
        <w:pStyle w:val="NormalWeb"/>
      </w:pPr>
      <w:r>
        <w:t>One area worth exploring further is how do these trends interact with trust and accountability? As agents gain more autonomy, questions around explainability and human oversight become increasingly important, particularly for organisations deploying agents in regulated or health related domains.</w:t>
      </w:r>
    </w:p>
    <w:p w14:paraId="72480543" w14:textId="77777777" w:rsidR="00B45024" w:rsidRDefault="00B45024" w:rsidP="00B45024">
      <w:pPr>
        <w:pStyle w:val="NormalWeb"/>
      </w:pPr>
      <w:r>
        <w:rPr>
          <w:rStyle w:val="Strong"/>
          <w:rFonts w:eastAsiaTheme="majorEastAsia"/>
        </w:rPr>
        <w:t>References</w:t>
      </w:r>
      <w:r>
        <w:t xml:space="preserve"> </w:t>
      </w:r>
    </w:p>
    <w:p w14:paraId="4FFED09A" w14:textId="77777777" w:rsidR="00B45024" w:rsidRDefault="00B45024" w:rsidP="00B45024">
      <w:pPr>
        <w:pStyle w:val="NormalWeb"/>
      </w:pPr>
      <w:r w:rsidRPr="00480F25">
        <w:t xml:space="preserve">Jennings, N.R., </w:t>
      </w:r>
      <w:proofErr w:type="spellStart"/>
      <w:r w:rsidRPr="00480F25">
        <w:t>Sycara</w:t>
      </w:r>
      <w:proofErr w:type="spellEnd"/>
      <w:r w:rsidRPr="00480F25">
        <w:t>, K. and Wooldridge, M. (1998) ‘A roadmap of Agent Research and Development’, </w:t>
      </w:r>
      <w:r w:rsidRPr="00480F25">
        <w:rPr>
          <w:i/>
          <w:iCs/>
        </w:rPr>
        <w:t>Autonomous Agents and Multi-Agent Systems</w:t>
      </w:r>
      <w:r w:rsidRPr="00480F25">
        <w:t>, 1(1), pp. 7–38. doi:10.1023/a:1010090405266. </w:t>
      </w:r>
    </w:p>
    <w:p w14:paraId="7D95881F" w14:textId="77777777" w:rsidR="00B45024" w:rsidRDefault="00B45024" w:rsidP="00B45024">
      <w:pPr>
        <w:pStyle w:val="NormalWeb"/>
      </w:pPr>
      <w:r>
        <w:t xml:space="preserve">Russell, S. and Norvig, P. (2021) </w:t>
      </w:r>
      <w:r>
        <w:rPr>
          <w:rStyle w:val="Emphasis"/>
          <w:rFonts w:eastAsiaTheme="majorEastAsia"/>
        </w:rPr>
        <w:t>Artificial Intelligence: A Modern Approach</w:t>
      </w:r>
      <w:r>
        <w:t>. 4th ed. Pearson.</w:t>
      </w:r>
    </w:p>
    <w:p w14:paraId="53BAA778" w14:textId="77777777" w:rsidR="00B45024" w:rsidRPr="00726D7A" w:rsidRDefault="00B45024" w:rsidP="00B45024"/>
    <w:p w14:paraId="20CDCAD1" w14:textId="77777777" w:rsidR="00B45024" w:rsidRDefault="00B45024"/>
    <w:sectPr w:rsidR="00B450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024"/>
    <w:rsid w:val="006E697B"/>
    <w:rsid w:val="00B450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3229864"/>
  <w15:chartTrackingRefBased/>
  <w15:docId w15:val="{F92F6689-10E1-4241-BE34-3CF598CF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024"/>
  </w:style>
  <w:style w:type="paragraph" w:styleId="Heading1">
    <w:name w:val="heading 1"/>
    <w:basedOn w:val="Normal"/>
    <w:next w:val="Normal"/>
    <w:link w:val="Heading1Char"/>
    <w:uiPriority w:val="9"/>
    <w:qFormat/>
    <w:rsid w:val="00B45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024"/>
    <w:rPr>
      <w:rFonts w:eastAsiaTheme="majorEastAsia" w:cstheme="majorBidi"/>
      <w:color w:val="272727" w:themeColor="text1" w:themeTint="D8"/>
    </w:rPr>
  </w:style>
  <w:style w:type="paragraph" w:styleId="Title">
    <w:name w:val="Title"/>
    <w:basedOn w:val="Normal"/>
    <w:next w:val="Normal"/>
    <w:link w:val="TitleChar"/>
    <w:uiPriority w:val="10"/>
    <w:qFormat/>
    <w:rsid w:val="00B45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024"/>
    <w:pPr>
      <w:spacing w:before="160"/>
      <w:jc w:val="center"/>
    </w:pPr>
    <w:rPr>
      <w:i/>
      <w:iCs/>
      <w:color w:val="404040" w:themeColor="text1" w:themeTint="BF"/>
    </w:rPr>
  </w:style>
  <w:style w:type="character" w:customStyle="1" w:styleId="QuoteChar">
    <w:name w:val="Quote Char"/>
    <w:basedOn w:val="DefaultParagraphFont"/>
    <w:link w:val="Quote"/>
    <w:uiPriority w:val="29"/>
    <w:rsid w:val="00B45024"/>
    <w:rPr>
      <w:i/>
      <w:iCs/>
      <w:color w:val="404040" w:themeColor="text1" w:themeTint="BF"/>
    </w:rPr>
  </w:style>
  <w:style w:type="paragraph" w:styleId="ListParagraph">
    <w:name w:val="List Paragraph"/>
    <w:basedOn w:val="Normal"/>
    <w:uiPriority w:val="34"/>
    <w:qFormat/>
    <w:rsid w:val="00B45024"/>
    <w:pPr>
      <w:ind w:left="720"/>
      <w:contextualSpacing/>
    </w:pPr>
  </w:style>
  <w:style w:type="character" w:styleId="IntenseEmphasis">
    <w:name w:val="Intense Emphasis"/>
    <w:basedOn w:val="DefaultParagraphFont"/>
    <w:uiPriority w:val="21"/>
    <w:qFormat/>
    <w:rsid w:val="00B45024"/>
    <w:rPr>
      <w:i/>
      <w:iCs/>
      <w:color w:val="0F4761" w:themeColor="accent1" w:themeShade="BF"/>
    </w:rPr>
  </w:style>
  <w:style w:type="paragraph" w:styleId="IntenseQuote">
    <w:name w:val="Intense Quote"/>
    <w:basedOn w:val="Normal"/>
    <w:next w:val="Normal"/>
    <w:link w:val="IntenseQuoteChar"/>
    <w:uiPriority w:val="30"/>
    <w:qFormat/>
    <w:rsid w:val="00B45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024"/>
    <w:rPr>
      <w:i/>
      <w:iCs/>
      <w:color w:val="0F4761" w:themeColor="accent1" w:themeShade="BF"/>
    </w:rPr>
  </w:style>
  <w:style w:type="character" w:styleId="IntenseReference">
    <w:name w:val="Intense Reference"/>
    <w:basedOn w:val="DefaultParagraphFont"/>
    <w:uiPriority w:val="32"/>
    <w:qFormat/>
    <w:rsid w:val="00B45024"/>
    <w:rPr>
      <w:b/>
      <w:bCs/>
      <w:smallCaps/>
      <w:color w:val="0F4761" w:themeColor="accent1" w:themeShade="BF"/>
      <w:spacing w:val="5"/>
    </w:rPr>
  </w:style>
  <w:style w:type="paragraph" w:styleId="NormalWeb">
    <w:name w:val="Normal (Web)"/>
    <w:basedOn w:val="Normal"/>
    <w:uiPriority w:val="99"/>
    <w:semiHidden/>
    <w:unhideWhenUsed/>
    <w:rsid w:val="00B4502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B45024"/>
    <w:rPr>
      <w:i/>
      <w:iCs/>
    </w:rPr>
  </w:style>
  <w:style w:type="character" w:styleId="Strong">
    <w:name w:val="Strong"/>
    <w:basedOn w:val="DefaultParagraphFont"/>
    <w:uiPriority w:val="22"/>
    <w:qFormat/>
    <w:rsid w:val="00B450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Ogunlesi, Frederick</dc:creator>
  <cp:keywords/>
  <dc:description/>
  <cp:lastModifiedBy>Ogunlesi, Frederick</cp:lastModifiedBy>
  <cp:revision>1</cp:revision>
  <dcterms:created xsi:type="dcterms:W3CDTF">2026-08-22T12:39:00Z</dcterms:created>
  <dcterms:modified xsi:type="dcterms:W3CDTF">2026-08-22T12:40:00Z</dcterms:modified>
</cp:coreProperties>
</file>