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F328" w14:textId="54C87B9B" w:rsidR="00135E45" w:rsidRDefault="00135E45">
      <w:r>
        <w:t xml:space="preserve">Unit 7: Summary Post </w:t>
      </w:r>
    </w:p>
    <w:p w14:paraId="2F8D8A3D" w14:textId="77777777" w:rsidR="00135E45" w:rsidRDefault="00135E45"/>
    <w:p w14:paraId="1CE0DA6A" w14:textId="7DA5230A"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My initial post stated that Agent Communication Languages (ACLs) such as KQML offer three main benefits over direct method invocation in Python or Java: semantic expressiveness through performatives, interoperability across independently developed systems, and superior agent autonomy, since messages convey intent rather than commands (Wooldridge and Jennings, 1995). I balanced this against three disadvantages: the computing overhead of ontology matching</w:t>
      </w:r>
      <w:r w:rsidR="003346FC">
        <w:rPr>
          <w:rFonts w:ascii="Times New Roman" w:eastAsia="Times New Roman" w:hAnsi="Times New Roman" w:cs="Times New Roman"/>
          <w:color w:val="000000"/>
          <w:kern w:val="0"/>
          <w:lang w:eastAsia="en-GB"/>
          <w14:ligatures w14:val="none"/>
        </w:rPr>
        <w:t xml:space="preserve">, </w:t>
      </w:r>
      <w:r w:rsidRPr="00985982">
        <w:rPr>
          <w:rFonts w:ascii="Times New Roman" w:eastAsia="Times New Roman" w:hAnsi="Times New Roman" w:cs="Times New Roman"/>
          <w:color w:val="000000"/>
          <w:kern w:val="0"/>
          <w:lang w:eastAsia="en-GB"/>
          <w14:ligatures w14:val="none"/>
        </w:rPr>
        <w:t>complexity for simple tasks, and the difficulty of verifying whether an agent’s stated intent corresponds to its actual internal state.</w:t>
      </w:r>
    </w:p>
    <w:p w14:paraId="50F97821" w14:textId="77777777" w:rsidR="00985982"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p>
    <w:p w14:paraId="7927D697" w14:textId="77777777"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My peers’ feedback improved these points significantly. Kapinga extended the verifiability issue by highlighting Singh’s (1998) concept of commitments, showing that ACL communication is not simply an exchange but the creation of accountable obligations between agents, a distinction with direct relevance to trust in modern LLM-based multi-agent systems. Kapinga also proposed a blended approach, combining invocation methods inside controlled systems with structured ACL communication across autonomous ones. </w:t>
      </w:r>
    </w:p>
    <w:p w14:paraId="40C972BD" w14:textId="77777777" w:rsidR="00985982"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p>
    <w:p w14:paraId="08606701" w14:textId="1CEFBDFB"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 xml:space="preserve">Aldana raised two important corrections. Firstly, KIF was </w:t>
      </w:r>
      <w:r w:rsidR="003346FC" w:rsidRPr="00985982">
        <w:rPr>
          <w:rFonts w:ascii="Times New Roman" w:eastAsia="Times New Roman" w:hAnsi="Times New Roman" w:cs="Times New Roman"/>
          <w:color w:val="000000"/>
          <w:kern w:val="0"/>
          <w:lang w:eastAsia="en-GB"/>
          <w14:ligatures w14:val="none"/>
        </w:rPr>
        <w:t>an</w:t>
      </w:r>
      <w:r w:rsidRPr="00985982">
        <w:rPr>
          <w:rFonts w:ascii="Times New Roman" w:eastAsia="Times New Roman" w:hAnsi="Times New Roman" w:cs="Times New Roman"/>
          <w:color w:val="000000"/>
          <w:kern w:val="0"/>
          <w:lang w:eastAsia="en-GB"/>
          <w14:ligatures w14:val="none"/>
        </w:rPr>
        <w:t xml:space="preserve"> </w:t>
      </w:r>
      <w:r w:rsidR="003346FC">
        <w:rPr>
          <w:rFonts w:ascii="Times New Roman" w:eastAsia="Times New Roman" w:hAnsi="Times New Roman" w:cs="Times New Roman"/>
          <w:color w:val="000000"/>
          <w:kern w:val="0"/>
          <w:lang w:eastAsia="en-GB"/>
          <w14:ligatures w14:val="none"/>
        </w:rPr>
        <w:t>optional component</w:t>
      </w:r>
      <w:r w:rsidRPr="00985982">
        <w:rPr>
          <w:rFonts w:ascii="Times New Roman" w:eastAsia="Times New Roman" w:hAnsi="Times New Roman" w:cs="Times New Roman"/>
          <w:color w:val="000000"/>
          <w:kern w:val="0"/>
          <w:lang w:eastAsia="en-GB"/>
          <w14:ligatures w14:val="none"/>
        </w:rPr>
        <w:t xml:space="preserve"> to KQML rather than a mandatory component, since KQML was intentionally content-language agnostic. Second, and more importantly, she noted that KQML’s performatives lacked formal semantics, so different implementations sometimes interpreted the same performatives inconsistently (</w:t>
      </w:r>
      <w:proofErr w:type="spellStart"/>
      <w:r w:rsidRPr="00985982">
        <w:rPr>
          <w:rFonts w:ascii="Times New Roman" w:eastAsia="Times New Roman" w:hAnsi="Times New Roman" w:cs="Times New Roman"/>
          <w:color w:val="000000"/>
          <w:kern w:val="0"/>
          <w:lang w:eastAsia="en-GB"/>
          <w14:ligatures w14:val="none"/>
        </w:rPr>
        <w:t>Labrou</w:t>
      </w:r>
      <w:proofErr w:type="spellEnd"/>
      <w:r w:rsidRPr="00985982">
        <w:rPr>
          <w:rFonts w:ascii="Times New Roman" w:eastAsia="Times New Roman" w:hAnsi="Times New Roman" w:cs="Times New Roman"/>
          <w:color w:val="000000"/>
          <w:kern w:val="0"/>
          <w:lang w:eastAsia="en-GB"/>
          <w14:ligatures w14:val="none"/>
        </w:rPr>
        <w:t xml:space="preserve"> and Finin, 1997). This </w:t>
      </w:r>
      <w:r w:rsidR="003346FC" w:rsidRPr="00985982">
        <w:rPr>
          <w:rFonts w:ascii="Times New Roman" w:eastAsia="Times New Roman" w:hAnsi="Times New Roman" w:cs="Times New Roman"/>
          <w:color w:val="000000"/>
          <w:kern w:val="0"/>
          <w:lang w:eastAsia="en-GB"/>
          <w14:ligatures w14:val="none"/>
        </w:rPr>
        <w:t>obscures</w:t>
      </w:r>
      <w:r w:rsidRPr="00985982">
        <w:rPr>
          <w:rFonts w:ascii="Times New Roman" w:eastAsia="Times New Roman" w:hAnsi="Times New Roman" w:cs="Times New Roman"/>
          <w:color w:val="000000"/>
          <w:kern w:val="0"/>
          <w:lang w:eastAsia="en-GB"/>
          <w14:ligatures w14:val="none"/>
        </w:rPr>
        <w:t xml:space="preserve"> my </w:t>
      </w:r>
      <w:r w:rsidR="003346FC">
        <w:rPr>
          <w:rFonts w:ascii="Times New Roman" w:eastAsia="Times New Roman" w:hAnsi="Times New Roman" w:cs="Times New Roman"/>
          <w:color w:val="000000"/>
          <w:kern w:val="0"/>
          <w:lang w:eastAsia="en-GB"/>
          <w14:ligatures w14:val="none"/>
        </w:rPr>
        <w:t>initial</w:t>
      </w:r>
      <w:r w:rsidRPr="00985982">
        <w:rPr>
          <w:rFonts w:ascii="Times New Roman" w:eastAsia="Times New Roman" w:hAnsi="Times New Roman" w:cs="Times New Roman"/>
          <w:color w:val="000000"/>
          <w:kern w:val="0"/>
          <w:lang w:eastAsia="en-GB"/>
          <w14:ligatures w14:val="none"/>
        </w:rPr>
        <w:t xml:space="preserve"> claim about semantic expressiveness</w:t>
      </w:r>
      <w:r w:rsidR="003346FC">
        <w:rPr>
          <w:rFonts w:ascii="Times New Roman" w:eastAsia="Times New Roman" w:hAnsi="Times New Roman" w:cs="Times New Roman"/>
          <w:color w:val="000000"/>
          <w:kern w:val="0"/>
          <w:lang w:eastAsia="en-GB"/>
          <w14:ligatures w14:val="none"/>
        </w:rPr>
        <w:t xml:space="preserve"> since </w:t>
      </w:r>
      <w:r w:rsidRPr="00985982">
        <w:rPr>
          <w:rFonts w:ascii="Times New Roman" w:eastAsia="Times New Roman" w:hAnsi="Times New Roman" w:cs="Times New Roman"/>
          <w:color w:val="000000"/>
          <w:kern w:val="0"/>
          <w:lang w:eastAsia="en-GB"/>
          <w14:ligatures w14:val="none"/>
        </w:rPr>
        <w:t>shared vocabulary alone does not guarantee common understanding. </w:t>
      </w:r>
    </w:p>
    <w:p w14:paraId="6019B838" w14:textId="77777777" w:rsidR="00985982"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p>
    <w:p w14:paraId="755C467C" w14:textId="71A574AC"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 xml:space="preserve">In response to Aldana’s question, </w:t>
      </w:r>
      <w:r w:rsidR="003346FC">
        <w:rPr>
          <w:rFonts w:ascii="Times New Roman" w:eastAsia="Times New Roman" w:hAnsi="Times New Roman" w:cs="Times New Roman"/>
          <w:color w:val="000000"/>
          <w:kern w:val="0"/>
          <w:lang w:eastAsia="en-GB"/>
          <w14:ligatures w14:val="none"/>
        </w:rPr>
        <w:t xml:space="preserve">whilst KQML is superseded by FIPA-ACL, it could be argued that </w:t>
      </w:r>
      <w:r w:rsidRPr="00985982">
        <w:rPr>
          <w:rFonts w:ascii="Times New Roman" w:eastAsia="Times New Roman" w:hAnsi="Times New Roman" w:cs="Times New Roman"/>
          <w:color w:val="000000"/>
          <w:kern w:val="0"/>
          <w:lang w:eastAsia="en-GB"/>
          <w14:ligatures w14:val="none"/>
        </w:rPr>
        <w:t xml:space="preserve">FIPA-ACL </w:t>
      </w:r>
      <w:r w:rsidR="003346FC">
        <w:rPr>
          <w:rFonts w:ascii="Times New Roman" w:eastAsia="Times New Roman" w:hAnsi="Times New Roman" w:cs="Times New Roman"/>
          <w:color w:val="000000"/>
          <w:kern w:val="0"/>
          <w:lang w:eastAsia="en-GB"/>
          <w14:ligatures w14:val="none"/>
        </w:rPr>
        <w:t xml:space="preserve">doesn’t </w:t>
      </w:r>
      <w:r w:rsidRPr="00985982">
        <w:rPr>
          <w:rFonts w:ascii="Times New Roman" w:eastAsia="Times New Roman" w:hAnsi="Times New Roman" w:cs="Times New Roman"/>
          <w:color w:val="000000"/>
          <w:kern w:val="0"/>
          <w:lang w:eastAsia="en-GB"/>
          <w14:ligatures w14:val="none"/>
        </w:rPr>
        <w:t>fully resolves this problem. While it introduced formal semantics grounded in modal logic, those semantics still depend on unverifiable mental states such as belief and intention. Hence, the underlying verifiability gap persists even with a more demanding specification</w:t>
      </w:r>
      <w:r w:rsidR="003346FC">
        <w:rPr>
          <w:rFonts w:ascii="Times New Roman" w:eastAsia="Times New Roman" w:hAnsi="Times New Roman" w:cs="Times New Roman"/>
          <w:color w:val="000000"/>
          <w:kern w:val="0"/>
          <w:lang w:eastAsia="en-GB"/>
          <w14:ligatures w14:val="none"/>
        </w:rPr>
        <w:t>.</w:t>
      </w:r>
    </w:p>
    <w:p w14:paraId="55D79491" w14:textId="77777777" w:rsidR="003346FC" w:rsidRPr="00985982" w:rsidRDefault="003346FC" w:rsidP="00985982">
      <w:pPr>
        <w:spacing w:after="0" w:line="240" w:lineRule="auto"/>
        <w:rPr>
          <w:rFonts w:ascii="Times New Roman" w:eastAsia="Times New Roman" w:hAnsi="Times New Roman" w:cs="Times New Roman"/>
          <w:color w:val="000000"/>
          <w:kern w:val="0"/>
          <w:lang w:eastAsia="en-GB"/>
          <w14:ligatures w14:val="none"/>
        </w:rPr>
      </w:pPr>
    </w:p>
    <w:p w14:paraId="7008FAEE" w14:textId="77777777"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Overall, method invocation remains preferable for tightly coupled tasks, while ACL-style communication suits open, negotiated interaction, provided its semantic as well as intent limitations are acknowledged. </w:t>
      </w:r>
    </w:p>
    <w:p w14:paraId="52EED066" w14:textId="77777777" w:rsidR="00985982"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p>
    <w:p w14:paraId="7C9B7409" w14:textId="433E39AF" w:rsidR="003346FC"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b/>
          <w:bCs/>
          <w:color w:val="000000"/>
          <w:kern w:val="0"/>
          <w:lang w:eastAsia="en-GB"/>
          <w14:ligatures w14:val="none"/>
        </w:rPr>
        <w:t>References</w:t>
      </w:r>
    </w:p>
    <w:p w14:paraId="4E87BDE1" w14:textId="77777777"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proofErr w:type="spellStart"/>
      <w:r w:rsidRPr="00985982">
        <w:rPr>
          <w:rFonts w:ascii="Times New Roman" w:eastAsia="Times New Roman" w:hAnsi="Times New Roman" w:cs="Times New Roman"/>
          <w:color w:val="000000"/>
          <w:kern w:val="0"/>
          <w:lang w:eastAsia="en-GB"/>
          <w14:ligatures w14:val="none"/>
        </w:rPr>
        <w:t>Labrou</w:t>
      </w:r>
      <w:proofErr w:type="spellEnd"/>
      <w:r w:rsidRPr="00985982">
        <w:rPr>
          <w:rFonts w:ascii="Times New Roman" w:eastAsia="Times New Roman" w:hAnsi="Times New Roman" w:cs="Times New Roman"/>
          <w:color w:val="000000"/>
          <w:kern w:val="0"/>
          <w:lang w:eastAsia="en-GB"/>
          <w14:ligatures w14:val="none"/>
        </w:rPr>
        <w:t>, Y. and Finin, T. (1997) 'Semantics and conversations for an agent communication language', </w:t>
      </w:r>
      <w:r w:rsidRPr="00985982">
        <w:rPr>
          <w:rFonts w:ascii="Times New Roman" w:eastAsia="Times New Roman" w:hAnsi="Times New Roman" w:cs="Times New Roman"/>
          <w:i/>
          <w:iCs/>
          <w:color w:val="000000"/>
          <w:kern w:val="0"/>
          <w:lang w:eastAsia="en-GB"/>
          <w14:ligatures w14:val="none"/>
        </w:rPr>
        <w:t>Proceedings of the Fifteenth International Joint Conference on Artificial Intelligence (IJCAI-97)</w:t>
      </w:r>
      <w:r w:rsidRPr="00985982">
        <w:rPr>
          <w:rFonts w:ascii="Times New Roman" w:eastAsia="Times New Roman" w:hAnsi="Times New Roman" w:cs="Times New Roman"/>
          <w:color w:val="000000"/>
          <w:kern w:val="0"/>
          <w:lang w:eastAsia="en-GB"/>
          <w14:ligatures w14:val="none"/>
        </w:rPr>
        <w:t>, pp. 584–591.</w:t>
      </w:r>
    </w:p>
    <w:p w14:paraId="0F6FCA0D" w14:textId="77777777" w:rsidR="003346FC" w:rsidRPr="00985982" w:rsidRDefault="003346FC" w:rsidP="00985982">
      <w:pPr>
        <w:spacing w:after="0" w:line="240" w:lineRule="auto"/>
        <w:rPr>
          <w:rFonts w:ascii="Times New Roman" w:eastAsia="Times New Roman" w:hAnsi="Times New Roman" w:cs="Times New Roman"/>
          <w:color w:val="000000"/>
          <w:kern w:val="0"/>
          <w:lang w:eastAsia="en-GB"/>
          <w14:ligatures w14:val="none"/>
        </w:rPr>
      </w:pPr>
    </w:p>
    <w:p w14:paraId="488C44D8" w14:textId="77777777" w:rsid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Singh, M.P. (1998) 'Agent communication languages: Rethinking the principles', </w:t>
      </w:r>
      <w:r w:rsidRPr="00985982">
        <w:rPr>
          <w:rFonts w:ascii="Times New Roman" w:eastAsia="Times New Roman" w:hAnsi="Times New Roman" w:cs="Times New Roman"/>
          <w:i/>
          <w:iCs/>
          <w:color w:val="000000"/>
          <w:kern w:val="0"/>
          <w:lang w:eastAsia="en-GB"/>
          <w14:ligatures w14:val="none"/>
        </w:rPr>
        <w:t>IEEE Computer</w:t>
      </w:r>
      <w:r w:rsidRPr="00985982">
        <w:rPr>
          <w:rFonts w:ascii="Times New Roman" w:eastAsia="Times New Roman" w:hAnsi="Times New Roman" w:cs="Times New Roman"/>
          <w:color w:val="000000"/>
          <w:kern w:val="0"/>
          <w:lang w:eastAsia="en-GB"/>
          <w14:ligatures w14:val="none"/>
        </w:rPr>
        <w:t>, 31(12), pp. 40–47. doi:10.1109/2.735849.</w:t>
      </w:r>
    </w:p>
    <w:p w14:paraId="144944F4" w14:textId="77777777" w:rsidR="003346FC" w:rsidRPr="00985982" w:rsidRDefault="003346FC" w:rsidP="00985982">
      <w:pPr>
        <w:spacing w:after="0" w:line="240" w:lineRule="auto"/>
        <w:rPr>
          <w:rFonts w:ascii="Times New Roman" w:eastAsia="Times New Roman" w:hAnsi="Times New Roman" w:cs="Times New Roman"/>
          <w:color w:val="000000"/>
          <w:kern w:val="0"/>
          <w:lang w:eastAsia="en-GB"/>
          <w14:ligatures w14:val="none"/>
        </w:rPr>
      </w:pPr>
    </w:p>
    <w:p w14:paraId="4839DFB8" w14:textId="77777777" w:rsidR="00985982" w:rsidRPr="00985982" w:rsidRDefault="00985982" w:rsidP="00985982">
      <w:pPr>
        <w:spacing w:after="0" w:line="240" w:lineRule="auto"/>
        <w:rPr>
          <w:rFonts w:ascii="Times New Roman" w:eastAsia="Times New Roman" w:hAnsi="Times New Roman" w:cs="Times New Roman"/>
          <w:color w:val="000000"/>
          <w:kern w:val="0"/>
          <w:lang w:eastAsia="en-GB"/>
          <w14:ligatures w14:val="none"/>
        </w:rPr>
      </w:pPr>
      <w:r w:rsidRPr="00985982">
        <w:rPr>
          <w:rFonts w:ascii="Times New Roman" w:eastAsia="Times New Roman" w:hAnsi="Times New Roman" w:cs="Times New Roman"/>
          <w:color w:val="000000"/>
          <w:kern w:val="0"/>
          <w:lang w:eastAsia="en-GB"/>
          <w14:ligatures w14:val="none"/>
        </w:rPr>
        <w:t>Wooldridge, M. and Jennings, N.R. (1995) 'Intelligent agents: theory and practice', </w:t>
      </w:r>
      <w:r w:rsidRPr="00985982">
        <w:rPr>
          <w:rFonts w:ascii="Times New Roman" w:eastAsia="Times New Roman" w:hAnsi="Times New Roman" w:cs="Times New Roman"/>
          <w:i/>
          <w:iCs/>
          <w:color w:val="000000"/>
          <w:kern w:val="0"/>
          <w:lang w:eastAsia="en-GB"/>
          <w14:ligatures w14:val="none"/>
        </w:rPr>
        <w:t>The Knowledge Engineering Review</w:t>
      </w:r>
      <w:r w:rsidRPr="00985982">
        <w:rPr>
          <w:rFonts w:ascii="Times New Roman" w:eastAsia="Times New Roman" w:hAnsi="Times New Roman" w:cs="Times New Roman"/>
          <w:color w:val="000000"/>
          <w:kern w:val="0"/>
          <w:lang w:eastAsia="en-GB"/>
          <w14:ligatures w14:val="none"/>
        </w:rPr>
        <w:t>, 10(2), pp. 115–152. doi:10.1017/S0269888900008122.</w:t>
      </w:r>
    </w:p>
    <w:p w14:paraId="6678135E" w14:textId="77777777" w:rsidR="00985982" w:rsidRDefault="00985982" w:rsidP="00985982"/>
    <w:sectPr w:rsidR="00985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45"/>
    <w:rsid w:val="00135E45"/>
    <w:rsid w:val="003346FC"/>
    <w:rsid w:val="00534461"/>
    <w:rsid w:val="005F2363"/>
    <w:rsid w:val="006E697B"/>
    <w:rsid w:val="00732621"/>
    <w:rsid w:val="007E3F39"/>
    <w:rsid w:val="00886D8F"/>
    <w:rsid w:val="00896A28"/>
    <w:rsid w:val="00985982"/>
    <w:rsid w:val="009A4123"/>
    <w:rsid w:val="00B81020"/>
    <w:rsid w:val="00F16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5EE094"/>
  <w15:chartTrackingRefBased/>
  <w15:docId w15:val="{60320417-6681-DF4E-9921-95EDB4AC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E45"/>
    <w:rPr>
      <w:rFonts w:eastAsiaTheme="majorEastAsia" w:cstheme="majorBidi"/>
      <w:color w:val="272727" w:themeColor="text1" w:themeTint="D8"/>
    </w:rPr>
  </w:style>
  <w:style w:type="paragraph" w:styleId="Title">
    <w:name w:val="Title"/>
    <w:basedOn w:val="Normal"/>
    <w:next w:val="Normal"/>
    <w:link w:val="TitleChar"/>
    <w:uiPriority w:val="10"/>
    <w:qFormat/>
    <w:rsid w:val="0013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E45"/>
    <w:pPr>
      <w:spacing w:before="160"/>
      <w:jc w:val="center"/>
    </w:pPr>
    <w:rPr>
      <w:i/>
      <w:iCs/>
      <w:color w:val="404040" w:themeColor="text1" w:themeTint="BF"/>
    </w:rPr>
  </w:style>
  <w:style w:type="character" w:customStyle="1" w:styleId="QuoteChar">
    <w:name w:val="Quote Char"/>
    <w:basedOn w:val="DefaultParagraphFont"/>
    <w:link w:val="Quote"/>
    <w:uiPriority w:val="29"/>
    <w:rsid w:val="00135E45"/>
    <w:rPr>
      <w:i/>
      <w:iCs/>
      <w:color w:val="404040" w:themeColor="text1" w:themeTint="BF"/>
    </w:rPr>
  </w:style>
  <w:style w:type="paragraph" w:styleId="ListParagraph">
    <w:name w:val="List Paragraph"/>
    <w:basedOn w:val="Normal"/>
    <w:uiPriority w:val="34"/>
    <w:qFormat/>
    <w:rsid w:val="00135E45"/>
    <w:pPr>
      <w:ind w:left="720"/>
      <w:contextualSpacing/>
    </w:pPr>
  </w:style>
  <w:style w:type="character" w:styleId="IntenseEmphasis">
    <w:name w:val="Intense Emphasis"/>
    <w:basedOn w:val="DefaultParagraphFont"/>
    <w:uiPriority w:val="21"/>
    <w:qFormat/>
    <w:rsid w:val="00135E45"/>
    <w:rPr>
      <w:i/>
      <w:iCs/>
      <w:color w:val="0F4761" w:themeColor="accent1" w:themeShade="BF"/>
    </w:rPr>
  </w:style>
  <w:style w:type="paragraph" w:styleId="IntenseQuote">
    <w:name w:val="Intense Quote"/>
    <w:basedOn w:val="Normal"/>
    <w:next w:val="Normal"/>
    <w:link w:val="IntenseQuoteChar"/>
    <w:uiPriority w:val="30"/>
    <w:qFormat/>
    <w:rsid w:val="00135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E45"/>
    <w:rPr>
      <w:i/>
      <w:iCs/>
      <w:color w:val="0F4761" w:themeColor="accent1" w:themeShade="BF"/>
    </w:rPr>
  </w:style>
  <w:style w:type="character" w:styleId="IntenseReference">
    <w:name w:val="Intense Reference"/>
    <w:basedOn w:val="DefaultParagraphFont"/>
    <w:uiPriority w:val="32"/>
    <w:qFormat/>
    <w:rsid w:val="00135E45"/>
    <w:rPr>
      <w:b/>
      <w:bCs/>
      <w:smallCaps/>
      <w:color w:val="0F4761" w:themeColor="accent1" w:themeShade="BF"/>
      <w:spacing w:val="5"/>
    </w:rPr>
  </w:style>
  <w:style w:type="paragraph" w:styleId="NormalWeb">
    <w:name w:val="Normal (Web)"/>
    <w:basedOn w:val="Normal"/>
    <w:uiPriority w:val="99"/>
    <w:semiHidden/>
    <w:unhideWhenUsed/>
    <w:rsid w:val="009859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85982"/>
    <w:rPr>
      <w:b/>
      <w:bCs/>
    </w:rPr>
  </w:style>
  <w:style w:type="character" w:styleId="Emphasis">
    <w:name w:val="Emphasis"/>
    <w:basedOn w:val="DefaultParagraphFont"/>
    <w:uiPriority w:val="20"/>
    <w:qFormat/>
    <w:rsid w:val="00985982"/>
    <w:rPr>
      <w:i/>
      <w:iCs/>
    </w:rPr>
  </w:style>
  <w:style w:type="character" w:customStyle="1" w:styleId="apple-converted-space">
    <w:name w:val="apple-converted-space"/>
    <w:basedOn w:val="DefaultParagraphFont"/>
    <w:rsid w:val="00985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4</cp:revision>
  <dcterms:created xsi:type="dcterms:W3CDTF">2026-09-11T19:06:00Z</dcterms:created>
  <dcterms:modified xsi:type="dcterms:W3CDTF">2026-09-12T12:30:00Z</dcterms:modified>
</cp:coreProperties>
</file>