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D3A34" w14:textId="77777777" w:rsidR="00B85D0F" w:rsidRDefault="00B85D0F">
      <w:pPr>
        <w:rPr>
          <w:rFonts w:ascii="Arial" w:hAnsi="Arial" w:cs="Arial"/>
          <w:color w:val="000000" w:themeColor="text1"/>
          <w:u w:val="single"/>
          <w:shd w:val="clear" w:color="auto" w:fill="FFFFFF"/>
        </w:rPr>
      </w:pPr>
      <w:r w:rsidRPr="00B85D0F">
        <w:rPr>
          <w:rFonts w:ascii="Arial" w:hAnsi="Arial" w:cs="Arial"/>
          <w:color w:val="000000" w:themeColor="text1"/>
          <w:u w:val="single"/>
          <w:shd w:val="clear" w:color="auto" w:fill="FFFFFF"/>
        </w:rPr>
        <w:t xml:space="preserve">Unit 5: E-Portfolio – Initial Post </w:t>
      </w:r>
    </w:p>
    <w:p w14:paraId="7E196430" w14:textId="39AB2E38" w:rsidR="00C74E88" w:rsidRDefault="0088506B" w:rsidP="00493143">
      <w:pPr>
        <w:rPr>
          <w:rFonts w:ascii="Arial" w:hAnsi="Arial" w:cs="Arial"/>
          <w:color w:val="000000" w:themeColor="text1"/>
          <w:shd w:val="clear" w:color="auto" w:fill="FFFFFF"/>
        </w:rPr>
      </w:pPr>
      <w:r w:rsidRPr="00B85D0F">
        <w:rPr>
          <w:rFonts w:ascii="Arial" w:hAnsi="Arial" w:cs="Arial"/>
          <w:color w:val="000000" w:themeColor="text1"/>
          <w:shd w:val="clear" w:color="auto" w:fill="FFFFFF"/>
        </w:rPr>
        <w:t>What are the potential advantages and disadvantages of the use of agent communication languages such as KQML? How do they compare with method invocation in Python or Java?</w:t>
      </w:r>
    </w:p>
    <w:p w14:paraId="20673DE7" w14:textId="111BB060" w:rsidR="00E71FF6" w:rsidRDefault="00E71FF6" w:rsidP="00E71FF6">
      <w:pPr>
        <w:spacing w:after="0" w:line="240" w:lineRule="auto"/>
        <w:rPr>
          <w:rFonts w:ascii="Times New Roman" w:eastAsia="Times New Roman" w:hAnsi="Times New Roman" w:cs="Times New Roman"/>
          <w:color w:val="000000"/>
          <w:kern w:val="0"/>
          <w:lang w:eastAsia="en-GB"/>
          <w14:ligatures w14:val="none"/>
        </w:rPr>
      </w:pPr>
      <w:r w:rsidRPr="00E71FF6">
        <w:rPr>
          <w:rFonts w:ascii="Times New Roman" w:eastAsia="Times New Roman" w:hAnsi="Times New Roman" w:cs="Times New Roman"/>
          <w:color w:val="000000"/>
          <w:kern w:val="0"/>
          <w:lang w:eastAsia="en-GB"/>
          <w14:ligatures w14:val="none"/>
        </w:rPr>
        <w:t>KQML, developed as part of the DARPA-funded Knowledge Sharing Effort, is an agent communication language (ACL) that provides a framework for autonomous information systems to exchange represented knowledge. ACLs offer notable advantages and disadvantages compared with method invocation in Python or Java, which enables direct calls between software components.</w:t>
      </w:r>
    </w:p>
    <w:p w14:paraId="2A1EAE25" w14:textId="77777777" w:rsidR="00E71FF6" w:rsidRPr="00E71FF6" w:rsidRDefault="00E71FF6" w:rsidP="00E71FF6">
      <w:pPr>
        <w:spacing w:after="0" w:line="240" w:lineRule="auto"/>
        <w:rPr>
          <w:rFonts w:ascii="Times New Roman" w:eastAsia="Times New Roman" w:hAnsi="Times New Roman" w:cs="Times New Roman"/>
          <w:color w:val="000000"/>
          <w:kern w:val="0"/>
          <w:lang w:eastAsia="en-GB"/>
          <w14:ligatures w14:val="none"/>
        </w:rPr>
      </w:pPr>
    </w:p>
    <w:p w14:paraId="33BE7B12" w14:textId="77777777" w:rsidR="00E71FF6" w:rsidRDefault="00E71FF6" w:rsidP="00E71FF6">
      <w:pPr>
        <w:spacing w:after="0" w:line="240" w:lineRule="auto"/>
        <w:rPr>
          <w:rFonts w:ascii="Times New Roman" w:eastAsia="Times New Roman" w:hAnsi="Times New Roman" w:cs="Times New Roman"/>
          <w:color w:val="000000"/>
          <w:kern w:val="0"/>
          <w:lang w:eastAsia="en-GB"/>
          <w14:ligatures w14:val="none"/>
        </w:rPr>
      </w:pPr>
      <w:r w:rsidRPr="00E71FF6">
        <w:rPr>
          <w:rFonts w:ascii="Times New Roman" w:eastAsia="Times New Roman" w:hAnsi="Times New Roman" w:cs="Times New Roman"/>
          <w:color w:val="000000"/>
          <w:kern w:val="0"/>
          <w:lang w:eastAsia="en-GB"/>
          <w14:ligatures w14:val="none"/>
        </w:rPr>
        <w:t>KQML consists of two main parts: the Knowledge Query and Manipulation Language itself and the Knowledge Interchange Format (KIF), which handles content representation. Its key structures, known as performatives, are defined in accordance with speech act theory and include tell, ask-if, perform, and reply, each wrapping content with an expressed communicative intent.</w:t>
      </w:r>
    </w:p>
    <w:p w14:paraId="2C4C4A6C" w14:textId="77777777" w:rsidR="00E71FF6" w:rsidRPr="00E71FF6" w:rsidRDefault="00E71FF6" w:rsidP="00E71FF6">
      <w:pPr>
        <w:spacing w:after="0" w:line="240" w:lineRule="auto"/>
        <w:rPr>
          <w:rFonts w:ascii="Times New Roman" w:eastAsia="Times New Roman" w:hAnsi="Times New Roman" w:cs="Times New Roman"/>
          <w:color w:val="000000"/>
          <w:kern w:val="0"/>
          <w:lang w:eastAsia="en-GB"/>
          <w14:ligatures w14:val="none"/>
        </w:rPr>
      </w:pPr>
    </w:p>
    <w:p w14:paraId="2D842533" w14:textId="77777777" w:rsidR="00E71FF6" w:rsidRDefault="00E71FF6" w:rsidP="00E71FF6">
      <w:pPr>
        <w:spacing w:after="0" w:line="240" w:lineRule="auto"/>
        <w:rPr>
          <w:rFonts w:ascii="Times New Roman" w:eastAsia="Times New Roman" w:hAnsi="Times New Roman" w:cs="Times New Roman"/>
          <w:color w:val="000000"/>
          <w:kern w:val="0"/>
          <w:lang w:eastAsia="en-GB"/>
          <w14:ligatures w14:val="none"/>
        </w:rPr>
      </w:pPr>
      <w:r w:rsidRPr="00E71FF6">
        <w:rPr>
          <w:rFonts w:ascii="Times New Roman" w:eastAsia="Times New Roman" w:hAnsi="Times New Roman" w:cs="Times New Roman"/>
          <w:color w:val="000000"/>
          <w:kern w:val="0"/>
          <w:lang w:eastAsia="en-GB"/>
          <w14:ligatures w14:val="none"/>
        </w:rPr>
        <w:t>One advantage of ACLs is their semantic expressiveness: performatives convey intent, making it clear not just what is being communicated but why. This allows receiving agents to interpret a message appropriately, whether as a statement, a query, or a request. A second advantage is interoperability: because agents are often designed independently, by different developers and in different programming languages, they can still communicate successfully provided they agree on a shared vocabulary and message structure (Finin et al., 1994). A third advantage is the degree of autonomy ACLs support: since messages convey intent rather than direct commands, agents can negotiate, refuse, or reason about requests, enabling more flexible interaction than a rigid call-and-response model would allow.</w:t>
      </w:r>
    </w:p>
    <w:p w14:paraId="052A8735" w14:textId="77777777" w:rsidR="00E71FF6" w:rsidRPr="00E71FF6" w:rsidRDefault="00E71FF6" w:rsidP="00E71FF6">
      <w:pPr>
        <w:spacing w:after="0" w:line="240" w:lineRule="auto"/>
        <w:rPr>
          <w:rFonts w:ascii="Times New Roman" w:eastAsia="Times New Roman" w:hAnsi="Times New Roman" w:cs="Times New Roman"/>
          <w:color w:val="000000"/>
          <w:kern w:val="0"/>
          <w:lang w:eastAsia="en-GB"/>
          <w14:ligatures w14:val="none"/>
        </w:rPr>
      </w:pPr>
    </w:p>
    <w:p w14:paraId="4193F031" w14:textId="77777777" w:rsidR="00E71FF6" w:rsidRDefault="00E71FF6" w:rsidP="00E71FF6">
      <w:pPr>
        <w:spacing w:after="0" w:line="240" w:lineRule="auto"/>
        <w:rPr>
          <w:rFonts w:ascii="Times New Roman" w:eastAsia="Times New Roman" w:hAnsi="Times New Roman" w:cs="Times New Roman"/>
          <w:color w:val="000000"/>
          <w:kern w:val="0"/>
          <w:lang w:eastAsia="en-GB"/>
          <w14:ligatures w14:val="none"/>
        </w:rPr>
      </w:pPr>
      <w:r w:rsidRPr="00E71FF6">
        <w:rPr>
          <w:rFonts w:ascii="Times New Roman" w:eastAsia="Times New Roman" w:hAnsi="Times New Roman" w:cs="Times New Roman"/>
          <w:color w:val="000000"/>
          <w:kern w:val="0"/>
          <w:lang w:eastAsia="en-GB"/>
          <w14:ligatures w14:val="none"/>
        </w:rPr>
        <w:t>However, ACLs also present clear disadvantages. One is the overhead introduced by ontology matching: the receiving agent must interpret a message's meaning and validate it against a shared set of definitions. This process can be computationally expensive and is not always straightforward when agents rely on differing conceptual vocabularies (</w:t>
      </w:r>
      <w:proofErr w:type="spellStart"/>
      <w:r w:rsidRPr="00E71FF6">
        <w:rPr>
          <w:rFonts w:ascii="Times New Roman" w:eastAsia="Times New Roman" w:hAnsi="Times New Roman" w:cs="Times New Roman"/>
          <w:color w:val="000000"/>
          <w:kern w:val="0"/>
          <w:lang w:eastAsia="en-GB"/>
          <w14:ligatures w14:val="none"/>
        </w:rPr>
        <w:t>Euzenat</w:t>
      </w:r>
      <w:proofErr w:type="spellEnd"/>
      <w:r w:rsidRPr="00E71FF6">
        <w:rPr>
          <w:rFonts w:ascii="Times New Roman" w:eastAsia="Times New Roman" w:hAnsi="Times New Roman" w:cs="Times New Roman"/>
          <w:color w:val="000000"/>
          <w:kern w:val="0"/>
          <w:lang w:eastAsia="en-GB"/>
          <w14:ligatures w14:val="none"/>
        </w:rPr>
        <w:t xml:space="preserve"> &amp; </w:t>
      </w:r>
      <w:proofErr w:type="spellStart"/>
      <w:r w:rsidRPr="00E71FF6">
        <w:rPr>
          <w:rFonts w:ascii="Times New Roman" w:eastAsia="Times New Roman" w:hAnsi="Times New Roman" w:cs="Times New Roman"/>
          <w:color w:val="000000"/>
          <w:kern w:val="0"/>
          <w:lang w:eastAsia="en-GB"/>
          <w14:ligatures w14:val="none"/>
        </w:rPr>
        <w:t>Shvaiko</w:t>
      </w:r>
      <w:proofErr w:type="spellEnd"/>
      <w:r w:rsidRPr="00E71FF6">
        <w:rPr>
          <w:rFonts w:ascii="Times New Roman" w:eastAsia="Times New Roman" w:hAnsi="Times New Roman" w:cs="Times New Roman"/>
          <w:color w:val="000000"/>
          <w:kern w:val="0"/>
          <w:lang w:eastAsia="en-GB"/>
          <w14:ligatures w14:val="none"/>
        </w:rPr>
        <w:t>, 2013). A second disadvantage is complexity relative to task demands: the overhead of interpreting intent and negotiating meaning may not be justified when a simple, immediate action is all that is required; in that case, a direct method call would be far more efficient. A third concern is verifiability: because ACLs assume agents have internal beliefs and intentions, there is no reliable way to confirm that an agent's stated intent in a message reflects its actual internal state, making trust and honesty difficult to guarantee within the system.</w:t>
      </w:r>
    </w:p>
    <w:p w14:paraId="2F8D78AD" w14:textId="77777777" w:rsidR="00E71FF6" w:rsidRPr="00E71FF6" w:rsidRDefault="00E71FF6" w:rsidP="00E71FF6">
      <w:pPr>
        <w:spacing w:after="0" w:line="240" w:lineRule="auto"/>
        <w:rPr>
          <w:rFonts w:ascii="Times New Roman" w:eastAsia="Times New Roman" w:hAnsi="Times New Roman" w:cs="Times New Roman"/>
          <w:color w:val="000000"/>
          <w:kern w:val="0"/>
          <w:lang w:eastAsia="en-GB"/>
          <w14:ligatures w14:val="none"/>
        </w:rPr>
      </w:pPr>
    </w:p>
    <w:p w14:paraId="63725965" w14:textId="77777777" w:rsidR="00E71FF6" w:rsidRDefault="00E71FF6" w:rsidP="00E71FF6">
      <w:pPr>
        <w:spacing w:after="0" w:line="240" w:lineRule="auto"/>
        <w:rPr>
          <w:rFonts w:ascii="Times New Roman" w:eastAsia="Times New Roman" w:hAnsi="Times New Roman" w:cs="Times New Roman"/>
          <w:color w:val="000000"/>
          <w:kern w:val="0"/>
          <w:lang w:eastAsia="en-GB"/>
          <w14:ligatures w14:val="none"/>
        </w:rPr>
      </w:pPr>
      <w:r w:rsidRPr="00E71FF6">
        <w:rPr>
          <w:rFonts w:ascii="Times New Roman" w:eastAsia="Times New Roman" w:hAnsi="Times New Roman" w:cs="Times New Roman"/>
          <w:color w:val="000000"/>
          <w:kern w:val="0"/>
          <w:lang w:eastAsia="en-GB"/>
          <w14:ligatures w14:val="none"/>
        </w:rPr>
        <w:t>Unlike ACLs, method invocation in Python or Java involves direct, unconditional calls where the caller controls execution, and the receiver simply complies. Wooldridge and Jennings (1995) argue this reflects a fundamental distinction: objects execute methods without choice, whereas autonomous agents can reason, refuse, or negotiate over requests communicated through an ACL.</w:t>
      </w:r>
    </w:p>
    <w:p w14:paraId="6A4AA409" w14:textId="77777777" w:rsidR="00E71FF6" w:rsidRPr="00E71FF6" w:rsidRDefault="00E71FF6" w:rsidP="00E71FF6">
      <w:pPr>
        <w:spacing w:after="0" w:line="240" w:lineRule="auto"/>
        <w:rPr>
          <w:rFonts w:ascii="Times New Roman" w:eastAsia="Times New Roman" w:hAnsi="Times New Roman" w:cs="Times New Roman"/>
          <w:color w:val="000000"/>
          <w:kern w:val="0"/>
          <w:lang w:eastAsia="en-GB"/>
          <w14:ligatures w14:val="none"/>
        </w:rPr>
      </w:pPr>
    </w:p>
    <w:p w14:paraId="34DC707A" w14:textId="77777777" w:rsidR="00E71FF6" w:rsidRPr="00E71FF6" w:rsidRDefault="00E71FF6" w:rsidP="00E71FF6">
      <w:pPr>
        <w:spacing w:after="0" w:line="240" w:lineRule="auto"/>
        <w:rPr>
          <w:rFonts w:ascii="Times New Roman" w:eastAsia="Times New Roman" w:hAnsi="Times New Roman" w:cs="Times New Roman"/>
          <w:color w:val="000000"/>
          <w:kern w:val="0"/>
          <w:lang w:eastAsia="en-GB"/>
          <w14:ligatures w14:val="none"/>
        </w:rPr>
      </w:pPr>
      <w:r w:rsidRPr="00E71FF6">
        <w:rPr>
          <w:rFonts w:ascii="Times New Roman" w:eastAsia="Times New Roman" w:hAnsi="Times New Roman" w:cs="Times New Roman"/>
          <w:color w:val="000000"/>
          <w:kern w:val="0"/>
          <w:lang w:eastAsia="en-GB"/>
          <w14:ligatures w14:val="none"/>
        </w:rPr>
        <w:t>References</w:t>
      </w:r>
    </w:p>
    <w:p w14:paraId="07D3CAAC" w14:textId="77777777" w:rsidR="00E71FF6" w:rsidRDefault="00E71FF6" w:rsidP="00E71FF6">
      <w:pPr>
        <w:spacing w:after="0" w:line="240" w:lineRule="auto"/>
        <w:rPr>
          <w:rFonts w:ascii="Times New Roman" w:eastAsia="Times New Roman" w:hAnsi="Times New Roman" w:cs="Times New Roman"/>
          <w:color w:val="000000"/>
          <w:kern w:val="0"/>
          <w:lang w:eastAsia="en-GB"/>
          <w14:ligatures w14:val="none"/>
        </w:rPr>
      </w:pPr>
      <w:proofErr w:type="spellStart"/>
      <w:r w:rsidRPr="00E71FF6">
        <w:rPr>
          <w:rFonts w:ascii="Times New Roman" w:eastAsia="Times New Roman" w:hAnsi="Times New Roman" w:cs="Times New Roman"/>
          <w:color w:val="000000"/>
          <w:kern w:val="0"/>
          <w:lang w:eastAsia="en-GB"/>
          <w14:ligatures w14:val="none"/>
        </w:rPr>
        <w:t>Euzenat</w:t>
      </w:r>
      <w:proofErr w:type="spellEnd"/>
      <w:r w:rsidRPr="00E71FF6">
        <w:rPr>
          <w:rFonts w:ascii="Times New Roman" w:eastAsia="Times New Roman" w:hAnsi="Times New Roman" w:cs="Times New Roman"/>
          <w:color w:val="000000"/>
          <w:kern w:val="0"/>
          <w:lang w:eastAsia="en-GB"/>
          <w14:ligatures w14:val="none"/>
        </w:rPr>
        <w:t xml:space="preserve">, J. and </w:t>
      </w:r>
      <w:proofErr w:type="spellStart"/>
      <w:r w:rsidRPr="00E71FF6">
        <w:rPr>
          <w:rFonts w:ascii="Times New Roman" w:eastAsia="Times New Roman" w:hAnsi="Times New Roman" w:cs="Times New Roman"/>
          <w:color w:val="000000"/>
          <w:kern w:val="0"/>
          <w:lang w:eastAsia="en-GB"/>
          <w14:ligatures w14:val="none"/>
        </w:rPr>
        <w:t>Shvaiko</w:t>
      </w:r>
      <w:proofErr w:type="spellEnd"/>
      <w:r w:rsidRPr="00E71FF6">
        <w:rPr>
          <w:rFonts w:ascii="Times New Roman" w:eastAsia="Times New Roman" w:hAnsi="Times New Roman" w:cs="Times New Roman"/>
          <w:color w:val="000000"/>
          <w:kern w:val="0"/>
          <w:lang w:eastAsia="en-GB"/>
          <w14:ligatures w14:val="none"/>
        </w:rPr>
        <w:t>, P. (2013) Ontology matching [Preprint]. doi:10.1007/978-3-642-38721-0.</w:t>
      </w:r>
    </w:p>
    <w:p w14:paraId="7BC9F1AB" w14:textId="77777777" w:rsidR="00E71FF6" w:rsidRPr="00E71FF6" w:rsidRDefault="00E71FF6" w:rsidP="00E71FF6">
      <w:pPr>
        <w:spacing w:after="0" w:line="240" w:lineRule="auto"/>
        <w:rPr>
          <w:rFonts w:ascii="Times New Roman" w:eastAsia="Times New Roman" w:hAnsi="Times New Roman" w:cs="Times New Roman"/>
          <w:color w:val="000000"/>
          <w:kern w:val="0"/>
          <w:lang w:eastAsia="en-GB"/>
          <w14:ligatures w14:val="none"/>
        </w:rPr>
      </w:pPr>
    </w:p>
    <w:p w14:paraId="6312CD7F" w14:textId="77777777" w:rsidR="00E71FF6" w:rsidRDefault="00E71FF6" w:rsidP="00E71FF6">
      <w:pPr>
        <w:spacing w:after="0" w:line="240" w:lineRule="auto"/>
        <w:rPr>
          <w:rFonts w:ascii="Times New Roman" w:eastAsia="Times New Roman" w:hAnsi="Times New Roman" w:cs="Times New Roman"/>
          <w:color w:val="000000"/>
          <w:kern w:val="0"/>
          <w:lang w:eastAsia="en-GB"/>
          <w14:ligatures w14:val="none"/>
        </w:rPr>
      </w:pPr>
      <w:r w:rsidRPr="00E71FF6">
        <w:rPr>
          <w:rFonts w:ascii="Times New Roman" w:eastAsia="Times New Roman" w:hAnsi="Times New Roman" w:cs="Times New Roman"/>
          <w:color w:val="000000"/>
          <w:kern w:val="0"/>
          <w:lang w:eastAsia="en-GB"/>
          <w14:ligatures w14:val="none"/>
        </w:rPr>
        <w:lastRenderedPageBreak/>
        <w:t>Finin, T. et al. (1994) 'KQML as an agent communication language', Proceedings of the Third International Conference on Information and Knowledge Management – CIKM '94, pp. 456–463. doi:10.1145/191246.191322.</w:t>
      </w:r>
    </w:p>
    <w:p w14:paraId="4C622F0E" w14:textId="77777777" w:rsidR="00E71FF6" w:rsidRPr="00E71FF6" w:rsidRDefault="00E71FF6" w:rsidP="00E71FF6">
      <w:pPr>
        <w:spacing w:after="0" w:line="240" w:lineRule="auto"/>
        <w:rPr>
          <w:rFonts w:ascii="Times New Roman" w:eastAsia="Times New Roman" w:hAnsi="Times New Roman" w:cs="Times New Roman"/>
          <w:color w:val="000000"/>
          <w:kern w:val="0"/>
          <w:lang w:eastAsia="en-GB"/>
          <w14:ligatures w14:val="none"/>
        </w:rPr>
      </w:pPr>
    </w:p>
    <w:p w14:paraId="636276FF" w14:textId="77777777" w:rsidR="00E71FF6" w:rsidRPr="00E71FF6" w:rsidRDefault="00E71FF6" w:rsidP="00E71FF6">
      <w:pPr>
        <w:spacing w:after="0" w:line="240" w:lineRule="auto"/>
        <w:rPr>
          <w:rFonts w:ascii="Times New Roman" w:eastAsia="Times New Roman" w:hAnsi="Times New Roman" w:cs="Times New Roman"/>
          <w:color w:val="000000"/>
          <w:kern w:val="0"/>
          <w:lang w:eastAsia="en-GB"/>
          <w14:ligatures w14:val="none"/>
        </w:rPr>
      </w:pPr>
      <w:r w:rsidRPr="00E71FF6">
        <w:rPr>
          <w:rFonts w:ascii="Times New Roman" w:eastAsia="Times New Roman" w:hAnsi="Times New Roman" w:cs="Times New Roman"/>
          <w:color w:val="000000"/>
          <w:kern w:val="0"/>
          <w:lang w:eastAsia="en-GB"/>
          <w14:ligatures w14:val="none"/>
        </w:rPr>
        <w:t>Wooldridge, M. and Jennings, N.R. (1995) 'Intelligent agents: theory and practice', The Knowledge Engineering Review, 10(2), pp. 115–152. doi:10.1017/S0269888900008122.</w:t>
      </w:r>
    </w:p>
    <w:p w14:paraId="6FA92192" w14:textId="77777777" w:rsidR="00493143" w:rsidRDefault="00493143" w:rsidP="00E71FF6">
      <w:pPr>
        <w:rPr>
          <w:rFonts w:ascii="Arial" w:hAnsi="Arial" w:cs="Arial"/>
          <w:color w:val="000000" w:themeColor="text1"/>
          <w:shd w:val="clear" w:color="auto" w:fill="FFFFFF"/>
        </w:rPr>
      </w:pPr>
    </w:p>
    <w:p w14:paraId="526966C1" w14:textId="77777777" w:rsidR="00595186" w:rsidRDefault="00595186" w:rsidP="00E71FF6">
      <w:pPr>
        <w:rPr>
          <w:rFonts w:ascii="Arial" w:hAnsi="Arial" w:cs="Arial"/>
          <w:color w:val="000000" w:themeColor="text1"/>
          <w:shd w:val="clear" w:color="auto" w:fill="FFFFFF"/>
        </w:rPr>
      </w:pPr>
    </w:p>
    <w:p w14:paraId="4DF84ECD" w14:textId="432FF833" w:rsidR="00595186" w:rsidRDefault="00595186" w:rsidP="00E71FF6">
      <w:pPr>
        <w:rPr>
          <w:rFonts w:ascii="Arial" w:hAnsi="Arial" w:cs="Arial"/>
          <w:color w:val="000000" w:themeColor="text1"/>
          <w:shd w:val="clear" w:color="auto" w:fill="FFFFFF"/>
        </w:rPr>
      </w:pPr>
      <w:r>
        <w:rPr>
          <w:rFonts w:ascii="Arial" w:hAnsi="Arial" w:cs="Arial"/>
          <w:color w:val="000000" w:themeColor="text1"/>
          <w:shd w:val="clear" w:color="auto" w:fill="FFFFFF"/>
        </w:rPr>
        <w:t xml:space="preserve">Peer Responses </w:t>
      </w:r>
    </w:p>
    <w:p w14:paraId="650D3328" w14:textId="77777777" w:rsidR="00A35849" w:rsidRPr="00A35849" w:rsidRDefault="00A35849" w:rsidP="00A35849">
      <w:pPr>
        <w:rPr>
          <w:rFonts w:ascii="Arial" w:hAnsi="Arial" w:cs="Arial"/>
          <w:color w:val="000000" w:themeColor="text1"/>
          <w:shd w:val="clear" w:color="auto" w:fill="FFFFFF"/>
        </w:rPr>
      </w:pPr>
      <w:r w:rsidRPr="00A35849">
        <w:rPr>
          <w:rFonts w:ascii="Arial" w:hAnsi="Arial" w:cs="Arial"/>
          <w:color w:val="000000" w:themeColor="text1"/>
          <w:shd w:val="clear" w:color="auto" w:fill="FFFFFF"/>
        </w:rPr>
        <w:t>Hi Kapinga,</w:t>
      </w:r>
    </w:p>
    <w:p w14:paraId="4670807D" w14:textId="5D834049" w:rsidR="00A35849" w:rsidRPr="00A35849" w:rsidRDefault="00A35849" w:rsidP="00A35849">
      <w:pPr>
        <w:rPr>
          <w:rFonts w:ascii="Arial" w:hAnsi="Arial" w:cs="Arial"/>
          <w:color w:val="000000" w:themeColor="text1"/>
          <w:shd w:val="clear" w:color="auto" w:fill="FFFFFF"/>
        </w:rPr>
      </w:pPr>
      <w:r w:rsidRPr="00A35849">
        <w:rPr>
          <w:rFonts w:ascii="Arial" w:hAnsi="Arial" w:cs="Arial"/>
          <w:color w:val="000000" w:themeColor="text1"/>
          <w:shd w:val="clear" w:color="auto" w:fill="FFFFFF"/>
        </w:rPr>
        <w:t>This is a well-organized comparison, but it exaggerates how far the conclusion of no universal superiority has progressed in current practice. The idea that ACLs are inherently better suited to distributed coordination deserves scrutiny given how the field has moved. Work on ontology negotiation in agent communication and semantic interoperability has become genuinely difficult as multiple, competing ontologies for the same domain proliferate, even when a shared mechanism like KQML or FIPA-ACL is nominally in place (Souza et al., 2016). This suggests that official standardization alone does not resolve the semantic mismatches your essay attributes mainly to a lack of standardization. </w:t>
      </w:r>
    </w:p>
    <w:p w14:paraId="64FE1805" w14:textId="77777777" w:rsidR="00A35849" w:rsidRPr="00A35849" w:rsidRDefault="00A35849" w:rsidP="00A35849">
      <w:pPr>
        <w:rPr>
          <w:rFonts w:ascii="Arial" w:hAnsi="Arial" w:cs="Arial"/>
          <w:color w:val="000000" w:themeColor="text1"/>
          <w:shd w:val="clear" w:color="auto" w:fill="FFFFFF"/>
        </w:rPr>
      </w:pPr>
      <w:r w:rsidRPr="00A35849">
        <w:rPr>
          <w:rFonts w:ascii="Arial" w:hAnsi="Arial" w:cs="Arial"/>
          <w:color w:val="000000" w:themeColor="text1"/>
          <w:shd w:val="clear" w:color="auto" w:fill="FFFFFF"/>
        </w:rPr>
        <w:t xml:space="preserve">Once LLM agents started getting built at scale, almost nobody used KQML or FIPA-ACL for them. Georgio et al. (2025) found that developers used plain JSON messages, or had agents talk to each other in natural language instead. That matters because it leans on ACLs as the fix for autonomous, heterogeneous agents, but </w:t>
      </w:r>
      <w:proofErr w:type="spellStart"/>
      <w:r w:rsidRPr="00A35849">
        <w:rPr>
          <w:rFonts w:ascii="Arial" w:hAnsi="Arial" w:cs="Arial"/>
          <w:color w:val="000000" w:themeColor="text1"/>
          <w:shd w:val="clear" w:color="auto" w:fill="FFFFFF"/>
        </w:rPr>
        <w:t>CrewAI</w:t>
      </w:r>
      <w:proofErr w:type="spellEnd"/>
      <w:r w:rsidRPr="00A35849">
        <w:rPr>
          <w:rFonts w:ascii="Arial" w:hAnsi="Arial" w:cs="Arial"/>
          <w:color w:val="000000" w:themeColor="text1"/>
          <w:shd w:val="clear" w:color="auto" w:fill="FFFFFF"/>
        </w:rPr>
        <w:t xml:space="preserve">, </w:t>
      </w:r>
      <w:proofErr w:type="spellStart"/>
      <w:r w:rsidRPr="00A35849">
        <w:rPr>
          <w:rFonts w:ascii="Arial" w:hAnsi="Arial" w:cs="Arial"/>
          <w:color w:val="000000" w:themeColor="text1"/>
          <w:shd w:val="clear" w:color="auto" w:fill="FFFFFF"/>
        </w:rPr>
        <w:t>AutoGen</w:t>
      </w:r>
      <w:proofErr w:type="spellEnd"/>
      <w:r w:rsidRPr="00A35849">
        <w:rPr>
          <w:rFonts w:ascii="Arial" w:hAnsi="Arial" w:cs="Arial"/>
          <w:color w:val="000000" w:themeColor="text1"/>
          <w:shd w:val="clear" w:color="auto" w:fill="FFFFFF"/>
        </w:rPr>
        <w:t>, and most other multi-agent frameworks in production right now don't use them. The semantic overhead didn't just complicate ACLs; it stopped people from building with them.</w:t>
      </w:r>
    </w:p>
    <w:p w14:paraId="02EC6524" w14:textId="77777777" w:rsidR="00A35849" w:rsidRPr="00A35849" w:rsidRDefault="00A35849" w:rsidP="00A35849">
      <w:pPr>
        <w:rPr>
          <w:rFonts w:ascii="Arial" w:hAnsi="Arial" w:cs="Arial"/>
          <w:color w:val="000000" w:themeColor="text1"/>
          <w:shd w:val="clear" w:color="auto" w:fill="FFFFFF"/>
        </w:rPr>
      </w:pPr>
      <w:r w:rsidRPr="00A35849">
        <w:rPr>
          <w:rFonts w:ascii="Arial" w:hAnsi="Arial" w:cs="Arial"/>
          <w:color w:val="000000" w:themeColor="text1"/>
          <w:shd w:val="clear" w:color="auto" w:fill="FFFFFF"/>
        </w:rPr>
        <w:t>The same issue applies to the method invocation section. Calling it "predictable" only works if the interface never changes. Once it does, a tightly coupled system can break in ways that are just as hard to anticipate as anything in a distributed ACL setup, so I wouldn't call one side clean and the other messy.</w:t>
      </w:r>
    </w:p>
    <w:p w14:paraId="41F0CA14" w14:textId="77777777" w:rsidR="00A35849" w:rsidRPr="00A35849" w:rsidRDefault="00A35849" w:rsidP="00A35849">
      <w:pPr>
        <w:rPr>
          <w:rFonts w:ascii="Arial" w:hAnsi="Arial" w:cs="Arial"/>
          <w:color w:val="000000" w:themeColor="text1"/>
          <w:shd w:val="clear" w:color="auto" w:fill="FFFFFF"/>
        </w:rPr>
      </w:pPr>
      <w:r w:rsidRPr="00A35849">
        <w:rPr>
          <w:rFonts w:ascii="Arial" w:hAnsi="Arial" w:cs="Arial"/>
          <w:b/>
          <w:bCs/>
          <w:color w:val="000000" w:themeColor="text1"/>
          <w:shd w:val="clear" w:color="auto" w:fill="FFFFFF"/>
        </w:rPr>
        <w:t>References</w:t>
      </w:r>
    </w:p>
    <w:p w14:paraId="4D853D5B" w14:textId="77777777" w:rsidR="00A35849" w:rsidRPr="00A35849" w:rsidRDefault="00A35849" w:rsidP="00A35849">
      <w:pPr>
        <w:rPr>
          <w:rFonts w:ascii="Arial" w:hAnsi="Arial" w:cs="Arial"/>
          <w:color w:val="000000" w:themeColor="text1"/>
          <w:shd w:val="clear" w:color="auto" w:fill="FFFFFF"/>
        </w:rPr>
      </w:pPr>
      <w:r w:rsidRPr="00A35849">
        <w:rPr>
          <w:rFonts w:ascii="Arial" w:hAnsi="Arial" w:cs="Arial"/>
          <w:color w:val="000000" w:themeColor="text1"/>
          <w:shd w:val="clear" w:color="auto" w:fill="FFFFFF"/>
        </w:rPr>
        <w:t>Georgio, R.J., Forder, C., Deb, S., Rahimov, A., Carroll, P. and Gürcan, Ö. (2025) </w:t>
      </w:r>
      <w:r w:rsidRPr="00A35849">
        <w:rPr>
          <w:rFonts w:ascii="Arial" w:hAnsi="Arial" w:cs="Arial"/>
          <w:i/>
          <w:iCs/>
          <w:color w:val="000000" w:themeColor="text1"/>
          <w:shd w:val="clear" w:color="auto" w:fill="FFFFFF"/>
        </w:rPr>
        <w:t>Coral Protocol: Open Infrastructure Connecting the Internet of Agents</w:t>
      </w:r>
      <w:r w:rsidRPr="00A35849">
        <w:rPr>
          <w:rFonts w:ascii="Arial" w:hAnsi="Arial" w:cs="Arial"/>
          <w:color w:val="000000" w:themeColor="text1"/>
          <w:shd w:val="clear" w:color="auto" w:fill="FFFFFF"/>
        </w:rPr>
        <w:t>. arXiv:2505.00749.</w:t>
      </w:r>
    </w:p>
    <w:p w14:paraId="0B8F9F9B" w14:textId="77777777" w:rsidR="00A35849" w:rsidRPr="00A35849" w:rsidRDefault="00A35849" w:rsidP="00A35849">
      <w:pPr>
        <w:rPr>
          <w:rFonts w:ascii="Arial" w:hAnsi="Arial" w:cs="Arial"/>
          <w:color w:val="000000" w:themeColor="text1"/>
          <w:shd w:val="clear" w:color="auto" w:fill="FFFFFF"/>
        </w:rPr>
      </w:pPr>
      <w:r w:rsidRPr="00A35849">
        <w:rPr>
          <w:rFonts w:ascii="Arial" w:hAnsi="Arial" w:cs="Arial"/>
          <w:color w:val="000000" w:themeColor="text1"/>
          <w:shd w:val="clear" w:color="auto" w:fill="FFFFFF"/>
        </w:rPr>
        <w:t>Souza, M., Moreira, A., Vieira, R. and Meyer, J.J.C. (2016) 'Integrating ontology negotiation and agent communication', in Tamma, V. et al. (eds) </w:t>
      </w:r>
      <w:r w:rsidRPr="00A35849">
        <w:rPr>
          <w:rFonts w:ascii="Arial" w:hAnsi="Arial" w:cs="Arial"/>
          <w:i/>
          <w:iCs/>
          <w:color w:val="000000" w:themeColor="text1"/>
          <w:shd w:val="clear" w:color="auto" w:fill="FFFFFF"/>
        </w:rPr>
        <w:t>Ontology Engineering: OWLED 2015</w:t>
      </w:r>
      <w:r w:rsidRPr="00A35849">
        <w:rPr>
          <w:rFonts w:ascii="Arial" w:hAnsi="Arial" w:cs="Arial"/>
          <w:color w:val="000000" w:themeColor="text1"/>
          <w:shd w:val="clear" w:color="auto" w:fill="FFFFFF"/>
        </w:rPr>
        <w:t>. Lecture Notes in Computer Science, vol. 9557. Cham: Springer, pp. 84–99.</w:t>
      </w:r>
    </w:p>
    <w:p w14:paraId="2CB885FE" w14:textId="77777777" w:rsidR="00A35849" w:rsidRDefault="00A35849" w:rsidP="00E71FF6">
      <w:pPr>
        <w:rPr>
          <w:rFonts w:ascii="Arial" w:hAnsi="Arial" w:cs="Arial"/>
          <w:color w:val="000000" w:themeColor="text1"/>
          <w:shd w:val="clear" w:color="auto" w:fill="FFFFFF"/>
        </w:rPr>
      </w:pPr>
    </w:p>
    <w:p w14:paraId="4A8E3499" w14:textId="77777777" w:rsidR="00C15835" w:rsidRDefault="00C15835" w:rsidP="00E71FF6">
      <w:pPr>
        <w:rPr>
          <w:rFonts w:ascii="Arial" w:hAnsi="Arial" w:cs="Arial"/>
          <w:color w:val="000000" w:themeColor="text1"/>
          <w:shd w:val="clear" w:color="auto" w:fill="FFFFFF"/>
        </w:rPr>
      </w:pPr>
    </w:p>
    <w:p w14:paraId="1BBEFCBB" w14:textId="5321D39D" w:rsidR="00C15835" w:rsidRDefault="00C15835" w:rsidP="00E71FF6">
      <w:pPr>
        <w:rPr>
          <w:rFonts w:ascii="Arial" w:hAnsi="Arial" w:cs="Arial"/>
          <w:color w:val="000000" w:themeColor="text1"/>
          <w:shd w:val="clear" w:color="auto" w:fill="FFFFFF"/>
        </w:rPr>
      </w:pPr>
      <w:r>
        <w:rPr>
          <w:rFonts w:ascii="Arial" w:hAnsi="Arial" w:cs="Arial"/>
          <w:color w:val="000000" w:themeColor="text1"/>
          <w:shd w:val="clear" w:color="auto" w:fill="FFFFFF"/>
        </w:rPr>
        <w:t>Hi Lara,</w:t>
      </w:r>
    </w:p>
    <w:p w14:paraId="07CD1BA1" w14:textId="77777777" w:rsidR="00C15835" w:rsidRDefault="00C15835" w:rsidP="00E71FF6">
      <w:pPr>
        <w:rPr>
          <w:rFonts w:ascii="Arial" w:hAnsi="Arial" w:cs="Arial"/>
          <w:color w:val="000000" w:themeColor="text1"/>
          <w:shd w:val="clear" w:color="auto" w:fill="FFFFFF"/>
        </w:rPr>
      </w:pPr>
    </w:p>
    <w:p w14:paraId="4ADF3CFF" w14:textId="73E00A02" w:rsidR="00C15835" w:rsidRPr="00C15835" w:rsidRDefault="00C15835" w:rsidP="00C15835">
      <w:pPr>
        <w:rPr>
          <w:rFonts w:ascii="Arial" w:hAnsi="Arial" w:cs="Arial"/>
          <w:color w:val="000000" w:themeColor="text1"/>
          <w:shd w:val="clear" w:color="auto" w:fill="FFFFFF"/>
        </w:rPr>
      </w:pPr>
      <w:r w:rsidRPr="00C15835">
        <w:rPr>
          <w:rFonts w:ascii="Arial" w:hAnsi="Arial" w:cs="Arial"/>
          <w:color w:val="000000" w:themeColor="text1"/>
          <w:shd w:val="clear" w:color="auto" w:fill="FFFFFF"/>
        </w:rPr>
        <w:t xml:space="preserve">Good treatment of the ACL/method-invocation split. One thing worth thinking about further: the Jason example cuts a bit against the broader case for ACLs, not just against Jason's implementation. If a KQML-based mechanism can slide back into RPC-style coupling, as Christie, Singh and Chopra suggest, it's worth spelling out a bit more what the performative layer is </w:t>
      </w:r>
      <w:r w:rsidR="00D0721D" w:rsidRPr="00C15835">
        <w:rPr>
          <w:rFonts w:ascii="Arial" w:hAnsi="Arial" w:cs="Arial"/>
          <w:color w:val="000000" w:themeColor="text1"/>
          <w:shd w:val="clear" w:color="auto" w:fill="FFFFFF"/>
        </w:rPr>
        <w:t>adding</w:t>
      </w:r>
      <w:r w:rsidRPr="00C15835">
        <w:rPr>
          <w:rFonts w:ascii="Arial" w:hAnsi="Arial" w:cs="Arial"/>
          <w:color w:val="000000" w:themeColor="text1"/>
          <w:shd w:val="clear" w:color="auto" w:fill="FFFFFF"/>
        </w:rPr>
        <w:t xml:space="preserve"> beyond the extra metadata in that case.</w:t>
      </w:r>
    </w:p>
    <w:p w14:paraId="7133F01B" w14:textId="77777777" w:rsidR="00C15835" w:rsidRPr="00C15835" w:rsidRDefault="00C15835" w:rsidP="00C15835">
      <w:pPr>
        <w:rPr>
          <w:rFonts w:ascii="Arial" w:hAnsi="Arial" w:cs="Arial"/>
          <w:color w:val="000000" w:themeColor="text1"/>
          <w:shd w:val="clear" w:color="auto" w:fill="FFFFFF"/>
        </w:rPr>
      </w:pPr>
      <w:r w:rsidRPr="00C15835">
        <w:rPr>
          <w:rFonts w:ascii="Arial" w:hAnsi="Arial" w:cs="Arial"/>
          <w:color w:val="000000" w:themeColor="text1"/>
          <w:shd w:val="clear" w:color="auto" w:fill="FFFFFF"/>
        </w:rPr>
        <w:t>The tell-as-wrapper point is interesting too. Christie, Singh, and Chopra note that a generic performative like tell often just wraps the real message content, and that seems to matter for the "meaning layer" argument, since it points to the same reason KQML and FIPA-ACL never saw much real-world adoption: current large-model agent systems have largely moved to lighter, less formally specified communication mechanisms instead (Wang et al., 2026).</w:t>
      </w:r>
    </w:p>
    <w:p w14:paraId="3E691A04" w14:textId="0A8DB6C2" w:rsidR="00C15835" w:rsidRPr="00C15835" w:rsidRDefault="00C15835" w:rsidP="00C15835">
      <w:pPr>
        <w:rPr>
          <w:rFonts w:ascii="Arial" w:hAnsi="Arial" w:cs="Arial"/>
          <w:color w:val="000000" w:themeColor="text1"/>
          <w:shd w:val="clear" w:color="auto" w:fill="FFFFFF"/>
        </w:rPr>
      </w:pPr>
      <w:r w:rsidRPr="00C15835">
        <w:rPr>
          <w:rFonts w:ascii="Arial" w:hAnsi="Arial" w:cs="Arial"/>
          <w:color w:val="000000" w:themeColor="text1"/>
          <w:shd w:val="clear" w:color="auto" w:fill="FFFFFF"/>
        </w:rPr>
        <w:t>The Chopra point about commitments, expectations, and accountability is great but abstract. Showing what that looks like in an actual protocol trace, for example, what obligation a request creates and what counts as violating it, would give the claim more depth.</w:t>
      </w:r>
    </w:p>
    <w:p w14:paraId="6117EF2E" w14:textId="77777777" w:rsidR="00C15835" w:rsidRPr="00C15835" w:rsidRDefault="00C15835" w:rsidP="00C15835">
      <w:pPr>
        <w:rPr>
          <w:rFonts w:ascii="Arial" w:hAnsi="Arial" w:cs="Arial"/>
          <w:color w:val="000000" w:themeColor="text1"/>
          <w:shd w:val="clear" w:color="auto" w:fill="FFFFFF"/>
        </w:rPr>
      </w:pPr>
      <w:r w:rsidRPr="00C15835">
        <w:rPr>
          <w:rFonts w:ascii="Arial" w:hAnsi="Arial" w:cs="Arial"/>
          <w:color w:val="000000" w:themeColor="text1"/>
          <w:shd w:val="clear" w:color="auto" w:fill="FFFFFF"/>
        </w:rPr>
        <w:t>Reference</w:t>
      </w:r>
    </w:p>
    <w:p w14:paraId="6E3FAED8" w14:textId="77777777" w:rsidR="00C15835" w:rsidRPr="00C15835" w:rsidRDefault="00C15835" w:rsidP="00C15835">
      <w:pPr>
        <w:rPr>
          <w:rFonts w:ascii="Arial" w:hAnsi="Arial" w:cs="Arial"/>
          <w:color w:val="000000" w:themeColor="text1"/>
          <w:shd w:val="clear" w:color="auto" w:fill="FFFFFF"/>
        </w:rPr>
      </w:pPr>
      <w:r w:rsidRPr="00C15835">
        <w:rPr>
          <w:rFonts w:ascii="Arial" w:hAnsi="Arial" w:cs="Arial"/>
          <w:color w:val="000000" w:themeColor="text1"/>
          <w:shd w:val="clear" w:color="auto" w:fill="FFFFFF"/>
        </w:rPr>
        <w:t>Wang, Y. </w:t>
      </w:r>
      <w:r w:rsidRPr="00C15835">
        <w:rPr>
          <w:rFonts w:ascii="Arial" w:hAnsi="Arial" w:cs="Arial"/>
          <w:i/>
          <w:iCs/>
          <w:color w:val="000000" w:themeColor="text1"/>
          <w:shd w:val="clear" w:color="auto" w:fill="FFFFFF"/>
        </w:rPr>
        <w:t>et al.</w:t>
      </w:r>
      <w:r w:rsidRPr="00C15835">
        <w:rPr>
          <w:rFonts w:ascii="Arial" w:hAnsi="Arial" w:cs="Arial"/>
          <w:color w:val="000000" w:themeColor="text1"/>
          <w:shd w:val="clear" w:color="auto" w:fill="FFFFFF"/>
        </w:rPr>
        <w:t> (2026) ‘Large model-based agents: State-of-the-art, cooperation paradigms, security and privacy, and future trends’, </w:t>
      </w:r>
      <w:r w:rsidRPr="00C15835">
        <w:rPr>
          <w:rFonts w:ascii="Arial" w:hAnsi="Arial" w:cs="Arial"/>
          <w:i/>
          <w:iCs/>
          <w:color w:val="000000" w:themeColor="text1"/>
          <w:shd w:val="clear" w:color="auto" w:fill="FFFFFF"/>
        </w:rPr>
        <w:t>IEEE Communications Surveys &amp;amp; Tutorials</w:t>
      </w:r>
      <w:r w:rsidRPr="00C15835">
        <w:rPr>
          <w:rFonts w:ascii="Arial" w:hAnsi="Arial" w:cs="Arial"/>
          <w:color w:val="000000" w:themeColor="text1"/>
          <w:shd w:val="clear" w:color="auto" w:fill="FFFFFF"/>
        </w:rPr>
        <w:t>, 28, pp. 1906–1949. doi:10.1109/comst.2025.3576176. </w:t>
      </w:r>
    </w:p>
    <w:p w14:paraId="22677DB0" w14:textId="77777777" w:rsidR="00C15835" w:rsidRPr="00E71FF6" w:rsidRDefault="00C15835" w:rsidP="00E71FF6">
      <w:pPr>
        <w:rPr>
          <w:rFonts w:ascii="Arial" w:hAnsi="Arial" w:cs="Arial"/>
          <w:color w:val="000000" w:themeColor="text1"/>
          <w:shd w:val="clear" w:color="auto" w:fill="FFFFFF"/>
        </w:rPr>
      </w:pPr>
    </w:p>
    <w:sectPr w:rsidR="00C15835" w:rsidRPr="00E71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D0F"/>
    <w:rsid w:val="002630A9"/>
    <w:rsid w:val="00263EDB"/>
    <w:rsid w:val="003E537D"/>
    <w:rsid w:val="00415AAC"/>
    <w:rsid w:val="00493143"/>
    <w:rsid w:val="00595186"/>
    <w:rsid w:val="006E697B"/>
    <w:rsid w:val="0088506B"/>
    <w:rsid w:val="00A35849"/>
    <w:rsid w:val="00B85D0F"/>
    <w:rsid w:val="00C02BC1"/>
    <w:rsid w:val="00C15835"/>
    <w:rsid w:val="00C74E88"/>
    <w:rsid w:val="00D0721D"/>
    <w:rsid w:val="00E15F80"/>
    <w:rsid w:val="00E71F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6744795"/>
  <w15:chartTrackingRefBased/>
  <w15:docId w15:val="{AE85BF06-42E6-4E4F-AA0E-10B2A4F83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D0F"/>
    <w:rPr>
      <w:rFonts w:eastAsiaTheme="majorEastAsia" w:cstheme="majorBidi"/>
      <w:color w:val="272727" w:themeColor="text1" w:themeTint="D8"/>
    </w:rPr>
  </w:style>
  <w:style w:type="paragraph" w:styleId="Title">
    <w:name w:val="Title"/>
    <w:basedOn w:val="Normal"/>
    <w:next w:val="Normal"/>
    <w:link w:val="TitleChar"/>
    <w:uiPriority w:val="10"/>
    <w:qFormat/>
    <w:rsid w:val="00B85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D0F"/>
    <w:pPr>
      <w:spacing w:before="160"/>
      <w:jc w:val="center"/>
    </w:pPr>
    <w:rPr>
      <w:i/>
      <w:iCs/>
      <w:color w:val="404040" w:themeColor="text1" w:themeTint="BF"/>
    </w:rPr>
  </w:style>
  <w:style w:type="character" w:customStyle="1" w:styleId="QuoteChar">
    <w:name w:val="Quote Char"/>
    <w:basedOn w:val="DefaultParagraphFont"/>
    <w:link w:val="Quote"/>
    <w:uiPriority w:val="29"/>
    <w:rsid w:val="00B85D0F"/>
    <w:rPr>
      <w:i/>
      <w:iCs/>
      <w:color w:val="404040" w:themeColor="text1" w:themeTint="BF"/>
    </w:rPr>
  </w:style>
  <w:style w:type="paragraph" w:styleId="ListParagraph">
    <w:name w:val="List Paragraph"/>
    <w:basedOn w:val="Normal"/>
    <w:uiPriority w:val="34"/>
    <w:qFormat/>
    <w:rsid w:val="00B85D0F"/>
    <w:pPr>
      <w:ind w:left="720"/>
      <w:contextualSpacing/>
    </w:pPr>
  </w:style>
  <w:style w:type="character" w:styleId="IntenseEmphasis">
    <w:name w:val="Intense Emphasis"/>
    <w:basedOn w:val="DefaultParagraphFont"/>
    <w:uiPriority w:val="21"/>
    <w:qFormat/>
    <w:rsid w:val="00B85D0F"/>
    <w:rPr>
      <w:i/>
      <w:iCs/>
      <w:color w:val="0F4761" w:themeColor="accent1" w:themeShade="BF"/>
    </w:rPr>
  </w:style>
  <w:style w:type="paragraph" w:styleId="IntenseQuote">
    <w:name w:val="Intense Quote"/>
    <w:basedOn w:val="Normal"/>
    <w:next w:val="Normal"/>
    <w:link w:val="IntenseQuoteChar"/>
    <w:uiPriority w:val="30"/>
    <w:qFormat/>
    <w:rsid w:val="00B85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D0F"/>
    <w:rPr>
      <w:i/>
      <w:iCs/>
      <w:color w:val="0F4761" w:themeColor="accent1" w:themeShade="BF"/>
    </w:rPr>
  </w:style>
  <w:style w:type="character" w:styleId="IntenseReference">
    <w:name w:val="Intense Reference"/>
    <w:basedOn w:val="DefaultParagraphFont"/>
    <w:uiPriority w:val="32"/>
    <w:qFormat/>
    <w:rsid w:val="00B85D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1026</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Ogunlesi, Frederick</dc:creator>
  <cp:keywords/>
  <dc:description/>
  <cp:lastModifiedBy>Ogunlesi, Frederick</cp:lastModifiedBy>
  <cp:revision>2</cp:revision>
  <dcterms:created xsi:type="dcterms:W3CDTF">2026-09-05T23:28:00Z</dcterms:created>
  <dcterms:modified xsi:type="dcterms:W3CDTF">2026-09-05T23:28:00Z</dcterms:modified>
</cp:coreProperties>
</file>