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FA929" w14:textId="77777777" w:rsidR="00D442E7" w:rsidRDefault="00D442E7" w:rsidP="00D442E7">
      <w:pPr>
        <w:rPr>
          <w:rFonts w:ascii="Arial" w:hAnsi="Arial" w:cs="Arial"/>
          <w:color w:val="000000" w:themeColor="text1"/>
          <w:shd w:val="clear" w:color="auto" w:fill="FFFFFF"/>
        </w:rPr>
      </w:pPr>
      <w:r>
        <w:rPr>
          <w:rFonts w:ascii="Arial" w:hAnsi="Arial" w:cs="Arial"/>
          <w:color w:val="000000" w:themeColor="text1"/>
          <w:shd w:val="clear" w:color="auto" w:fill="FFFFFF"/>
        </w:rPr>
        <w:t xml:space="preserve">Peer Responses </w:t>
      </w:r>
    </w:p>
    <w:p w14:paraId="51998A19"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Hi Kapinga,</w:t>
      </w:r>
    </w:p>
    <w:p w14:paraId="0A53C9C3"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This is a well-organized comparison, but it exaggerates how far the conclusion of no universal superiority has progressed in current practice. The idea that ACLs are inherently better suited to distributed coordination deserves scrutiny given how the field has moved. Work on ontology negotiation in agent communication and semantic interoperability has become genuinely difficult as multiple, competing ontologies for the same domain proliferate, even when a shared mechanism like KQML or FIPA-ACL is nominally in place (Souza et al., 2016). This suggests that official standardization alone does not resolve the semantic mismatches your essay attributes mainly to a lack of standardization. </w:t>
      </w:r>
    </w:p>
    <w:p w14:paraId="4B6FE7CD"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 xml:space="preserve">Once LLM agents started getting built at scale, almost nobody used KQML or FIPA-ACL for them. Georgio et al. (2025) found that developers used plain JSON messages, or had agents talk to each other in natural language instead. That matters because it leans on ACLs as the fix for autonomous, heterogeneous agents, but </w:t>
      </w:r>
      <w:proofErr w:type="spellStart"/>
      <w:r w:rsidRPr="00A35849">
        <w:rPr>
          <w:rFonts w:ascii="Arial" w:hAnsi="Arial" w:cs="Arial"/>
          <w:color w:val="000000" w:themeColor="text1"/>
          <w:shd w:val="clear" w:color="auto" w:fill="FFFFFF"/>
        </w:rPr>
        <w:t>CrewAI</w:t>
      </w:r>
      <w:proofErr w:type="spellEnd"/>
      <w:r w:rsidRPr="00A35849">
        <w:rPr>
          <w:rFonts w:ascii="Arial" w:hAnsi="Arial" w:cs="Arial"/>
          <w:color w:val="000000" w:themeColor="text1"/>
          <w:shd w:val="clear" w:color="auto" w:fill="FFFFFF"/>
        </w:rPr>
        <w:t xml:space="preserve">, </w:t>
      </w:r>
      <w:proofErr w:type="spellStart"/>
      <w:r w:rsidRPr="00A35849">
        <w:rPr>
          <w:rFonts w:ascii="Arial" w:hAnsi="Arial" w:cs="Arial"/>
          <w:color w:val="000000" w:themeColor="text1"/>
          <w:shd w:val="clear" w:color="auto" w:fill="FFFFFF"/>
        </w:rPr>
        <w:t>AutoGen</w:t>
      </w:r>
      <w:proofErr w:type="spellEnd"/>
      <w:r w:rsidRPr="00A35849">
        <w:rPr>
          <w:rFonts w:ascii="Arial" w:hAnsi="Arial" w:cs="Arial"/>
          <w:color w:val="000000" w:themeColor="text1"/>
          <w:shd w:val="clear" w:color="auto" w:fill="FFFFFF"/>
        </w:rPr>
        <w:t>, and most other multi-agent frameworks in production right now don't use them. The semantic overhead didn't just complicate ACLs; it stopped people from building with them.</w:t>
      </w:r>
    </w:p>
    <w:p w14:paraId="1F1C7286"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The same issue applies to the method invocation section. Calling it "predictable" only works if the interface never changes. Once it does, a tightly coupled system can break in ways that are just as hard to anticipate as anything in a distributed ACL setup, so I wouldn't call one side clean and the other messy.</w:t>
      </w:r>
    </w:p>
    <w:p w14:paraId="21624A5C"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b/>
          <w:bCs/>
          <w:color w:val="000000" w:themeColor="text1"/>
          <w:shd w:val="clear" w:color="auto" w:fill="FFFFFF"/>
        </w:rPr>
        <w:t>References</w:t>
      </w:r>
    </w:p>
    <w:p w14:paraId="52CB706E"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Georgio, R.J., Forder, C., Deb, S., Rahimov, A., Carroll, P. and Gürcan, Ö. (2025) </w:t>
      </w:r>
      <w:r w:rsidRPr="00A35849">
        <w:rPr>
          <w:rFonts w:ascii="Arial" w:hAnsi="Arial" w:cs="Arial"/>
          <w:i/>
          <w:iCs/>
          <w:color w:val="000000" w:themeColor="text1"/>
          <w:shd w:val="clear" w:color="auto" w:fill="FFFFFF"/>
        </w:rPr>
        <w:t>Coral Protocol: Open Infrastructure Connecting the Internet of Agents</w:t>
      </w:r>
      <w:r w:rsidRPr="00A35849">
        <w:rPr>
          <w:rFonts w:ascii="Arial" w:hAnsi="Arial" w:cs="Arial"/>
          <w:color w:val="000000" w:themeColor="text1"/>
          <w:shd w:val="clear" w:color="auto" w:fill="FFFFFF"/>
        </w:rPr>
        <w:t>. arXiv:2505.00749.</w:t>
      </w:r>
    </w:p>
    <w:p w14:paraId="61A510F6" w14:textId="77777777" w:rsidR="00D442E7" w:rsidRPr="00A35849" w:rsidRDefault="00D442E7" w:rsidP="00D442E7">
      <w:pPr>
        <w:rPr>
          <w:rFonts w:ascii="Arial" w:hAnsi="Arial" w:cs="Arial"/>
          <w:color w:val="000000" w:themeColor="text1"/>
          <w:shd w:val="clear" w:color="auto" w:fill="FFFFFF"/>
        </w:rPr>
      </w:pPr>
      <w:r w:rsidRPr="00A35849">
        <w:rPr>
          <w:rFonts w:ascii="Arial" w:hAnsi="Arial" w:cs="Arial"/>
          <w:color w:val="000000" w:themeColor="text1"/>
          <w:shd w:val="clear" w:color="auto" w:fill="FFFFFF"/>
        </w:rPr>
        <w:t>Souza, M., Moreira, A., Vieira, R. and Meyer, J.J.C. (2016) 'Integrating ontology negotiation and agent communication', in Tamma, V. et al. (eds) </w:t>
      </w:r>
      <w:r w:rsidRPr="00A35849">
        <w:rPr>
          <w:rFonts w:ascii="Arial" w:hAnsi="Arial" w:cs="Arial"/>
          <w:i/>
          <w:iCs/>
          <w:color w:val="000000" w:themeColor="text1"/>
          <w:shd w:val="clear" w:color="auto" w:fill="FFFFFF"/>
        </w:rPr>
        <w:t>Ontology Engineering: OWLED 2015</w:t>
      </w:r>
      <w:r w:rsidRPr="00A35849">
        <w:rPr>
          <w:rFonts w:ascii="Arial" w:hAnsi="Arial" w:cs="Arial"/>
          <w:color w:val="000000" w:themeColor="text1"/>
          <w:shd w:val="clear" w:color="auto" w:fill="FFFFFF"/>
        </w:rPr>
        <w:t>. Lecture Notes in Computer Science, vol. 9557. Cham: Springer, pp. 84–99.</w:t>
      </w:r>
    </w:p>
    <w:p w14:paraId="1488A7E1" w14:textId="77777777" w:rsidR="00D442E7" w:rsidRDefault="00D442E7" w:rsidP="00D442E7">
      <w:pPr>
        <w:rPr>
          <w:rFonts w:ascii="Arial" w:hAnsi="Arial" w:cs="Arial"/>
          <w:color w:val="000000" w:themeColor="text1"/>
          <w:shd w:val="clear" w:color="auto" w:fill="FFFFFF"/>
        </w:rPr>
      </w:pPr>
    </w:p>
    <w:p w14:paraId="599D158A" w14:textId="77777777" w:rsidR="00D442E7" w:rsidRDefault="00D442E7" w:rsidP="00D442E7">
      <w:pPr>
        <w:rPr>
          <w:rFonts w:ascii="Arial" w:hAnsi="Arial" w:cs="Arial"/>
          <w:color w:val="000000" w:themeColor="text1"/>
          <w:shd w:val="clear" w:color="auto" w:fill="FFFFFF"/>
        </w:rPr>
      </w:pPr>
    </w:p>
    <w:p w14:paraId="7A502ED0" w14:textId="77777777" w:rsidR="00D442E7" w:rsidRDefault="00D442E7" w:rsidP="00D442E7">
      <w:pPr>
        <w:rPr>
          <w:rFonts w:ascii="Arial" w:hAnsi="Arial" w:cs="Arial"/>
          <w:color w:val="000000" w:themeColor="text1"/>
          <w:shd w:val="clear" w:color="auto" w:fill="FFFFFF"/>
        </w:rPr>
      </w:pPr>
      <w:r>
        <w:rPr>
          <w:rFonts w:ascii="Arial" w:hAnsi="Arial" w:cs="Arial"/>
          <w:color w:val="000000" w:themeColor="text1"/>
          <w:shd w:val="clear" w:color="auto" w:fill="FFFFFF"/>
        </w:rPr>
        <w:t>Hi Lara,</w:t>
      </w:r>
    </w:p>
    <w:p w14:paraId="7120E00A" w14:textId="77777777" w:rsidR="00D442E7" w:rsidRDefault="00D442E7" w:rsidP="00D442E7">
      <w:pPr>
        <w:rPr>
          <w:rFonts w:ascii="Arial" w:hAnsi="Arial" w:cs="Arial"/>
          <w:color w:val="000000" w:themeColor="text1"/>
          <w:shd w:val="clear" w:color="auto" w:fill="FFFFFF"/>
        </w:rPr>
      </w:pPr>
    </w:p>
    <w:p w14:paraId="153FD0DA" w14:textId="77777777" w:rsidR="00D442E7" w:rsidRPr="00C15835" w:rsidRDefault="00D442E7" w:rsidP="00D442E7">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 xml:space="preserve">Good treatment of the ACL/method-invocation split. One thing worth thinking about further: the Jason example cuts a bit against the broader case for ACLs, not just against Jason's implementation. If a KQML-based mechanism can slide back into </w:t>
      </w:r>
      <w:r w:rsidRPr="00C15835">
        <w:rPr>
          <w:rFonts w:ascii="Arial" w:hAnsi="Arial" w:cs="Arial"/>
          <w:color w:val="000000" w:themeColor="text1"/>
          <w:shd w:val="clear" w:color="auto" w:fill="FFFFFF"/>
        </w:rPr>
        <w:lastRenderedPageBreak/>
        <w:t>RPC-style coupling, as Christie, Singh and Chopra suggest, it's worth spelling out a bit more what the performative layer is adding beyond the extra metadata in that case.</w:t>
      </w:r>
    </w:p>
    <w:p w14:paraId="4C3C005B" w14:textId="77777777" w:rsidR="00D442E7" w:rsidRPr="00C15835" w:rsidRDefault="00D442E7" w:rsidP="00D442E7">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The tell-as-wrapper point is interesting too. Christie, Singh, and Chopra note that a generic performative like tell often just wraps the real message content, and that seems to matter for the "meaning layer" argument, since it points to the same reason KQML and FIPA-ACL never saw much real-world adoption: current large-model agent systems have largely moved to lighter, less formally specified communication mechanisms instead (Wang et al., 2026).</w:t>
      </w:r>
    </w:p>
    <w:p w14:paraId="34E66FA3" w14:textId="77777777" w:rsidR="00D442E7" w:rsidRPr="00C15835" w:rsidRDefault="00D442E7" w:rsidP="00D442E7">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The Chopra point about commitments, expectations, and accountability is great but abstract. Showing what that looks like in an actual protocol trace, for example, what obligation a request creates and what counts as violating it, would give the claim more depth.</w:t>
      </w:r>
    </w:p>
    <w:p w14:paraId="07558C1F" w14:textId="77777777" w:rsidR="00D442E7" w:rsidRPr="00C15835" w:rsidRDefault="00D442E7" w:rsidP="00D442E7">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Reference</w:t>
      </w:r>
    </w:p>
    <w:p w14:paraId="77ED34CF" w14:textId="77777777" w:rsidR="00D442E7" w:rsidRPr="00C15835" w:rsidRDefault="00D442E7" w:rsidP="00D442E7">
      <w:pPr>
        <w:rPr>
          <w:rFonts w:ascii="Arial" w:hAnsi="Arial" w:cs="Arial"/>
          <w:color w:val="000000" w:themeColor="text1"/>
          <w:shd w:val="clear" w:color="auto" w:fill="FFFFFF"/>
        </w:rPr>
      </w:pPr>
      <w:r w:rsidRPr="00C15835">
        <w:rPr>
          <w:rFonts w:ascii="Arial" w:hAnsi="Arial" w:cs="Arial"/>
          <w:color w:val="000000" w:themeColor="text1"/>
          <w:shd w:val="clear" w:color="auto" w:fill="FFFFFF"/>
        </w:rPr>
        <w:t>Wang, Y. </w:t>
      </w:r>
      <w:r w:rsidRPr="00C15835">
        <w:rPr>
          <w:rFonts w:ascii="Arial" w:hAnsi="Arial" w:cs="Arial"/>
          <w:i/>
          <w:iCs/>
          <w:color w:val="000000" w:themeColor="text1"/>
          <w:shd w:val="clear" w:color="auto" w:fill="FFFFFF"/>
        </w:rPr>
        <w:t>et al.</w:t>
      </w:r>
      <w:r w:rsidRPr="00C15835">
        <w:rPr>
          <w:rFonts w:ascii="Arial" w:hAnsi="Arial" w:cs="Arial"/>
          <w:color w:val="000000" w:themeColor="text1"/>
          <w:shd w:val="clear" w:color="auto" w:fill="FFFFFF"/>
        </w:rPr>
        <w:t> (2026) ‘Large model-based agents: State-of-the-art, cooperation paradigms, security and privacy, and future trends’, </w:t>
      </w:r>
      <w:r w:rsidRPr="00C15835">
        <w:rPr>
          <w:rFonts w:ascii="Arial" w:hAnsi="Arial" w:cs="Arial"/>
          <w:i/>
          <w:iCs/>
          <w:color w:val="000000" w:themeColor="text1"/>
          <w:shd w:val="clear" w:color="auto" w:fill="FFFFFF"/>
        </w:rPr>
        <w:t>IEEE Communications Surveys &amp;amp; Tutorials</w:t>
      </w:r>
      <w:r w:rsidRPr="00C15835">
        <w:rPr>
          <w:rFonts w:ascii="Arial" w:hAnsi="Arial" w:cs="Arial"/>
          <w:color w:val="000000" w:themeColor="text1"/>
          <w:shd w:val="clear" w:color="auto" w:fill="FFFFFF"/>
        </w:rPr>
        <w:t>, 28, pp. 1906–1949. doi:10.1109/comst.2025.3576176. </w:t>
      </w:r>
    </w:p>
    <w:p w14:paraId="620FE833" w14:textId="77777777" w:rsidR="00D442E7" w:rsidRPr="00E71FF6" w:rsidRDefault="00D442E7" w:rsidP="00D442E7">
      <w:pPr>
        <w:rPr>
          <w:rFonts w:ascii="Arial" w:hAnsi="Arial" w:cs="Arial"/>
          <w:color w:val="000000" w:themeColor="text1"/>
          <w:shd w:val="clear" w:color="auto" w:fill="FFFFFF"/>
        </w:rPr>
      </w:pPr>
    </w:p>
    <w:p w14:paraId="54EC726C" w14:textId="77777777" w:rsidR="00D442E7" w:rsidRDefault="00D442E7"/>
    <w:sectPr w:rsidR="00D442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2E7"/>
    <w:rsid w:val="006E697B"/>
    <w:rsid w:val="00D442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B8764C7"/>
  <w15:chartTrackingRefBased/>
  <w15:docId w15:val="{96C2CA19-3F23-BF41-8CBE-55D4CE352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2E7"/>
  </w:style>
  <w:style w:type="paragraph" w:styleId="Heading1">
    <w:name w:val="heading 1"/>
    <w:basedOn w:val="Normal"/>
    <w:next w:val="Normal"/>
    <w:link w:val="Heading1Char"/>
    <w:uiPriority w:val="9"/>
    <w:qFormat/>
    <w:rsid w:val="00D442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2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2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2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2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2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2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2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2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2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2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2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2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2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2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2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2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2E7"/>
    <w:rPr>
      <w:rFonts w:eastAsiaTheme="majorEastAsia" w:cstheme="majorBidi"/>
      <w:color w:val="272727" w:themeColor="text1" w:themeTint="D8"/>
    </w:rPr>
  </w:style>
  <w:style w:type="paragraph" w:styleId="Title">
    <w:name w:val="Title"/>
    <w:basedOn w:val="Normal"/>
    <w:next w:val="Normal"/>
    <w:link w:val="TitleChar"/>
    <w:uiPriority w:val="10"/>
    <w:qFormat/>
    <w:rsid w:val="00D442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2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2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2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2E7"/>
    <w:pPr>
      <w:spacing w:before="160"/>
      <w:jc w:val="center"/>
    </w:pPr>
    <w:rPr>
      <w:i/>
      <w:iCs/>
      <w:color w:val="404040" w:themeColor="text1" w:themeTint="BF"/>
    </w:rPr>
  </w:style>
  <w:style w:type="character" w:customStyle="1" w:styleId="QuoteChar">
    <w:name w:val="Quote Char"/>
    <w:basedOn w:val="DefaultParagraphFont"/>
    <w:link w:val="Quote"/>
    <w:uiPriority w:val="29"/>
    <w:rsid w:val="00D442E7"/>
    <w:rPr>
      <w:i/>
      <w:iCs/>
      <w:color w:val="404040" w:themeColor="text1" w:themeTint="BF"/>
    </w:rPr>
  </w:style>
  <w:style w:type="paragraph" w:styleId="ListParagraph">
    <w:name w:val="List Paragraph"/>
    <w:basedOn w:val="Normal"/>
    <w:uiPriority w:val="34"/>
    <w:qFormat/>
    <w:rsid w:val="00D442E7"/>
    <w:pPr>
      <w:ind w:left="720"/>
      <w:contextualSpacing/>
    </w:pPr>
  </w:style>
  <w:style w:type="character" w:styleId="IntenseEmphasis">
    <w:name w:val="Intense Emphasis"/>
    <w:basedOn w:val="DefaultParagraphFont"/>
    <w:uiPriority w:val="21"/>
    <w:qFormat/>
    <w:rsid w:val="00D442E7"/>
    <w:rPr>
      <w:i/>
      <w:iCs/>
      <w:color w:val="0F4761" w:themeColor="accent1" w:themeShade="BF"/>
    </w:rPr>
  </w:style>
  <w:style w:type="paragraph" w:styleId="IntenseQuote">
    <w:name w:val="Intense Quote"/>
    <w:basedOn w:val="Normal"/>
    <w:next w:val="Normal"/>
    <w:link w:val="IntenseQuoteChar"/>
    <w:uiPriority w:val="30"/>
    <w:qFormat/>
    <w:rsid w:val="00D442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2E7"/>
    <w:rPr>
      <w:i/>
      <w:iCs/>
      <w:color w:val="0F4761" w:themeColor="accent1" w:themeShade="BF"/>
    </w:rPr>
  </w:style>
  <w:style w:type="character" w:styleId="IntenseReference">
    <w:name w:val="Intense Reference"/>
    <w:basedOn w:val="DefaultParagraphFont"/>
    <w:uiPriority w:val="32"/>
    <w:qFormat/>
    <w:rsid w:val="00D442E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Ogunlesi, Frederick</dc:creator>
  <cp:keywords/>
  <dc:description/>
  <cp:lastModifiedBy>Ogunlesi, Frederick</cp:lastModifiedBy>
  <cp:revision>1</cp:revision>
  <dcterms:created xsi:type="dcterms:W3CDTF">2026-09-05T23:29:00Z</dcterms:created>
  <dcterms:modified xsi:type="dcterms:W3CDTF">2026-09-05T23:29:00Z</dcterms:modified>
</cp:coreProperties>
</file>