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BECD" w14:textId="36C3DF95" w:rsidR="00545AC3" w:rsidRPr="00D832C4" w:rsidRDefault="00545AC3" w:rsidP="00545AC3">
      <w:pPr>
        <w:spacing w:after="225" w:line="240" w:lineRule="auto"/>
        <w:outlineLvl w:val="3"/>
        <w:rPr>
          <w:rFonts w:ascii="Arial" w:eastAsia="Times New Roman" w:hAnsi="Arial" w:cs="Arial"/>
          <w:b/>
          <w:bCs/>
          <w:color w:val="000000" w:themeColor="text1"/>
          <w:kern w:val="0"/>
          <w:lang w:eastAsia="en-GB"/>
          <w14:ligatures w14:val="none"/>
        </w:rPr>
      </w:pPr>
      <w:r w:rsidRPr="00D832C4">
        <w:rPr>
          <w:rFonts w:ascii="Arial" w:eastAsia="Times New Roman" w:hAnsi="Arial" w:cs="Arial"/>
          <w:b/>
          <w:bCs/>
          <w:color w:val="000000" w:themeColor="text1"/>
          <w:kern w:val="0"/>
          <w:lang w:eastAsia="en-GB"/>
          <w14:ligatures w14:val="none"/>
        </w:rPr>
        <w:t>Agent Based Systems</w:t>
      </w:r>
      <w:r>
        <w:rPr>
          <w:rFonts w:ascii="Arial" w:eastAsia="Times New Roman" w:hAnsi="Arial" w:cs="Arial"/>
          <w:b/>
          <w:bCs/>
          <w:color w:val="000000" w:themeColor="text1"/>
          <w:kern w:val="0"/>
          <w:lang w:eastAsia="en-GB"/>
          <w14:ligatures w14:val="none"/>
        </w:rPr>
        <w:t xml:space="preserve"> – Collaborative Discussion: </w:t>
      </w:r>
      <w:r>
        <w:rPr>
          <w:rFonts w:ascii="Arial" w:eastAsia="Times New Roman" w:hAnsi="Arial" w:cs="Arial"/>
          <w:b/>
          <w:bCs/>
          <w:color w:val="000000" w:themeColor="text1"/>
          <w:kern w:val="0"/>
          <w:lang w:eastAsia="en-GB"/>
          <w14:ligatures w14:val="none"/>
        </w:rPr>
        <w:t>Summary</w:t>
      </w:r>
      <w:r>
        <w:rPr>
          <w:rFonts w:ascii="Arial" w:eastAsia="Times New Roman" w:hAnsi="Arial" w:cs="Arial"/>
          <w:b/>
          <w:bCs/>
          <w:color w:val="000000" w:themeColor="text1"/>
          <w:kern w:val="0"/>
          <w:lang w:eastAsia="en-GB"/>
          <w14:ligatures w14:val="none"/>
        </w:rPr>
        <w:t xml:space="preserve"> Post </w:t>
      </w:r>
    </w:p>
    <w:p w14:paraId="79371024"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br/>
        <w:t>My original post argued that economic pressure and technical maturity have driven the shift toward agent-based systems (Wooldridge, 2009), producing real benefits but also real risk, captured by Gartner's (2025) cancellation forecast. Peer feedback sharpened rather than overturned that claim.</w:t>
      </w:r>
    </w:p>
    <w:p w14:paraId="5073374E"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Anne correctly identified that PwC's (2025) 66% figure measures the proportion of executives reporting improvement, not the magnitude of productivity gained, a perception statistic not an outcome measure. I accepted this but noted that Gartner's forecast is also an estimate rather than a measured result, so the two sources are closer in evidential status than "perception versus evidence" suggests. Anne's use of Bratman et al. (1988) to justify supervisory "boundedness" was useful but their argument concerns why a single resource-bounded agent commits to intentions rather than continuously re-deliberating, which is individual practical reasoning, not organisational oversight capacity. This distinction matters directly for Unit 3, where the intention–desire distinction underpins BDI-style architectures: an agent's commitment to an intention is an architectural property, not evidence about how much monitoring a human overseer can sustain. Bainbridge's (1983) "ironies of automation" better explains the supervisory cost, since automation removes the routine practice that once made oversight easy.</w:t>
      </w:r>
    </w:p>
    <w:p w14:paraId="6F1D7955"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Isaac's response operationalised the governance gap Gartner identifies, proposing staged value validation informed by AI governance frameworks (Batool et al., 2025), alongside bounded autonomy and deliberately designed oversight (Laux, 2024) as prerequisites rather than afterthoughts. This connects Unit 1's trends and Unit 3's architecture selection, choosing an architecture (reactive, BDI, hybrid) is inseparable from deciding how much autonomy is delegated and how that delegation is logged and reversible.</w:t>
      </w:r>
    </w:p>
    <w:p w14:paraId="58C4B574"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Overall, the discussion refined my original claim that agentic adoption's benefits are contingent not just on governance existing, but on oversight being architecturally designed alongside the agent itself, informed by first-order-logic-based reasoning mechanisms covered in Unit 2 that make agent decisions auditable.</w:t>
      </w:r>
    </w:p>
    <w:p w14:paraId="0D71FB7C" w14:textId="77777777" w:rsidR="00545AC3" w:rsidRPr="00545AC3" w:rsidRDefault="00545AC3" w:rsidP="00545AC3">
      <w:pPr>
        <w:pStyle w:val="NormalWeb"/>
        <w:spacing w:before="0" w:beforeAutospacing="0"/>
        <w:rPr>
          <w:rFonts w:ascii="Arial" w:hAnsi="Arial" w:cs="Arial"/>
          <w:color w:val="000000" w:themeColor="text1"/>
        </w:rPr>
      </w:pPr>
      <w:r w:rsidRPr="00545AC3">
        <w:rPr>
          <w:rStyle w:val="Strong"/>
          <w:rFonts w:ascii="Arial" w:eastAsiaTheme="majorEastAsia" w:hAnsi="Arial" w:cs="Arial"/>
          <w:color w:val="000000" w:themeColor="text1"/>
        </w:rPr>
        <w:t>References</w:t>
      </w:r>
    </w:p>
    <w:p w14:paraId="68C97D71"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Bainbridge, L. (1983) 'Ironies of automation', </w:t>
      </w:r>
      <w:proofErr w:type="spellStart"/>
      <w:r w:rsidRPr="00545AC3">
        <w:rPr>
          <w:rStyle w:val="Emphasis"/>
          <w:rFonts w:ascii="Arial" w:eastAsiaTheme="majorEastAsia" w:hAnsi="Arial" w:cs="Arial"/>
          <w:color w:val="000000" w:themeColor="text1"/>
        </w:rPr>
        <w:t>Automatica</w:t>
      </w:r>
      <w:proofErr w:type="spellEnd"/>
      <w:r w:rsidRPr="00545AC3">
        <w:rPr>
          <w:rFonts w:ascii="Arial" w:hAnsi="Arial" w:cs="Arial"/>
          <w:color w:val="000000" w:themeColor="text1"/>
        </w:rPr>
        <w:t>, 19(6), pp. 775–779. Available at: </w:t>
      </w:r>
      <w:hyperlink r:id="rId4" w:history="1">
        <w:r w:rsidRPr="00545AC3">
          <w:rPr>
            <w:rStyle w:val="Hyperlink"/>
            <w:rFonts w:ascii="Arial" w:eastAsiaTheme="majorEastAsia" w:hAnsi="Arial" w:cs="Arial"/>
            <w:b/>
            <w:bCs/>
            <w:color w:val="000000" w:themeColor="text1"/>
          </w:rPr>
          <w:t>https://doi.org/10.1016/0005-1098(83)90046-8</w:t>
        </w:r>
      </w:hyperlink>
    </w:p>
    <w:p w14:paraId="14DE3723"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 xml:space="preserve">Batool, A., </w:t>
      </w:r>
      <w:proofErr w:type="spellStart"/>
      <w:r w:rsidRPr="00545AC3">
        <w:rPr>
          <w:rFonts w:ascii="Arial" w:hAnsi="Arial" w:cs="Arial"/>
          <w:color w:val="000000" w:themeColor="text1"/>
        </w:rPr>
        <w:t>Zowghi</w:t>
      </w:r>
      <w:proofErr w:type="spellEnd"/>
      <w:r w:rsidRPr="00545AC3">
        <w:rPr>
          <w:rFonts w:ascii="Arial" w:hAnsi="Arial" w:cs="Arial"/>
          <w:color w:val="000000" w:themeColor="text1"/>
        </w:rPr>
        <w:t>, D. and Bano, M. (2025) 'AI governance: a systematic literature review', </w:t>
      </w:r>
      <w:r w:rsidRPr="00545AC3">
        <w:rPr>
          <w:rStyle w:val="Emphasis"/>
          <w:rFonts w:ascii="Arial" w:eastAsiaTheme="majorEastAsia" w:hAnsi="Arial" w:cs="Arial"/>
          <w:color w:val="000000" w:themeColor="text1"/>
        </w:rPr>
        <w:t>AI and Ethics</w:t>
      </w:r>
      <w:r w:rsidRPr="00545AC3">
        <w:rPr>
          <w:rFonts w:ascii="Arial" w:hAnsi="Arial" w:cs="Arial"/>
          <w:color w:val="000000" w:themeColor="text1"/>
        </w:rPr>
        <w:t>, 5, pp. 3265–3279. Available at: </w:t>
      </w:r>
      <w:hyperlink r:id="rId5" w:history="1">
        <w:r w:rsidRPr="00545AC3">
          <w:rPr>
            <w:rStyle w:val="Hyperlink"/>
            <w:rFonts w:ascii="Arial" w:eastAsiaTheme="majorEastAsia" w:hAnsi="Arial" w:cs="Arial"/>
            <w:b/>
            <w:bCs/>
            <w:color w:val="000000" w:themeColor="text1"/>
          </w:rPr>
          <w:t>https://doi.org/10.1007/s43681-024-00653-w</w:t>
        </w:r>
      </w:hyperlink>
      <w:r w:rsidRPr="00545AC3">
        <w:rPr>
          <w:rFonts w:ascii="Arial" w:hAnsi="Arial" w:cs="Arial"/>
          <w:color w:val="000000" w:themeColor="text1"/>
        </w:rPr>
        <w:t> (Accessed: 6 August 2026).</w:t>
      </w:r>
    </w:p>
    <w:p w14:paraId="2BF60073"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Bratman, M.E., Israel, D.J. and Pollack, M.E. (1988) 'Plans and resource-bounded practical reasoning', </w:t>
      </w:r>
      <w:r w:rsidRPr="00545AC3">
        <w:rPr>
          <w:rStyle w:val="Emphasis"/>
          <w:rFonts w:ascii="Arial" w:eastAsiaTheme="majorEastAsia" w:hAnsi="Arial" w:cs="Arial"/>
          <w:color w:val="000000" w:themeColor="text1"/>
        </w:rPr>
        <w:t>Computational Intelligence</w:t>
      </w:r>
      <w:r w:rsidRPr="00545AC3">
        <w:rPr>
          <w:rFonts w:ascii="Arial" w:hAnsi="Arial" w:cs="Arial"/>
          <w:color w:val="000000" w:themeColor="text1"/>
        </w:rPr>
        <w:t>, 4(3), pp. 349-355. Available at: </w:t>
      </w:r>
      <w:hyperlink r:id="rId6" w:history="1">
        <w:r w:rsidRPr="00545AC3">
          <w:rPr>
            <w:rStyle w:val="Hyperlink"/>
            <w:rFonts w:ascii="Arial" w:eastAsiaTheme="majorEastAsia" w:hAnsi="Arial" w:cs="Arial"/>
            <w:b/>
            <w:bCs/>
            <w:color w:val="000000" w:themeColor="text1"/>
          </w:rPr>
          <w:t>https://doi.org/10.1111/j.1467-8640.1988.tb00284.x</w:t>
        </w:r>
      </w:hyperlink>
    </w:p>
    <w:p w14:paraId="177C013D"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lastRenderedPageBreak/>
        <w:t>Gartner (2025) </w:t>
      </w:r>
      <w:r w:rsidRPr="00545AC3">
        <w:rPr>
          <w:rStyle w:val="Emphasis"/>
          <w:rFonts w:ascii="Arial" w:eastAsiaTheme="majorEastAsia" w:hAnsi="Arial" w:cs="Arial"/>
          <w:color w:val="000000" w:themeColor="text1"/>
        </w:rPr>
        <w:t xml:space="preserve">Gartner predicts over 40% of agentic AI projects will be </w:t>
      </w:r>
      <w:proofErr w:type="spellStart"/>
      <w:r w:rsidRPr="00545AC3">
        <w:rPr>
          <w:rStyle w:val="Emphasis"/>
          <w:rFonts w:ascii="Arial" w:eastAsiaTheme="majorEastAsia" w:hAnsi="Arial" w:cs="Arial"/>
          <w:color w:val="000000" w:themeColor="text1"/>
        </w:rPr>
        <w:t>canceled</w:t>
      </w:r>
      <w:proofErr w:type="spellEnd"/>
      <w:r w:rsidRPr="00545AC3">
        <w:rPr>
          <w:rStyle w:val="Emphasis"/>
          <w:rFonts w:ascii="Arial" w:eastAsiaTheme="majorEastAsia" w:hAnsi="Arial" w:cs="Arial"/>
          <w:color w:val="000000" w:themeColor="text1"/>
        </w:rPr>
        <w:t xml:space="preserve"> by end of 2027</w:t>
      </w:r>
      <w:r w:rsidRPr="00545AC3">
        <w:rPr>
          <w:rFonts w:ascii="Arial" w:hAnsi="Arial" w:cs="Arial"/>
          <w:color w:val="000000" w:themeColor="text1"/>
        </w:rPr>
        <w:t>. Available at: </w:t>
      </w:r>
      <w:hyperlink r:id="rId7" w:history="1">
        <w:r w:rsidRPr="00545AC3">
          <w:rPr>
            <w:rStyle w:val="Hyperlink"/>
            <w:rFonts w:ascii="Arial" w:eastAsiaTheme="majorEastAsia" w:hAnsi="Arial" w:cs="Arial"/>
            <w:b/>
            <w:bCs/>
            <w:color w:val="000000" w:themeColor="text1"/>
          </w:rPr>
          <w:t>https://www.gartner.com/en/newsroom/press-releases/2025-06-25-gartner-predicts-over-40-percent-of-agentic-ai-projects-will-be-canceled-by-end-of-2027</w:t>
        </w:r>
      </w:hyperlink>
      <w:r w:rsidRPr="00545AC3">
        <w:rPr>
          <w:rFonts w:ascii="Arial" w:hAnsi="Arial" w:cs="Arial"/>
          <w:color w:val="000000" w:themeColor="text1"/>
        </w:rPr>
        <w:t> (Accessed: 02 August 2026).</w:t>
      </w:r>
    </w:p>
    <w:p w14:paraId="0B484340"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Laux, J. (2024) 'Institutionalised distrust and human oversight of artificial intelligence: towards a democratic design of AI governance under the European Union AI Act', </w:t>
      </w:r>
      <w:r w:rsidRPr="00545AC3">
        <w:rPr>
          <w:rStyle w:val="Emphasis"/>
          <w:rFonts w:ascii="Arial" w:eastAsiaTheme="majorEastAsia" w:hAnsi="Arial" w:cs="Arial"/>
          <w:color w:val="000000" w:themeColor="text1"/>
        </w:rPr>
        <w:t>AI &amp; Society</w:t>
      </w:r>
      <w:r w:rsidRPr="00545AC3">
        <w:rPr>
          <w:rFonts w:ascii="Arial" w:hAnsi="Arial" w:cs="Arial"/>
          <w:color w:val="000000" w:themeColor="text1"/>
        </w:rPr>
        <w:t>, 39, pp. 2853–2866. Available at: </w:t>
      </w:r>
      <w:hyperlink r:id="rId8" w:history="1">
        <w:r w:rsidRPr="00545AC3">
          <w:rPr>
            <w:rStyle w:val="Hyperlink"/>
            <w:rFonts w:ascii="Arial" w:eastAsiaTheme="majorEastAsia" w:hAnsi="Arial" w:cs="Arial"/>
            <w:b/>
            <w:bCs/>
            <w:color w:val="000000" w:themeColor="text1"/>
          </w:rPr>
          <w:t>https://doi.org/10.1007/s00146-023-01777-z</w:t>
        </w:r>
      </w:hyperlink>
      <w:r w:rsidRPr="00545AC3">
        <w:rPr>
          <w:rFonts w:ascii="Arial" w:hAnsi="Arial" w:cs="Arial"/>
          <w:color w:val="000000" w:themeColor="text1"/>
        </w:rPr>
        <w:t> (Accessed: 6 August 2026).</w:t>
      </w:r>
    </w:p>
    <w:p w14:paraId="6E48A9AA"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PwC (2025) </w:t>
      </w:r>
      <w:r w:rsidRPr="00545AC3">
        <w:rPr>
          <w:rStyle w:val="Emphasis"/>
          <w:rFonts w:ascii="Arial" w:eastAsiaTheme="majorEastAsia" w:hAnsi="Arial" w:cs="Arial"/>
          <w:color w:val="000000" w:themeColor="text1"/>
        </w:rPr>
        <w:t>PwC's AI agent survey</w:t>
      </w:r>
      <w:r w:rsidRPr="00545AC3">
        <w:rPr>
          <w:rFonts w:ascii="Arial" w:hAnsi="Arial" w:cs="Arial"/>
          <w:color w:val="000000" w:themeColor="text1"/>
        </w:rPr>
        <w:t>. Available at: </w:t>
      </w:r>
      <w:hyperlink r:id="rId9" w:history="1">
        <w:r w:rsidRPr="00545AC3">
          <w:rPr>
            <w:rStyle w:val="Hyperlink"/>
            <w:rFonts w:ascii="Arial" w:eastAsiaTheme="majorEastAsia" w:hAnsi="Arial" w:cs="Arial"/>
            <w:b/>
            <w:bCs/>
            <w:color w:val="000000" w:themeColor="text1"/>
          </w:rPr>
          <w:t>https://www.pwc.com/us/en/tech-effect/ai-analytics/ai-agent-survey.html</w:t>
        </w:r>
      </w:hyperlink>
      <w:r w:rsidRPr="00545AC3">
        <w:rPr>
          <w:rFonts w:ascii="Arial" w:hAnsi="Arial" w:cs="Arial"/>
          <w:color w:val="000000" w:themeColor="text1"/>
        </w:rPr>
        <w:t> (Accessed: 02 August 2026).</w:t>
      </w:r>
    </w:p>
    <w:p w14:paraId="74A1E088" w14:textId="77777777" w:rsidR="00545AC3" w:rsidRPr="00545AC3" w:rsidRDefault="00545AC3" w:rsidP="00545AC3">
      <w:pPr>
        <w:pStyle w:val="NormalWeb"/>
        <w:spacing w:before="0" w:beforeAutospacing="0"/>
        <w:rPr>
          <w:rFonts w:ascii="Arial" w:hAnsi="Arial" w:cs="Arial"/>
          <w:color w:val="000000" w:themeColor="text1"/>
        </w:rPr>
      </w:pPr>
      <w:r w:rsidRPr="00545AC3">
        <w:rPr>
          <w:rFonts w:ascii="Arial" w:hAnsi="Arial" w:cs="Arial"/>
          <w:color w:val="000000" w:themeColor="text1"/>
        </w:rPr>
        <w:t>Wooldridge, M.J. (2009) </w:t>
      </w:r>
      <w:r w:rsidRPr="00545AC3">
        <w:rPr>
          <w:rStyle w:val="Emphasis"/>
          <w:rFonts w:ascii="Arial" w:eastAsiaTheme="majorEastAsia" w:hAnsi="Arial" w:cs="Arial"/>
          <w:color w:val="000000" w:themeColor="text1"/>
        </w:rPr>
        <w:t>An introduction to multiagent systems</w:t>
      </w:r>
      <w:r w:rsidRPr="00545AC3">
        <w:rPr>
          <w:rFonts w:ascii="Arial" w:hAnsi="Arial" w:cs="Arial"/>
          <w:color w:val="000000" w:themeColor="text1"/>
        </w:rPr>
        <w:t>. Hoboken, NJ: John Wiley &amp; Sons.</w:t>
      </w:r>
    </w:p>
    <w:p w14:paraId="0BE85FE5" w14:textId="77777777" w:rsidR="00545AC3" w:rsidRPr="00545AC3" w:rsidRDefault="00545AC3">
      <w:pPr>
        <w:rPr>
          <w:color w:val="000000" w:themeColor="text1"/>
        </w:rPr>
      </w:pPr>
    </w:p>
    <w:sectPr w:rsidR="00545AC3" w:rsidRPr="00545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C3"/>
    <w:rsid w:val="00545AC3"/>
    <w:rsid w:val="006E697B"/>
    <w:rsid w:val="00FB1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88D7E0"/>
  <w15:chartTrackingRefBased/>
  <w15:docId w15:val="{8C385CC4-3F31-2544-A0B7-978C4A80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C3"/>
    <w:rPr>
      <w:rFonts w:eastAsiaTheme="majorEastAsia" w:cstheme="majorBidi"/>
      <w:color w:val="272727" w:themeColor="text1" w:themeTint="D8"/>
    </w:rPr>
  </w:style>
  <w:style w:type="paragraph" w:styleId="Title">
    <w:name w:val="Title"/>
    <w:basedOn w:val="Normal"/>
    <w:next w:val="Normal"/>
    <w:link w:val="TitleChar"/>
    <w:uiPriority w:val="10"/>
    <w:qFormat/>
    <w:rsid w:val="00545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C3"/>
    <w:pPr>
      <w:spacing w:before="160"/>
      <w:jc w:val="center"/>
    </w:pPr>
    <w:rPr>
      <w:i/>
      <w:iCs/>
      <w:color w:val="404040" w:themeColor="text1" w:themeTint="BF"/>
    </w:rPr>
  </w:style>
  <w:style w:type="character" w:customStyle="1" w:styleId="QuoteChar">
    <w:name w:val="Quote Char"/>
    <w:basedOn w:val="DefaultParagraphFont"/>
    <w:link w:val="Quote"/>
    <w:uiPriority w:val="29"/>
    <w:rsid w:val="00545AC3"/>
    <w:rPr>
      <w:i/>
      <w:iCs/>
      <w:color w:val="404040" w:themeColor="text1" w:themeTint="BF"/>
    </w:rPr>
  </w:style>
  <w:style w:type="paragraph" w:styleId="ListParagraph">
    <w:name w:val="List Paragraph"/>
    <w:basedOn w:val="Normal"/>
    <w:uiPriority w:val="34"/>
    <w:qFormat/>
    <w:rsid w:val="00545AC3"/>
    <w:pPr>
      <w:ind w:left="720"/>
      <w:contextualSpacing/>
    </w:pPr>
  </w:style>
  <w:style w:type="character" w:styleId="IntenseEmphasis">
    <w:name w:val="Intense Emphasis"/>
    <w:basedOn w:val="DefaultParagraphFont"/>
    <w:uiPriority w:val="21"/>
    <w:qFormat/>
    <w:rsid w:val="00545AC3"/>
    <w:rPr>
      <w:i/>
      <w:iCs/>
      <w:color w:val="0F4761" w:themeColor="accent1" w:themeShade="BF"/>
    </w:rPr>
  </w:style>
  <w:style w:type="paragraph" w:styleId="IntenseQuote">
    <w:name w:val="Intense Quote"/>
    <w:basedOn w:val="Normal"/>
    <w:next w:val="Normal"/>
    <w:link w:val="IntenseQuoteChar"/>
    <w:uiPriority w:val="30"/>
    <w:qFormat/>
    <w:rsid w:val="00545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C3"/>
    <w:rPr>
      <w:i/>
      <w:iCs/>
      <w:color w:val="0F4761" w:themeColor="accent1" w:themeShade="BF"/>
    </w:rPr>
  </w:style>
  <w:style w:type="character" w:styleId="IntenseReference">
    <w:name w:val="Intense Reference"/>
    <w:basedOn w:val="DefaultParagraphFont"/>
    <w:uiPriority w:val="32"/>
    <w:qFormat/>
    <w:rsid w:val="00545AC3"/>
    <w:rPr>
      <w:b/>
      <w:bCs/>
      <w:smallCaps/>
      <w:color w:val="0F4761" w:themeColor="accent1" w:themeShade="BF"/>
      <w:spacing w:val="5"/>
    </w:rPr>
  </w:style>
  <w:style w:type="paragraph" w:styleId="NormalWeb">
    <w:name w:val="Normal (Web)"/>
    <w:basedOn w:val="Normal"/>
    <w:uiPriority w:val="99"/>
    <w:semiHidden/>
    <w:unhideWhenUsed/>
    <w:rsid w:val="00545A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45AC3"/>
    <w:rPr>
      <w:b/>
      <w:bCs/>
    </w:rPr>
  </w:style>
  <w:style w:type="character" w:styleId="Emphasis">
    <w:name w:val="Emphasis"/>
    <w:basedOn w:val="DefaultParagraphFont"/>
    <w:uiPriority w:val="20"/>
    <w:qFormat/>
    <w:rsid w:val="00545AC3"/>
    <w:rPr>
      <w:i/>
      <w:iCs/>
    </w:rPr>
  </w:style>
  <w:style w:type="character" w:styleId="Hyperlink">
    <w:name w:val="Hyperlink"/>
    <w:basedOn w:val="DefaultParagraphFont"/>
    <w:uiPriority w:val="99"/>
    <w:semiHidden/>
    <w:unhideWhenUsed/>
    <w:rsid w:val="00545A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146-023-01777-z" TargetMode="External"/><Relationship Id="rId3" Type="http://schemas.openxmlformats.org/officeDocument/2006/relationships/webSettings" Target="webSettings.xml"/><Relationship Id="rId7" Type="http://schemas.openxmlformats.org/officeDocument/2006/relationships/hyperlink" Target="https://www.gartner.com/en/newsroom/press-releases/2025-06-25-gartner-predicts-over-40-percent-of-agentic-ai-projects-will-be-canceled-by-end-of-20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j.1467-8640.1988.tb00284.x" TargetMode="External"/><Relationship Id="rId11" Type="http://schemas.openxmlformats.org/officeDocument/2006/relationships/theme" Target="theme/theme1.xml"/><Relationship Id="rId5" Type="http://schemas.openxmlformats.org/officeDocument/2006/relationships/hyperlink" Target="https://doi.org/10.1007/s43681-024-00653-w" TargetMode="External"/><Relationship Id="rId10" Type="http://schemas.openxmlformats.org/officeDocument/2006/relationships/fontTable" Target="fontTable.xml"/><Relationship Id="rId4" Type="http://schemas.openxmlformats.org/officeDocument/2006/relationships/hyperlink" Target="https://doi.org/10.1016/0005-1098(83)90046-8" TargetMode="External"/><Relationship Id="rId9" Type="http://schemas.openxmlformats.org/officeDocument/2006/relationships/hyperlink" Target="https://www.pwc.com/us/en/tech-effect/ai-analytics/ai-agent-surve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2</cp:revision>
  <dcterms:created xsi:type="dcterms:W3CDTF">2026-08-22T13:13:00Z</dcterms:created>
  <dcterms:modified xsi:type="dcterms:W3CDTF">2026-08-22T13:13:00Z</dcterms:modified>
</cp:coreProperties>
</file>