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08E4E" w14:textId="77777777" w:rsidR="00452D16" w:rsidRPr="004049DD" w:rsidRDefault="00452D16" w:rsidP="00452D16">
      <w:pPr>
        <w:ind w:left="360"/>
        <w:rPr>
          <w:color w:val="000000"/>
        </w:rPr>
      </w:pPr>
      <w:r w:rsidRPr="004049DD">
        <w:rPr>
          <w:color w:val="000000"/>
        </w:rPr>
        <w:t>My initial post highlighted the importance of clear guardrails as the Financial Services industry embraces the shift from Industry 4.0 to Industry 5.0. The shift towards augmenting AI into the workforce in a human-centric and ethical manner will ensure this transition is seamless. Upon review of the content in the three units, further reading, and peer responses, this evidence further supports the argument that governance and human oversight, combined with explainable AI, are essential for mitigating overreliance and systemic failure.</w:t>
      </w:r>
    </w:p>
    <w:p w14:paraId="3FD03DD9" w14:textId="77777777" w:rsidR="00452D16" w:rsidRPr="004049DD" w:rsidRDefault="00452D16" w:rsidP="00452D16">
      <w:pPr>
        <w:ind w:left="360"/>
        <w:rPr>
          <w:color w:val="000000"/>
        </w:rPr>
      </w:pPr>
      <w:r w:rsidRPr="004049DD">
        <w:rPr>
          <w:color w:val="000000"/>
        </w:rPr>
        <w:t>Considering my peer Abdulla’s response to my initial post, a valid point was made around practical implementation strategies. Whilst I agree with the point, it could be argued that what is more important is the quality and implementation of strategic planning and development, which critically affect the organization's position, operations, performance, competitiveness, and future (Cao, 2022).</w:t>
      </w:r>
    </w:p>
    <w:p w14:paraId="32E17CE2" w14:textId="77777777" w:rsidR="00452D16" w:rsidRPr="004049DD" w:rsidRDefault="00452D16" w:rsidP="00452D16">
      <w:pPr>
        <w:ind w:left="360"/>
        <w:rPr>
          <w:color w:val="000000"/>
        </w:rPr>
      </w:pPr>
      <w:r w:rsidRPr="004049DD">
        <w:rPr>
          <w:color w:val="000000"/>
        </w:rPr>
        <w:t>Financial institutions adopting a hybrid approach as part of a digital transformation could minimize disruption. This could, in turn, create an environment of duplication of effort and ineffective use of resources in the short term, effectively costing financial services organisations. However, the trade-off is the cost of human oversight to ensure accuracy or the risk of error, which can lead to costs for the customer, the economy, and the organisation's brand.</w:t>
      </w:r>
      <w:r w:rsidRPr="004049DD">
        <w:rPr>
          <w:rStyle w:val="apple-converted-space"/>
          <w:color w:val="000000"/>
        </w:rPr>
        <w:t> </w:t>
      </w:r>
    </w:p>
    <w:p w14:paraId="0F80B5C8" w14:textId="77777777" w:rsidR="00452D16" w:rsidRPr="004049DD" w:rsidRDefault="00452D16" w:rsidP="00452D16">
      <w:pPr>
        <w:ind w:left="360"/>
        <w:rPr>
          <w:color w:val="000000"/>
        </w:rPr>
      </w:pPr>
      <w:r w:rsidRPr="004049DD">
        <w:rPr>
          <w:color w:val="000000"/>
        </w:rPr>
        <w:t>Financial institutions must balance AI adoption with the necessary guardrails to ensure a compliant, governed approach. Historical data on Industry 4.0 has shown that public sectors, primarily governments, have not successfully regulated the pace or direction of digital transformation across industries and regions (</w:t>
      </w:r>
      <w:proofErr w:type="spellStart"/>
      <w:r w:rsidRPr="004049DD">
        <w:rPr>
          <w:color w:val="000000"/>
        </w:rPr>
        <w:t>Ghobakhloo</w:t>
      </w:r>
      <w:proofErr w:type="spellEnd"/>
      <w:r w:rsidRPr="004049DD">
        <w:rPr>
          <w:color w:val="000000"/>
        </w:rPr>
        <w:t xml:space="preserve"> et al.,</w:t>
      </w:r>
      <w:r w:rsidRPr="004049DD">
        <w:rPr>
          <w:rStyle w:val="apple-converted-space"/>
          <w:color w:val="000000"/>
        </w:rPr>
        <w:t> </w:t>
      </w:r>
      <w:r w:rsidRPr="004049DD">
        <w:rPr>
          <w:color w:val="000000"/>
        </w:rPr>
        <w:t>2022). In summary, responsible AI requires compliance with a wide range of standards throughout the lifecycle of AI applications (Robles Carrillo, 2020), as well as continued “soft-law” pressure—and the prospect of future regulation—around Industry 5.0 deployments. Europe is moving toward legally enforcing trustworthiness in AI and Industry 5.0 systems (Merchán-Cruz et al., 2025), and the Financial Services Industry is one that will continue to prioritize compliance over the speed of adoption, given the severe implications if compromised.</w:t>
      </w:r>
    </w:p>
    <w:p w14:paraId="57CA7EAA" w14:textId="77777777" w:rsidR="00452D16" w:rsidRPr="00266631" w:rsidRDefault="00452D16" w:rsidP="00452D16">
      <w:pPr>
        <w:ind w:left="360"/>
        <w:rPr>
          <w:color w:val="000000"/>
        </w:rPr>
      </w:pPr>
      <w:r w:rsidRPr="00266631">
        <w:rPr>
          <w:color w:val="000000"/>
        </w:rPr>
        <w:t>References</w:t>
      </w:r>
    </w:p>
    <w:p w14:paraId="0E6A24C4" w14:textId="77777777" w:rsidR="00452D16" w:rsidRPr="00266631" w:rsidRDefault="00452D16" w:rsidP="00452D16">
      <w:pPr>
        <w:pStyle w:val="ListParagraph"/>
        <w:numPr>
          <w:ilvl w:val="0"/>
          <w:numId w:val="1"/>
        </w:numPr>
        <w:rPr>
          <w:color w:val="000000"/>
        </w:rPr>
      </w:pPr>
      <w:r w:rsidRPr="004049DD">
        <w:rPr>
          <w:color w:val="000000"/>
        </w:rPr>
        <w:t>Cao, L., 2022. Ai in finance: challenges, techniques, and opportunities. ACM Computing Surveys (CSUR), 55(3), pp.1-38.</w:t>
      </w:r>
    </w:p>
    <w:p w14:paraId="191120FD" w14:textId="77777777" w:rsidR="00452D16" w:rsidRPr="00266631" w:rsidRDefault="00452D16" w:rsidP="00452D16">
      <w:pPr>
        <w:pStyle w:val="ListParagraph"/>
        <w:numPr>
          <w:ilvl w:val="0"/>
          <w:numId w:val="1"/>
        </w:numPr>
        <w:rPr>
          <w:color w:val="000000"/>
        </w:rPr>
      </w:pPr>
      <w:proofErr w:type="spellStart"/>
      <w:r w:rsidRPr="004049DD">
        <w:rPr>
          <w:color w:val="000000"/>
        </w:rPr>
        <w:t>Ghobakhloo</w:t>
      </w:r>
      <w:proofErr w:type="spellEnd"/>
      <w:r w:rsidRPr="004049DD">
        <w:rPr>
          <w:color w:val="000000"/>
        </w:rPr>
        <w:t xml:space="preserve">, M., </w:t>
      </w:r>
      <w:proofErr w:type="spellStart"/>
      <w:r w:rsidRPr="004049DD">
        <w:rPr>
          <w:color w:val="000000"/>
        </w:rPr>
        <w:t>Iranmanesh</w:t>
      </w:r>
      <w:proofErr w:type="spellEnd"/>
      <w:r w:rsidRPr="004049DD">
        <w:rPr>
          <w:color w:val="000000"/>
        </w:rPr>
        <w:t xml:space="preserve">, M., Mubarak, M. F., Mubarik, M., </w:t>
      </w:r>
      <w:proofErr w:type="spellStart"/>
      <w:r w:rsidRPr="004049DD">
        <w:rPr>
          <w:color w:val="000000"/>
        </w:rPr>
        <w:t>Rejeb</w:t>
      </w:r>
      <w:proofErr w:type="spellEnd"/>
      <w:r w:rsidRPr="004049DD">
        <w:rPr>
          <w:color w:val="000000"/>
        </w:rPr>
        <w:t xml:space="preserve">, A., &amp; </w:t>
      </w:r>
      <w:proofErr w:type="spellStart"/>
      <w:r w:rsidRPr="004049DD">
        <w:rPr>
          <w:color w:val="000000"/>
        </w:rPr>
        <w:t>Nilashi</w:t>
      </w:r>
      <w:proofErr w:type="spellEnd"/>
      <w:r w:rsidRPr="004049DD">
        <w:rPr>
          <w:color w:val="000000"/>
        </w:rPr>
        <w:t xml:space="preserve">, M. (2022). Identifying industry 5.0 contributions to sustainable development: A strategy roadmap for delivering sustainability values. Sustainable Production and </w:t>
      </w:r>
      <w:proofErr w:type="gramStart"/>
      <w:r w:rsidRPr="004049DD">
        <w:rPr>
          <w:color w:val="000000"/>
        </w:rPr>
        <w:t>Consumption,  33,  716</w:t>
      </w:r>
      <w:proofErr w:type="gramEnd"/>
      <w:r w:rsidRPr="004049DD">
        <w:rPr>
          <w:color w:val="000000"/>
        </w:rPr>
        <w:t>–737.</w:t>
      </w:r>
    </w:p>
    <w:p w14:paraId="412B3CB6" w14:textId="77777777" w:rsidR="00452D16" w:rsidRPr="004049DD" w:rsidRDefault="00452D16" w:rsidP="00452D16">
      <w:pPr>
        <w:pStyle w:val="ListParagraph"/>
        <w:numPr>
          <w:ilvl w:val="0"/>
          <w:numId w:val="1"/>
        </w:numPr>
        <w:rPr>
          <w:color w:val="000000"/>
        </w:rPr>
      </w:pPr>
      <w:r w:rsidRPr="004049DD">
        <w:rPr>
          <w:color w:val="000000"/>
        </w:rPr>
        <w:t xml:space="preserve">Merchán-Cruz, E.A., Gabelaia, I., </w:t>
      </w:r>
      <w:proofErr w:type="spellStart"/>
      <w:r w:rsidRPr="004049DD">
        <w:rPr>
          <w:color w:val="000000"/>
        </w:rPr>
        <w:t>Savrasovs</w:t>
      </w:r>
      <w:proofErr w:type="spellEnd"/>
      <w:r w:rsidRPr="004049DD">
        <w:rPr>
          <w:color w:val="000000"/>
        </w:rPr>
        <w:t>, M., Hansen, M.F., Soe, S., Rodríguez-</w:t>
      </w:r>
      <w:proofErr w:type="spellStart"/>
      <w:r w:rsidRPr="004049DD">
        <w:rPr>
          <w:color w:val="000000"/>
        </w:rPr>
        <w:t>Cañizo</w:t>
      </w:r>
      <w:proofErr w:type="spellEnd"/>
      <w:r w:rsidRPr="004049DD">
        <w:rPr>
          <w:color w:val="000000"/>
        </w:rPr>
        <w:t>, R.G. y Aragón-</w:t>
      </w:r>
      <w:proofErr w:type="spellStart"/>
      <w:r w:rsidRPr="004049DD">
        <w:rPr>
          <w:color w:val="000000"/>
        </w:rPr>
        <w:t>Camarasa</w:t>
      </w:r>
      <w:proofErr w:type="spellEnd"/>
      <w:r w:rsidRPr="004049DD">
        <w:rPr>
          <w:color w:val="000000"/>
        </w:rPr>
        <w:t xml:space="preserve">, G., 2025. Trust by design: an ethical </w:t>
      </w:r>
      <w:r w:rsidRPr="004049DD">
        <w:rPr>
          <w:color w:val="000000"/>
        </w:rPr>
        <w:lastRenderedPageBreak/>
        <w:t>framework for collaborative intelligence systems in Industry 5.0. Electronics, 14(10), p.1952.</w:t>
      </w:r>
    </w:p>
    <w:p w14:paraId="32C4F1CD" w14:textId="77777777" w:rsidR="00452D16" w:rsidRPr="004049DD" w:rsidRDefault="00452D16" w:rsidP="00452D16">
      <w:pPr>
        <w:pStyle w:val="ListParagraph"/>
        <w:numPr>
          <w:ilvl w:val="0"/>
          <w:numId w:val="1"/>
        </w:numPr>
        <w:rPr>
          <w:color w:val="000000"/>
        </w:rPr>
      </w:pPr>
      <w:r w:rsidRPr="004049DD">
        <w:rPr>
          <w:color w:val="000000"/>
        </w:rPr>
        <w:t xml:space="preserve">Robles Carrillo, M. (2020) ‘Artificial Intelligence: From ethics to law’, Telecommunications Policy, 44(6), p. 101937. </w:t>
      </w:r>
      <w:proofErr w:type="gramStart"/>
      <w:r w:rsidRPr="004049DD">
        <w:rPr>
          <w:color w:val="000000"/>
        </w:rPr>
        <w:t>doi:10.1016/j.telpol</w:t>
      </w:r>
      <w:proofErr w:type="gramEnd"/>
      <w:r w:rsidRPr="004049DD">
        <w:rPr>
          <w:color w:val="000000"/>
        </w:rPr>
        <w:t>.2020.101937.</w:t>
      </w:r>
      <w:r w:rsidRPr="004049DD">
        <w:rPr>
          <w:rStyle w:val="apple-converted-space"/>
          <w:color w:val="000000"/>
        </w:rPr>
        <w:t> </w:t>
      </w:r>
    </w:p>
    <w:p w14:paraId="4CD13791" w14:textId="77777777" w:rsidR="00452D16" w:rsidRDefault="00452D16"/>
    <w:sectPr w:rsidR="00452D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7714B"/>
    <w:multiLevelType w:val="multilevel"/>
    <w:tmpl w:val="3C1EB8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02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D16"/>
    <w:rsid w:val="00452D16"/>
    <w:rsid w:val="007742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71E0313"/>
  <w15:chartTrackingRefBased/>
  <w15:docId w15:val="{EAB27B59-B805-9149-9D1C-B38AE69E3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D16"/>
  </w:style>
  <w:style w:type="paragraph" w:styleId="Heading1">
    <w:name w:val="heading 1"/>
    <w:basedOn w:val="Normal"/>
    <w:next w:val="Normal"/>
    <w:link w:val="Heading1Char"/>
    <w:uiPriority w:val="9"/>
    <w:qFormat/>
    <w:rsid w:val="00452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D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D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D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D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D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D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D16"/>
    <w:rPr>
      <w:rFonts w:eastAsiaTheme="majorEastAsia" w:cstheme="majorBidi"/>
      <w:color w:val="272727" w:themeColor="text1" w:themeTint="D8"/>
    </w:rPr>
  </w:style>
  <w:style w:type="paragraph" w:styleId="Title">
    <w:name w:val="Title"/>
    <w:basedOn w:val="Normal"/>
    <w:next w:val="Normal"/>
    <w:link w:val="TitleChar"/>
    <w:uiPriority w:val="10"/>
    <w:qFormat/>
    <w:rsid w:val="00452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D16"/>
    <w:pPr>
      <w:spacing w:before="160"/>
      <w:jc w:val="center"/>
    </w:pPr>
    <w:rPr>
      <w:i/>
      <w:iCs/>
      <w:color w:val="404040" w:themeColor="text1" w:themeTint="BF"/>
    </w:rPr>
  </w:style>
  <w:style w:type="character" w:customStyle="1" w:styleId="QuoteChar">
    <w:name w:val="Quote Char"/>
    <w:basedOn w:val="DefaultParagraphFont"/>
    <w:link w:val="Quote"/>
    <w:uiPriority w:val="29"/>
    <w:rsid w:val="00452D16"/>
    <w:rPr>
      <w:i/>
      <w:iCs/>
      <w:color w:val="404040" w:themeColor="text1" w:themeTint="BF"/>
    </w:rPr>
  </w:style>
  <w:style w:type="paragraph" w:styleId="ListParagraph">
    <w:name w:val="List Paragraph"/>
    <w:basedOn w:val="Normal"/>
    <w:uiPriority w:val="34"/>
    <w:qFormat/>
    <w:rsid w:val="00452D16"/>
    <w:pPr>
      <w:ind w:left="720"/>
      <w:contextualSpacing/>
    </w:pPr>
  </w:style>
  <w:style w:type="character" w:styleId="IntenseEmphasis">
    <w:name w:val="Intense Emphasis"/>
    <w:basedOn w:val="DefaultParagraphFont"/>
    <w:uiPriority w:val="21"/>
    <w:qFormat/>
    <w:rsid w:val="00452D16"/>
    <w:rPr>
      <w:i/>
      <w:iCs/>
      <w:color w:val="0F4761" w:themeColor="accent1" w:themeShade="BF"/>
    </w:rPr>
  </w:style>
  <w:style w:type="paragraph" w:styleId="IntenseQuote">
    <w:name w:val="Intense Quote"/>
    <w:basedOn w:val="Normal"/>
    <w:next w:val="Normal"/>
    <w:link w:val="IntenseQuoteChar"/>
    <w:uiPriority w:val="30"/>
    <w:qFormat/>
    <w:rsid w:val="00452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D16"/>
    <w:rPr>
      <w:i/>
      <w:iCs/>
      <w:color w:val="0F4761" w:themeColor="accent1" w:themeShade="BF"/>
    </w:rPr>
  </w:style>
  <w:style w:type="character" w:styleId="IntenseReference">
    <w:name w:val="Intense Reference"/>
    <w:basedOn w:val="DefaultParagraphFont"/>
    <w:uiPriority w:val="32"/>
    <w:qFormat/>
    <w:rsid w:val="00452D16"/>
    <w:rPr>
      <w:b/>
      <w:bCs/>
      <w:smallCaps/>
      <w:color w:val="0F4761" w:themeColor="accent1" w:themeShade="BF"/>
      <w:spacing w:val="5"/>
    </w:rPr>
  </w:style>
  <w:style w:type="character" w:customStyle="1" w:styleId="apple-converted-space">
    <w:name w:val="apple-converted-space"/>
    <w:basedOn w:val="DefaultParagraphFont"/>
    <w:rsid w:val="00452D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461</Words>
  <Characters>2630</Characters>
  <Application>Microsoft Office Word</Application>
  <DocSecurity>0</DocSecurity>
  <Lines>21</Lines>
  <Paragraphs>6</Paragraphs>
  <ScaleCrop>false</ScaleCrop>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Ogunlesi, Frederick</dc:creator>
  <cp:keywords/>
  <dc:description/>
  <cp:lastModifiedBy>Ogunlesi, Frederick</cp:lastModifiedBy>
  <cp:revision>1</cp:revision>
  <dcterms:created xsi:type="dcterms:W3CDTF">2026-02-20T19:39:00Z</dcterms:created>
  <dcterms:modified xsi:type="dcterms:W3CDTF">2026-02-20T19:39:00Z</dcterms:modified>
</cp:coreProperties>
</file>