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2267C">
      <w:pPr>
        <w:spacing w:after="160"/>
        <w:jc w:val="center"/>
      </w:pPr>
      <w:r>
        <w:rPr>
          <w:rFonts w:ascii="黑体" w:hAnsi="黑体" w:eastAsia="黑体"/>
          <w:b/>
          <w:sz w:val="32"/>
        </w:rPr>
        <w:t>基于有限元仿真与机器学习的玉石手镯跌落开裂风险预测研究</w:t>
      </w:r>
    </w:p>
    <w:p w14:paraId="18B3687B">
      <w:pPr>
        <w:spacing w:after="0"/>
        <w:jc w:val="center"/>
      </w:pPr>
      <w:r>
        <w:rPr>
          <w:rFonts w:ascii="宋体" w:hAnsi="宋体" w:eastAsia="宋体"/>
          <w:sz w:val="18"/>
        </w:rPr>
        <w:t>刘祥泷2451824</w:t>
      </w:r>
    </w:p>
    <w:p w14:paraId="70E91997">
      <w:pPr>
        <w:spacing w:after="0"/>
        <w:jc w:val="center"/>
      </w:pPr>
      <w:r>
        <w:rPr>
          <w:rFonts w:ascii="宋体" w:hAnsi="宋体" w:eastAsia="宋体"/>
          <w:sz w:val="18"/>
        </w:rPr>
        <w:t>同济大学</w:t>
      </w:r>
    </w:p>
    <w:p w14:paraId="6A8EDF1A">
      <w:pPr>
        <w:spacing w:before="160" w:after="0" w:line="300" w:lineRule="auto"/>
      </w:pPr>
      <w:r>
        <w:rPr>
          <w:rFonts w:ascii="黑体" w:hAnsi="黑体" w:eastAsia="黑体"/>
          <w:b/>
          <w:sz w:val="18"/>
        </w:rPr>
        <w:t>摘要：</w:t>
      </w:r>
      <w:r>
        <w:rPr>
          <w:rFonts w:ascii="宋体" w:hAnsi="宋体" w:eastAsia="宋体"/>
          <w:sz w:val="18"/>
        </w:rPr>
        <w:t xml:space="preserve">玉石手镯具有典型的环形几何形态和脆性材料特征，日常佩戴、取放和运输过程中跌落冲击是导致局部崩口、裂纹和整体断裂的重要诱因。针对真实玉石断裂参数难以获得、裂纹扩展仿真建模难度较高的问题，本文以最大主应力为开裂风险评价指标，建立玉石手镯跌落冲击的 </w:t>
      </w:r>
      <m:oMath>
        <m:r>
          <m:rPr>
            <m:sty m:val="p"/>
          </m:rPr>
          <w:rPr>
            <w:rFonts w:ascii="Cambria Math" w:hAnsi="Cambria Math" w:eastAsia="宋体" w:cstheme="minorBidi"/>
            <w:sz w:val="18"/>
            <w:szCs w:val="22"/>
            <w:lang w:val="en-US" w:bidi="ar-SA"/>
          </w:rPr>
          <m:t xml:space="preserve">Abaqus/Explicit </m:t>
        </m:r>
      </m:oMath>
      <w:r>
        <w:rPr>
          <w:rFonts w:ascii="宋体" w:hAnsi="宋体" w:eastAsia="宋体"/>
          <w:sz w:val="18"/>
        </w:rPr>
        <w:t xml:space="preserve">有限元模型，并进一步构建机器学习代理模型，实现“跌落高度—跌落角度—最大主应力峰值”的快速预测。模型将手镯简化为内径 55 mm、圆形截面直径 10 mm 的三维圆环，采用线弹性材料、刚性地面、通用接触和初速度法模拟不同高度跌落。共设置 25 组工况，高度为 </w:t>
      </w:r>
      <m:oMath>
        <m:r>
          <m:rPr>
            <m:sty m:val="p"/>
          </m:rPr>
          <w:rPr>
            <w:rFonts w:ascii="Cambria Math" w:hAnsi="Cambria Math" w:eastAsia="宋体" w:cstheme="minorBidi"/>
            <w:sz w:val="18"/>
            <w:szCs w:val="22"/>
            <w:lang w:val="en-US" w:bidi="ar-SA"/>
          </w:rPr>
          <m:t>0.2−1.0 m</m:t>
        </m:r>
      </m:oMath>
      <w:r>
        <w:rPr>
          <w:rFonts w:ascii="宋体" w:hAnsi="宋体" w:eastAsia="宋体"/>
          <w:sz w:val="18"/>
        </w:rPr>
        <w:t>，跌落角度为</w:t>
      </w:r>
      <m:oMath>
        <m:r>
          <m:rPr>
            <m:sty m:val="p"/>
          </m:rPr>
          <w:rPr>
            <w:rFonts w:ascii="Cambria Math" w:hAnsi="Cambria Math" w:eastAsia="宋体" w:cstheme="minorBidi"/>
            <w:sz w:val="18"/>
            <w:szCs w:val="22"/>
            <w:lang w:val="en-US" w:bidi="ar-SA"/>
          </w:rPr>
          <m:t xml:space="preserve"> 0°−90°</m:t>
        </m:r>
      </m:oMath>
      <w:r>
        <w:rPr>
          <w:rFonts w:ascii="宋体" w:hAnsi="宋体" w:eastAsia="宋体"/>
          <w:sz w:val="18"/>
        </w:rPr>
        <w:t>，摩擦系数取</w:t>
      </w:r>
      <m:oMath>
        <m:r>
          <m:rPr>
            <m:sty m:val="p"/>
          </m:rPr>
          <w:rPr>
            <w:rFonts w:ascii="Cambria Math" w:hAnsi="Cambria Math" w:eastAsia="宋体" w:cstheme="minorBidi"/>
            <w:sz w:val="18"/>
            <w:szCs w:val="22"/>
            <w:lang w:val="en-US" w:bidi="ar-SA"/>
          </w:rPr>
          <m:t xml:space="preserve"> 0.1</m:t>
        </m:r>
      </m:oMath>
      <w:r>
        <w:rPr>
          <w:rFonts w:ascii="宋体" w:hAnsi="宋体" w:eastAsia="宋体"/>
          <w:sz w:val="18"/>
        </w:rPr>
        <w:t>。结果表明，跌落姿态对最大主应力影响显著，</w:t>
      </w:r>
      <m:oMath>
        <m:r>
          <m:rPr>
            <m:sty m:val="p"/>
          </m:rPr>
          <w:rPr>
            <w:rFonts w:ascii="Cambria Math" w:hAnsi="Cambria Math" w:eastAsia="宋体" w:cstheme="minorBidi"/>
            <w:sz w:val="18"/>
            <w:szCs w:val="22"/>
            <w:lang w:val="en-US" w:bidi="ar-SA"/>
          </w:rPr>
          <m:t>90°</m:t>
        </m:r>
      </m:oMath>
      <w:r>
        <w:rPr>
          <w:rFonts w:ascii="宋体" w:hAnsi="宋体" w:eastAsia="宋体"/>
          <w:sz w:val="18"/>
        </w:rPr>
        <w:t>竖直跌落最危险，</w:t>
      </w:r>
      <m:oMath>
        <m:r>
          <m:rPr>
            <m:sty m:val="p"/>
          </m:rPr>
          <w:rPr>
            <w:rFonts w:ascii="Cambria Math" w:hAnsi="Cambria Math" w:eastAsia="宋体" w:cstheme="minorBidi"/>
            <w:sz w:val="18"/>
            <w:szCs w:val="22"/>
            <w:lang w:val="en-US" w:bidi="ar-SA"/>
          </w:rPr>
          <m:t>1.0 m、90°</m:t>
        </m:r>
      </m:oMath>
      <w:r>
        <w:rPr>
          <w:rFonts w:ascii="宋体" w:hAnsi="宋体" w:eastAsia="宋体"/>
          <w:sz w:val="18"/>
        </w:rPr>
        <w:t>工况最大主应力达到</w:t>
      </w:r>
      <m:oMath>
        <m:r>
          <m:rPr>
            <m:sty m:val="p"/>
          </m:rPr>
          <w:rPr>
            <w:rFonts w:hint="default" w:ascii="Cambria Math" w:hAnsi="Cambria Math" w:eastAsia="宋体"/>
            <w:sz w:val="18"/>
          </w:rPr>
          <m:t>519.33MPa</m:t>
        </m:r>
      </m:oMath>
      <w:r>
        <w:rPr>
          <w:rFonts w:ascii="宋体" w:hAnsi="宋体" w:eastAsia="宋体"/>
          <w:sz w:val="18"/>
        </w:rPr>
        <w:t>；平躺跌落整体风险最低。机器学习部分比较随机森林、极端随机树、梯度提升和支持向量回归模型，极端随机树在留一交叉验证中取得最优结果，</w:t>
      </w:r>
      <m:oMath>
        <m:r>
          <m:rPr>
            <m:sty m:val="p"/>
          </m:rPr>
          <w:rPr>
            <w:rFonts w:ascii="Cambria Math" w:hAnsi="Cambria Math" w:eastAsia="宋体" w:cstheme="minorBidi"/>
            <w:sz w:val="18"/>
            <w:szCs w:val="22"/>
            <w:lang w:val="en-US" w:bidi="ar-SA"/>
          </w:rPr>
          <m:t xml:space="preserve">R² </m:t>
        </m:r>
      </m:oMath>
      <w:r>
        <w:rPr>
          <w:rFonts w:ascii="宋体" w:hAnsi="宋体" w:eastAsia="宋体"/>
          <w:sz w:val="18"/>
        </w:rPr>
        <w:t>为</w:t>
      </w:r>
      <m:oMath>
        <m:r>
          <m:rPr>
            <m:sty m:val="p"/>
          </m:rPr>
          <w:rPr>
            <w:rFonts w:ascii="Cambria Math" w:hAnsi="Cambria Math" w:eastAsia="宋体" w:cstheme="minorBidi"/>
            <w:sz w:val="18"/>
            <w:szCs w:val="22"/>
            <w:lang w:val="en-US" w:bidi="ar-SA"/>
          </w:rPr>
          <m:t xml:space="preserve"> 0.893，RMSE </m:t>
        </m:r>
      </m:oMath>
      <w:r>
        <w:rPr>
          <w:rFonts w:ascii="宋体" w:hAnsi="宋体" w:eastAsia="宋体"/>
          <w:sz w:val="18"/>
        </w:rPr>
        <w:t>为</w:t>
      </w:r>
      <m:oMath>
        <m:r>
          <m:rPr>
            <m:sty m:val="p"/>
          </m:rPr>
          <w:rPr>
            <w:rFonts w:hint="default" w:ascii="Cambria Math" w:hAnsi="Cambria Math" w:eastAsia="宋体"/>
            <w:sz w:val="18"/>
          </w:rPr>
          <m:t>41.46MPa</m:t>
        </m:r>
      </m:oMath>
      <w:r>
        <w:rPr>
          <w:rFonts w:ascii="宋体" w:hAnsi="宋体" w:eastAsia="宋体"/>
          <w:sz w:val="18"/>
        </w:rPr>
        <w:t>。研究表明，有限元仿真与机器学习代理模型结合可用于玉石手镯跌落风险的快速评估，为玉石产品结构安全、佩戴防护和数字化设计提供参考。</w:t>
      </w:r>
    </w:p>
    <w:p w14:paraId="3214F83D">
      <w:pPr>
        <w:spacing w:before="0" w:after="0" w:line="300" w:lineRule="auto"/>
      </w:pPr>
      <w:r>
        <w:rPr>
          <w:rFonts w:ascii="黑体" w:hAnsi="黑体" w:eastAsia="黑体"/>
          <w:b/>
          <w:sz w:val="18"/>
        </w:rPr>
        <w:t>关键词：</w:t>
      </w:r>
      <w:r>
        <w:rPr>
          <w:rFonts w:ascii="宋体" w:hAnsi="宋体" w:eastAsia="宋体"/>
          <w:sz w:val="18"/>
        </w:rPr>
        <w:t>和田玉；跌落冲击；</w:t>
      </w:r>
      <m:oMath>
        <m:r>
          <m:rPr>
            <m:sty m:val="p"/>
          </m:rPr>
          <w:rPr>
            <w:rFonts w:ascii="Cambria Math" w:hAnsi="Cambria Math" w:eastAsia="宋体" w:cstheme="minorBidi"/>
            <w:sz w:val="18"/>
            <w:szCs w:val="22"/>
            <w:lang w:val="en-US" w:bidi="ar-SA"/>
          </w:rPr>
          <m:t>Abaqus/Explicit</m:t>
        </m:r>
      </m:oMath>
      <w:r>
        <w:rPr>
          <w:rFonts w:ascii="宋体" w:hAnsi="宋体" w:eastAsia="宋体"/>
          <w:sz w:val="18"/>
        </w:rPr>
        <w:t>；机器学习代理模型</w:t>
      </w:r>
    </w:p>
    <w:p w14:paraId="01ABF538">
      <w:pPr>
        <w:spacing w:before="120" w:after="80" w:line="300" w:lineRule="auto"/>
        <w:jc w:val="left"/>
      </w:pPr>
      <w:r>
        <w:rPr>
          <w:rFonts w:ascii="黑体" w:hAnsi="黑体" w:eastAsia="黑体"/>
          <w:b/>
          <w:sz w:val="28"/>
        </w:rPr>
        <w:t>1 引言</w:t>
      </w:r>
    </w:p>
    <w:p w14:paraId="24E12108">
      <w:pPr>
        <w:spacing w:before="0" w:after="0" w:line="300" w:lineRule="auto"/>
        <w:ind w:firstLine="420"/>
        <w:jc w:val="both"/>
        <w:rPr>
          <w:rFonts w:hint="eastAsia" w:ascii="宋体" w:hAnsi="宋体" w:eastAsia="宋体"/>
          <w:sz w:val="21"/>
          <w:lang w:val="en-US" w:eastAsia="zh-CN"/>
        </w:rPr>
      </w:pPr>
      <w:r>
        <w:rPr>
          <w:rFonts w:hint="eastAsia" w:ascii="宋体" w:hAnsi="宋体" w:eastAsia="宋体"/>
          <w:sz w:val="21"/>
        </w:rPr>
        <w:t>玉器在中国传统文化中具有重要地位，不仅作为装饰器物存在，也长期承载着礼制象征、审美观念和人格寄托等文化内涵。手镯作为玉饰中最常见的器形之一，具有闭合环状结构，其截面尺寸相对较小，内外缘曲率较大，在日常佩戴、取放和运输过程中容易受到跌落冲击作用。玉石</w:t>
      </w:r>
      <w:r>
        <w:rPr>
          <w:rFonts w:hint="eastAsia"/>
          <w:sz w:val="21"/>
          <w:lang w:val="en-US" w:eastAsia="zh-CN"/>
        </w:rPr>
        <w:t>工匠</w:t>
      </w:r>
      <w:r>
        <w:rPr>
          <w:rFonts w:hint="eastAsia" w:ascii="宋体" w:hAnsi="宋体" w:eastAsia="宋体"/>
          <w:sz w:val="21"/>
        </w:rPr>
        <w:t>能够从“玉性”“韧性”“绺裂”等角度对玉石质量和破坏风险进行定性判断，但对于</w:t>
      </w:r>
      <w:r>
        <w:rPr>
          <w:rFonts w:hint="eastAsia"/>
          <w:sz w:val="21"/>
          <w:lang w:val="en-US" w:eastAsia="zh-CN"/>
        </w:rPr>
        <w:t>碰撞</w:t>
      </w:r>
      <w:r>
        <w:rPr>
          <w:rFonts w:hint="eastAsia" w:ascii="宋体" w:hAnsi="宋体" w:eastAsia="宋体"/>
          <w:sz w:val="21"/>
        </w:rPr>
        <w:t>过程中应力如何分布</w:t>
      </w:r>
      <w:r>
        <w:rPr>
          <w:rFonts w:hint="eastAsia"/>
          <w:sz w:val="21"/>
          <w:lang w:val="en-US" w:eastAsia="zh-CN"/>
        </w:rPr>
        <w:t>、</w:t>
      </w:r>
      <w:r>
        <w:rPr>
          <w:rFonts w:hint="eastAsia" w:ascii="宋体" w:hAnsi="宋体" w:eastAsia="宋体"/>
          <w:sz w:val="21"/>
        </w:rPr>
        <w:t>危险区域究竟位于接触点附近还是对侧内缘等问题难以给出定量解释。</w:t>
      </w:r>
    </w:p>
    <w:p w14:paraId="5C9DADAD">
      <w:pPr>
        <w:spacing w:before="0" w:after="0" w:line="300" w:lineRule="auto"/>
        <w:ind w:firstLine="420"/>
        <w:jc w:val="both"/>
        <w:rPr>
          <w:rFonts w:hint="eastAsia" w:ascii="宋体" w:hAnsi="宋体" w:eastAsia="宋体"/>
          <w:sz w:val="21"/>
        </w:rPr>
      </w:pPr>
      <w:r>
        <w:rPr>
          <w:rFonts w:hint="eastAsia" w:ascii="宋体" w:hAnsi="宋体" w:eastAsia="宋体"/>
          <w:sz w:val="21"/>
        </w:rPr>
        <w:t>若完全依赖真实跌落实验研究玉石手镯的损伤规律，也存在较多现实困难。首先，天然玉石手镯本身具有较高经济价值，进行重复破坏性跌落实验成本较大；其次，玉石属于天然非均质材料，不同样品在矿物组成、内部绺裂、色线、加工残余损伤和微缺陷方面存在明显差异，即使几何尺寸相近，其实际抗冲击性能也可能不同；再次，真实跌落实验中手镯的初始姿态、接触位置、碰撞角度和瞬时接触状态难以严格控制，实验重复性较差，单次实验结果容易受到偶然因素影响。因此，有必要借助数值仿真方法，在几何、材料和边界条件相对可控的条件下，对不同跌落高度和跌落姿态下的力学响应进行参数化分析，从而揭示手镯跌落开裂风险的变化规律。</w:t>
      </w:r>
    </w:p>
    <w:p w14:paraId="58077787">
      <w:pPr>
        <w:spacing w:before="0" w:after="0" w:line="300" w:lineRule="auto"/>
        <w:ind w:firstLine="420"/>
        <w:jc w:val="both"/>
        <w:rPr>
          <w:rFonts w:hint="eastAsia" w:ascii="宋体" w:hAnsi="宋体" w:eastAsia="宋体"/>
          <w:sz w:val="21"/>
        </w:rPr>
      </w:pPr>
      <w:r>
        <w:rPr>
          <w:rFonts w:hint="eastAsia" w:ascii="宋体" w:hAnsi="宋体" w:eastAsia="宋体"/>
          <w:sz w:val="21"/>
        </w:rPr>
        <w:t>从力学角度看，玉石可近似视为脆性或准脆性材料，其抗压能力通常明显高于抗拉能力，局部拉应力集中更容易诱发裂纹萌生和扩展。若要直接模拟真实裂纹的产生、扩展和贯通，需要获得断裂韧度、损伤起始准则、损伤演化参数、初始缺陷分布以及真实矿物织构等材料信息。然而，对于天然玉石而言，这些参数不仅难以准确测定，而且具有较强离散性。</w:t>
      </w:r>
      <w:r>
        <w:rPr>
          <w:rFonts w:hint="eastAsia"/>
          <w:sz w:val="21"/>
          <w:lang w:val="en-US" w:eastAsia="zh-CN"/>
        </w:rPr>
        <w:t>受限于</w:t>
      </w:r>
      <w:r>
        <w:rPr>
          <w:rFonts w:hint="eastAsia" w:ascii="宋体" w:hAnsi="宋体" w:eastAsia="宋体"/>
          <w:sz w:val="21"/>
        </w:rPr>
        <w:t>课程研究条件下，直接开展完整断裂扩展仿真难度较高，也容易引入较多不确定因素。基于此，本文不以真实裂纹扩展过程为直接模拟目标，而是选取最大主应力峰值作为潜在开裂风险的评价指标。该方法虽然不能直接给出裂纹扩展路径，但能够在不引入复杂断裂参数的情况下，对不同跌落工况下手镯的相对危险程度进行</w:t>
      </w:r>
      <w:r>
        <w:rPr>
          <w:rFonts w:hint="eastAsia"/>
          <w:sz w:val="21"/>
          <w:lang w:val="en-US" w:eastAsia="zh-CN"/>
        </w:rPr>
        <w:t>初步</w:t>
      </w:r>
      <w:r>
        <w:rPr>
          <w:rFonts w:hint="eastAsia" w:ascii="宋体" w:hAnsi="宋体" w:eastAsia="宋体"/>
          <w:sz w:val="21"/>
        </w:rPr>
        <w:t>比较。</w:t>
      </w:r>
    </w:p>
    <w:p w14:paraId="114D1C01">
      <w:pPr>
        <w:spacing w:before="0" w:after="0" w:line="300" w:lineRule="auto"/>
        <w:ind w:firstLine="420"/>
        <w:jc w:val="both"/>
        <w:rPr>
          <w:rFonts w:hint="eastAsia" w:ascii="宋体" w:hAnsi="宋体" w:eastAsia="宋体"/>
          <w:sz w:val="21"/>
        </w:rPr>
      </w:pPr>
    </w:p>
    <w:p w14:paraId="64DA3C22">
      <w:pPr>
        <w:spacing w:before="0" w:after="0" w:line="300" w:lineRule="auto"/>
        <w:ind w:firstLine="420"/>
        <w:jc w:val="both"/>
        <w:rPr>
          <w:rFonts w:hint="eastAsia" w:ascii="宋体" w:hAnsi="宋体" w:eastAsia="宋体"/>
          <w:sz w:val="21"/>
        </w:rPr>
      </w:pPr>
      <w:r>
        <w:rPr>
          <w:rFonts w:hint="eastAsia" w:ascii="宋体" w:hAnsi="宋体" w:eastAsia="宋体"/>
          <w:sz w:val="21"/>
        </w:rPr>
        <w:t>有限元方法能够较好处理手镯这类复杂曲面结构的接触冲击问题，尤其适用于包含大变形趋势、瞬态动力学响应和非线性接触过程的跌落分析。通过 Abaqus 显式动力学计算，可以获得不同跌落高度和落地姿态下的最大主应力、位移、接触响应和能量变化等结果。然而，当跌落高度、姿态角度、摩擦条件和材料参数不断变化时，逐一建立和运行有限元模型会带来较大的计算成本。近年来，机器学习代理模型被广泛用于有限元数据的快速预测和参数敏感性分析，其基本思想是利用有限数量的高可信仿真结果，学习输入参数与响应指标之间的非线性映射关系</w:t>
      </w:r>
      <w:r>
        <w:rPr>
          <w:rFonts w:hint="eastAsia"/>
          <w:sz w:val="21"/>
          <w:vertAlign w:val="superscript"/>
          <w:lang w:val="en-US" w:eastAsia="zh-CN"/>
        </w:rPr>
        <w:t>[11]</w:t>
      </w:r>
      <w:r>
        <w:rPr>
          <w:rFonts w:hint="eastAsia" w:ascii="宋体" w:hAnsi="宋体" w:eastAsia="宋体"/>
          <w:sz w:val="21"/>
        </w:rPr>
        <w:t>。基于此，本文将 Abaqus 显式动力学仿真与机器学习回归模型相结合，形成“有限元仿真生成数据—机器学习提取规律—AI 快速预测风险”的研究流程，以期为玉石手镯跌落损伤评估、日常佩戴防护和运输保护提供定量参考。</w:t>
      </w:r>
    </w:p>
    <w:p w14:paraId="03C84CA1">
      <w:pPr>
        <w:spacing w:before="120" w:after="80" w:line="300" w:lineRule="auto"/>
        <w:jc w:val="left"/>
      </w:pPr>
      <w:r>
        <w:rPr>
          <w:rFonts w:ascii="黑体" w:hAnsi="黑体" w:eastAsia="黑体"/>
          <w:b/>
          <w:sz w:val="28"/>
        </w:rPr>
        <w:t>2 和田玉材料属性与跌落力学基础</w:t>
      </w:r>
    </w:p>
    <w:p w14:paraId="77C1F045">
      <w:pPr>
        <w:spacing w:before="120" w:after="80" w:line="300" w:lineRule="auto"/>
        <w:jc w:val="left"/>
      </w:pPr>
      <w:r>
        <w:rPr>
          <w:rFonts w:ascii="黑体" w:hAnsi="黑体" w:eastAsia="黑体"/>
          <w:b/>
          <w:sz w:val="21"/>
        </w:rPr>
        <w:t>2.1 和田玉的材料特征</w:t>
      </w:r>
    </w:p>
    <w:p w14:paraId="2B7BD447">
      <w:pPr>
        <w:spacing w:before="0" w:after="0" w:line="300" w:lineRule="auto"/>
        <w:ind w:firstLine="420"/>
        <w:jc w:val="both"/>
        <w:rPr>
          <w:rFonts w:hint="eastAsia" w:ascii="宋体" w:hAnsi="宋体" w:eastAsia="宋体"/>
          <w:sz w:val="21"/>
        </w:rPr>
      </w:pPr>
      <w:r>
        <w:rPr>
          <w:rFonts w:hint="eastAsia" w:ascii="宋体" w:hAnsi="宋体" w:eastAsia="宋体"/>
          <w:sz w:val="21"/>
        </w:rPr>
        <w:t>和田玉通常归入软玉范畴。矿物学上，软玉不是单晶矿物，而是一种以透闪石—阳起石系列矿物为主的细密纤维状岩石集合体，其理想</w:t>
      </w:r>
      <w:bookmarkStart w:id="0" w:name="_GoBack"/>
      <w:bookmarkEnd w:id="0"/>
      <w:r>
        <w:rPr>
          <w:rFonts w:hint="eastAsia" w:ascii="宋体" w:hAnsi="宋体" w:eastAsia="宋体"/>
          <w:sz w:val="21"/>
        </w:rPr>
        <w:t>化学组成可表示为</w:t>
      </w:r>
      <m:oMath>
        <m:r>
          <m:rPr/>
          <w:rPr>
            <w:rFonts w:hint="default" w:ascii="Cambria Math" w:hAnsi="Cambria Math" w:eastAsia="宋体"/>
            <w:sz w:val="21"/>
          </w:rPr>
          <m:t>Ca₂(Mg,Fe)₅Si₈O₂₂(OH)₂</m:t>
        </m:r>
      </m:oMath>
      <w:r>
        <w:rPr>
          <w:rFonts w:hint="eastAsia" w:ascii="宋体" w:hAnsi="宋体" w:eastAsia="宋体"/>
          <w:sz w:val="21"/>
        </w:rPr>
        <w:t>。LMHC 对玉石及相关材料的说明中也指出，软玉主要由致密交织的微晶—隐晶级透闪石—阳起石系列纤维组成</w:t>
      </w:r>
      <w:r>
        <w:rPr>
          <w:rFonts w:hint="eastAsia" w:ascii="宋体" w:hAnsi="宋体" w:eastAsia="宋体"/>
          <w:sz w:val="21"/>
          <w:vertAlign w:val="superscript"/>
        </w:rPr>
        <w:t>[15]</w:t>
      </w:r>
      <w:r>
        <w:rPr>
          <w:rFonts w:hint="eastAsia" w:ascii="宋体" w:hAnsi="宋体" w:eastAsia="宋体"/>
          <w:sz w:val="21"/>
        </w:rPr>
        <w:t>。文献指出，软玉的交织纤维结构是其高韧性的来源之一，这也是其能够长期用于礼器、饰品和雕刻材料的重要原因</w:t>
      </w:r>
      <w:r>
        <w:rPr>
          <w:rFonts w:hint="eastAsia" w:ascii="宋体" w:hAnsi="宋体" w:eastAsia="宋体"/>
          <w:sz w:val="21"/>
          <w:vertAlign w:val="superscript"/>
        </w:rPr>
        <w:t>[1-3]</w:t>
      </w:r>
      <w:r>
        <w:rPr>
          <w:rFonts w:hint="eastAsia" w:ascii="宋体" w:hAnsi="宋体" w:eastAsia="宋体"/>
          <w:sz w:val="21"/>
        </w:rPr>
        <w:t>。</w:t>
      </w:r>
    </w:p>
    <w:p w14:paraId="6FD7B150">
      <w:pPr>
        <w:spacing w:before="0" w:after="0" w:line="300" w:lineRule="auto"/>
        <w:ind w:firstLine="420"/>
        <w:jc w:val="both"/>
        <w:rPr>
          <w:rFonts w:hint="eastAsia" w:ascii="宋体" w:hAnsi="宋体" w:eastAsia="宋体"/>
          <w:sz w:val="21"/>
        </w:rPr>
      </w:pPr>
      <w:r>
        <w:rPr>
          <w:rFonts w:hint="eastAsia" w:ascii="宋体" w:hAnsi="宋体" w:eastAsia="宋体"/>
          <w:sz w:val="21"/>
        </w:rPr>
        <w:t>同时，软玉仍具有天然材料的非均质性，其微观结构与成因、变形织构和矿物交代过程有关，不同样品在纤维排列、矿物组合和局部缺陷方面可能存在差异</w:t>
      </w:r>
      <w:r>
        <w:rPr>
          <w:rFonts w:hint="eastAsia" w:ascii="宋体" w:hAnsi="宋体" w:eastAsia="宋体"/>
          <w:sz w:val="21"/>
          <w:vertAlign w:val="superscript"/>
        </w:rPr>
        <w:t>[16]</w:t>
      </w:r>
      <w:r>
        <w:rPr>
          <w:rFonts w:hint="eastAsia" w:ascii="宋体" w:hAnsi="宋体" w:eastAsia="宋体"/>
          <w:sz w:val="21"/>
        </w:rPr>
        <w:t>。因此，在工程仿真中使用均质各向同性线弹性模型是一种必要简化，所得结果更适合解释相对趋势，而不宜直接等同于真实断裂强度。</w:t>
      </w:r>
    </w:p>
    <w:p w14:paraId="17FC16B9">
      <w:pPr>
        <w:spacing w:before="0" w:after="0" w:line="300" w:lineRule="auto"/>
        <w:ind w:firstLine="420"/>
        <w:jc w:val="both"/>
      </w:pPr>
      <w:r>
        <w:rPr>
          <w:rFonts w:hint="eastAsia" w:ascii="宋体" w:hAnsi="宋体" w:eastAsia="宋体"/>
          <w:sz w:val="21"/>
        </w:rPr>
        <w:t>本文参考软玉常见物性范围，将手镯材料取为线弹性玉石：弹性模量</w:t>
      </w:r>
      <m:oMath>
        <m:r>
          <m:rPr/>
          <w:rPr>
            <w:rFonts w:hint="default" w:ascii="Cambria Math" w:hAnsi="Cambria Math" w:eastAsia="宋体"/>
            <w:sz w:val="21"/>
          </w:rPr>
          <m:t>E=60000MPa</m:t>
        </m:r>
      </m:oMath>
      <w:r>
        <w:rPr>
          <w:rFonts w:hint="eastAsia" w:ascii="宋体" w:hAnsi="宋体" w:eastAsia="宋体"/>
          <w:sz w:val="21"/>
        </w:rPr>
        <w:t xml:space="preserve">，泊松比 </w:t>
      </w:r>
      <m:oMath>
        <m:r>
          <m:rPr/>
          <w:rPr>
            <w:rFonts w:hint="default" w:ascii="Cambria Math" w:hAnsi="Cambria Math" w:eastAsia="宋体"/>
            <w:sz w:val="21"/>
          </w:rPr>
          <m:t>ν=0.25</m:t>
        </m:r>
      </m:oMath>
      <w:r>
        <w:rPr>
          <w:rFonts w:hint="eastAsia" w:ascii="宋体" w:hAnsi="宋体" w:eastAsia="宋体"/>
          <w:sz w:val="21"/>
        </w:rPr>
        <w:t>，密度</w:t>
      </w:r>
      <m:oMath>
        <m:r>
          <m:rPr/>
          <w:rPr>
            <w:rFonts w:hint="default" w:ascii="Cambria Math" w:hAnsi="Cambria Math" w:eastAsia="宋体"/>
            <w:sz w:val="21"/>
          </w:rPr>
          <m:t>ρ=2.8×10⁻⁹</m:t>
        </m:r>
        <m:r>
          <m:rPr/>
          <w:rPr>
            <w:rFonts w:hint="default" w:ascii="Cambria Math" w:hAnsi="Cambria Math"/>
            <w:sz w:val="21"/>
            <w:lang w:val="en-US" w:eastAsia="zh-CN"/>
          </w:rPr>
          <m:t xml:space="preserve"> kg</m:t>
        </m:r>
        <m:r>
          <m:rPr/>
          <w:rPr>
            <w:rFonts w:hint="default" w:ascii="Cambria Math" w:hAnsi="Cambria Math" w:eastAsia="宋体"/>
            <w:sz w:val="21"/>
          </w:rPr>
          <m:t>/mm³</m:t>
        </m:r>
      </m:oMath>
      <w:r>
        <w:rPr>
          <w:rFonts w:hint="eastAsia" w:ascii="宋体" w:hAnsi="宋体" w:eastAsia="宋体"/>
          <w:sz w:val="21"/>
        </w:rPr>
        <w:t>。该密度约对应</w:t>
      </w:r>
      <m:oMath>
        <m:r>
          <m:rPr/>
          <w:rPr>
            <w:rFonts w:hint="default" w:ascii="Cambria Math" w:hAnsi="Cambria Math" w:eastAsia="宋体"/>
            <w:sz w:val="21"/>
          </w:rPr>
          <m:t>2.8g/cm³</m:t>
        </m:r>
      </m:oMath>
      <w:r>
        <w:rPr>
          <w:rFonts w:hint="eastAsia" w:ascii="宋体" w:hAnsi="宋体" w:eastAsia="宋体"/>
          <w:sz w:val="21"/>
        </w:rPr>
        <w:t>，略低于软玉常见的</w:t>
      </w:r>
      <m:oMath>
        <m:r>
          <m:rPr/>
          <w:rPr>
            <w:rFonts w:hint="default" w:ascii="Cambria Math" w:hAnsi="Cambria Math" w:eastAsia="宋体"/>
            <w:sz w:val="21"/>
          </w:rPr>
          <m:t>2.90—3.10g/cm³</m:t>
        </m:r>
      </m:oMath>
      <w:r>
        <w:rPr>
          <w:rFonts w:hint="eastAsia" w:ascii="宋体" w:hAnsi="宋体" w:eastAsia="宋体"/>
          <w:sz w:val="21"/>
        </w:rPr>
        <w:t>密度范围</w:t>
      </w:r>
      <w:r>
        <w:rPr>
          <w:rFonts w:hint="eastAsia" w:ascii="宋体" w:hAnsi="宋体" w:eastAsia="宋体"/>
          <w:sz w:val="21"/>
          <w:vertAlign w:val="superscript"/>
        </w:rPr>
        <w:t>[17]</w:t>
      </w:r>
      <w:r>
        <w:rPr>
          <w:rFonts w:hint="eastAsia" w:ascii="宋体" w:hAnsi="宋体" w:eastAsia="宋体"/>
          <w:sz w:val="21"/>
        </w:rPr>
        <w:t>，但仍可作为课程仿真中的代表性参数。考虑到天然玉石真实密度、裂隙和矿物组成存在差异，本文结果主要用于工况间相对风险比较。</w:t>
      </w:r>
      <w:r>
        <w:rPr>
          <w:rFonts w:ascii="宋体" w:hAnsi="宋体" w:eastAsia="宋体"/>
          <w:sz w:val="21"/>
        </w:rPr>
        <w:t>由于不同产地、结构和缺陷状态下的抗拉强度差异较大，本文取参考抗拉强度</w:t>
      </w:r>
      <m:oMath>
        <m:r>
          <m:rPr/>
          <w:rPr>
            <w:rFonts w:hint="default" w:ascii="Cambria Math" w:hAnsi="Cambria Math" w:eastAsia="宋体"/>
            <w:sz w:val="21"/>
          </w:rPr>
          <m:t>σₜ=30MPa</m:t>
        </m:r>
      </m:oMath>
      <w:r>
        <w:rPr>
          <w:rFonts w:ascii="宋体" w:hAnsi="宋体" w:eastAsia="宋体"/>
          <w:sz w:val="21"/>
        </w:rPr>
        <w:t>，仅用于定义相对风险指标。</w:t>
      </w:r>
    </w:p>
    <w:p w14:paraId="08B43485">
      <w:pPr>
        <w:spacing w:before="40" w:after="120"/>
        <w:jc w:val="center"/>
      </w:pPr>
      <w:r>
        <w:rPr>
          <w:rFonts w:ascii="宋体" w:hAnsi="宋体" w:eastAsia="宋体"/>
          <w:sz w:val="18"/>
        </w:rPr>
        <w:t>表 1  玉石手镯有限元模型主要参数</w:t>
      </w:r>
    </w:p>
    <w:tbl>
      <w:tblPr>
        <w:tblStyle w:val="33"/>
        <w:tblW w:w="9448" w:type="dxa"/>
        <w:jc w:val="center"/>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Layout w:type="autofit"/>
        <w:tblCellMar>
          <w:top w:w="0" w:type="dxa"/>
          <w:left w:w="108" w:type="dxa"/>
          <w:bottom w:w="0" w:type="dxa"/>
          <w:right w:w="108" w:type="dxa"/>
        </w:tblCellMar>
      </w:tblPr>
      <w:tblGrid>
        <w:gridCol w:w="2981"/>
        <w:gridCol w:w="1796"/>
        <w:gridCol w:w="1987"/>
        <w:gridCol w:w="2684"/>
      </w:tblGrid>
      <w:tr w14:paraId="626E6794">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84FFE8A">
            <w:pPr>
              <w:snapToGrid w:val="0"/>
              <w:spacing w:line="240" w:lineRule="auto"/>
              <w:ind w:left="0" w:leftChars="0" w:right="0" w:rightChars="0" w:firstLine="0" w:firstLineChars="0"/>
              <w:jc w:val="center"/>
              <w:rPr>
                <w:rFonts w:ascii="宋体" w:eastAsia="宋体"/>
                <w:b/>
                <w:sz w:val="18"/>
              </w:rPr>
            </w:pPr>
            <w:r>
              <w:rPr>
                <w:rFonts w:ascii="宋体" w:hAnsi="宋体" w:eastAsia="宋体"/>
                <w:b/>
                <w:sz w:val="18"/>
              </w:rPr>
              <w:t>参数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4CA67EF">
            <w:pPr>
              <w:snapToGrid w:val="0"/>
              <w:spacing w:line="240" w:lineRule="auto"/>
              <w:ind w:left="0" w:leftChars="0" w:right="0" w:rightChars="0" w:firstLine="0" w:firstLineChars="0"/>
              <w:jc w:val="center"/>
              <w:rPr>
                <w:rFonts w:ascii="宋体" w:eastAsia="宋体"/>
                <w:b/>
                <w:sz w:val="18"/>
              </w:rPr>
            </w:pPr>
            <w:r>
              <w:rPr>
                <w:rFonts w:ascii="宋体" w:hAnsi="宋体" w:eastAsia="宋体"/>
                <w:b/>
                <w:sz w:val="18"/>
              </w:rPr>
              <w:t>取值</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F41FFCF">
            <w:pPr>
              <w:snapToGrid w:val="0"/>
              <w:spacing w:line="240" w:lineRule="auto"/>
              <w:ind w:left="0" w:leftChars="0" w:right="0" w:rightChars="0" w:firstLine="0" w:firstLineChars="0"/>
              <w:jc w:val="center"/>
              <w:rPr>
                <w:rFonts w:ascii="宋体" w:eastAsia="宋体"/>
                <w:b/>
                <w:sz w:val="18"/>
              </w:rPr>
            </w:pPr>
            <w:r>
              <w:rPr>
                <w:rFonts w:ascii="宋体" w:hAnsi="宋体" w:eastAsia="宋体"/>
                <w:b/>
                <w:sz w:val="18"/>
              </w:rPr>
              <w:t>单位</w:t>
            </w:r>
          </w:p>
        </w:tc>
        <w:tc>
          <w:tcPr>
            <w:tcW w:w="2684" w:type="dxa"/>
            <w:tcBorders>
              <w:top w:val="single" w:color="auto" w:sz="12" w:space="0"/>
              <w:left w:val="nil"/>
              <w:bottom w:val="nil"/>
              <w:right w:val="nil"/>
            </w:tcBorders>
            <w:noWrap w:val="0"/>
            <w:tcMar>
              <w:top w:w="-1" w:type="dxa"/>
              <w:left w:w="-1" w:type="dxa"/>
              <w:bottom w:w="-1" w:type="dxa"/>
              <w:right w:w="-1" w:type="dxa"/>
            </w:tcMar>
            <w:vAlign w:val="center"/>
          </w:tcPr>
          <w:p w14:paraId="57264878">
            <w:pPr>
              <w:snapToGrid w:val="0"/>
              <w:spacing w:line="240" w:lineRule="auto"/>
              <w:ind w:left="0" w:leftChars="0" w:right="0" w:rightChars="0" w:firstLine="0" w:firstLineChars="0"/>
              <w:jc w:val="center"/>
              <w:rPr>
                <w:rFonts w:ascii="宋体" w:eastAsia="宋体"/>
                <w:b/>
                <w:sz w:val="18"/>
              </w:rPr>
            </w:pPr>
            <w:r>
              <w:rPr>
                <w:rFonts w:ascii="宋体" w:hAnsi="宋体" w:eastAsia="宋体"/>
                <w:b/>
                <w:sz w:val="18"/>
              </w:rPr>
              <w:t>说明</w:t>
            </w:r>
          </w:p>
        </w:tc>
      </w:tr>
      <w:tr w14:paraId="0C86F807">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E930717">
            <w:pPr>
              <w:snapToGrid w:val="0"/>
              <w:spacing w:line="240" w:lineRule="auto"/>
              <w:ind w:left="0" w:leftChars="0" w:right="0" w:rightChars="0" w:firstLine="0" w:firstLineChars="0"/>
              <w:jc w:val="center"/>
              <w:rPr>
                <w:rFonts w:hint="eastAsia" w:ascii="宋体" w:eastAsia="宋体"/>
                <w:sz w:val="18"/>
                <w:lang w:val="en-US" w:eastAsia="zh-CN"/>
              </w:rPr>
            </w:pPr>
            <w:r>
              <w:rPr>
                <w:rFonts w:ascii="宋体" w:hAnsi="宋体" w:eastAsia="宋体"/>
                <w:b w:val="0"/>
                <w:sz w:val="18"/>
              </w:rPr>
              <w:t xml:space="preserve">内径 </w:t>
            </w:r>
            <m:oMath>
              <m:sSub>
                <m:sSubPr>
                  <m:ctrlPr>
                    <w:rPr>
                      <w:rFonts w:hint="default" w:ascii="Cambria Math" w:hAnsi="Cambria Math" w:eastAsia="宋体"/>
                      <w:sz w:val="18"/>
                    </w:rPr>
                  </m:ctrlPr>
                </m:sSubPr>
                <m:e>
                  <m:r>
                    <m:rPr/>
                    <w:rPr>
                      <w:rFonts w:hint="default" w:ascii="Cambria Math" w:hAnsi="Cambria Math" w:eastAsia="宋体"/>
                      <w:sz w:val="18"/>
                    </w:rPr>
                    <m:t>D</m:t>
                  </m:r>
                  <m:ctrlPr>
                    <w:rPr>
                      <w:rFonts w:ascii="Cambria Math" w:hAnsi="Cambria Math" w:eastAsia="宋体"/>
                      <w:sz w:val="18"/>
                    </w:rPr>
                  </m:ctrlPr>
                </m:e>
                <m:sub>
                  <m:r>
                    <m:rPr/>
                    <w:rPr>
                      <w:rFonts w:hint="default" w:ascii="Cambria Math" w:hAnsi="Cambria Math" w:eastAsia="宋体"/>
                      <w:sz w:val="18"/>
                    </w:rPr>
                    <m:t>inner</m:t>
                  </m:r>
                  <m:ctrlPr>
                    <w:rPr>
                      <w:rFonts w:ascii="Cambria Math" w:hAnsi="Cambria Math" w:eastAsia="宋体"/>
                      <w:sz w:val="18"/>
                    </w:rPr>
                  </m:ctrlPr>
                </m:sub>
              </m:sSub>
            </m:oMath>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CE37828">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55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C4B65E8">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mm</w:t>
            </w:r>
          </w:p>
        </w:tc>
        <w:tc>
          <w:tcPr>
            <w:tcW w:w="2684" w:type="dxa"/>
            <w:tcBorders>
              <w:top w:val="single" w:color="auto" w:sz="4" w:space="0"/>
              <w:left w:val="nil"/>
              <w:bottom w:val="nil"/>
              <w:right w:val="nil"/>
            </w:tcBorders>
            <w:noWrap w:val="0"/>
            <w:tcMar>
              <w:top w:w="-1" w:type="dxa"/>
              <w:left w:w="-1" w:type="dxa"/>
              <w:bottom w:w="-1" w:type="dxa"/>
              <w:right w:w="-1" w:type="dxa"/>
            </w:tcMar>
            <w:vAlign w:val="center"/>
          </w:tcPr>
          <w:p w14:paraId="0CA3057E">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手镯内孔直径</w:t>
            </w:r>
          </w:p>
        </w:tc>
      </w:tr>
      <w:tr w14:paraId="0506C247">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AC31325">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圆环截面直径</w:t>
            </w:r>
            <m:oMath>
              <m:r>
                <m:rPr/>
                <w:rPr>
                  <w:rFonts w:hint="default" w:ascii="Cambria Math" w:hAnsi="Cambria Math" w:eastAsia="宋体"/>
                  <w:sz w:val="18"/>
                </w:rPr>
                <m:t>d</m:t>
              </m:r>
            </m:oMath>
          </w:p>
        </w:tc>
        <w:tc>
          <w:tcPr>
            <w:tcW w:w="0" w:type="auto"/>
            <w:tcBorders>
              <w:top w:val="nil"/>
              <w:left w:val="nil"/>
              <w:bottom w:val="nil"/>
              <w:right w:val="nil"/>
            </w:tcBorders>
            <w:noWrap w:val="0"/>
            <w:tcMar>
              <w:top w:w="-1" w:type="dxa"/>
              <w:left w:w="-1" w:type="dxa"/>
              <w:bottom w:w="-1" w:type="dxa"/>
              <w:right w:w="-1" w:type="dxa"/>
            </w:tcMar>
            <w:vAlign w:val="center"/>
          </w:tcPr>
          <w:p w14:paraId="70EFF27E">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10</w:t>
            </w:r>
          </w:p>
        </w:tc>
        <w:tc>
          <w:tcPr>
            <w:tcW w:w="0" w:type="auto"/>
            <w:tcBorders>
              <w:top w:val="nil"/>
              <w:left w:val="nil"/>
              <w:bottom w:val="nil"/>
              <w:right w:val="nil"/>
            </w:tcBorders>
            <w:noWrap w:val="0"/>
            <w:tcMar>
              <w:top w:w="-1" w:type="dxa"/>
              <w:left w:w="-1" w:type="dxa"/>
              <w:bottom w:w="-1" w:type="dxa"/>
              <w:right w:w="-1" w:type="dxa"/>
            </w:tcMar>
            <w:vAlign w:val="center"/>
          </w:tcPr>
          <w:p w14:paraId="2CFBDF27">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mm</w:t>
            </w:r>
          </w:p>
        </w:tc>
        <w:tc>
          <w:tcPr>
            <w:tcW w:w="2684" w:type="dxa"/>
            <w:tcBorders>
              <w:top w:val="nil"/>
              <w:left w:val="nil"/>
              <w:bottom w:val="nil"/>
              <w:right w:val="nil"/>
            </w:tcBorders>
            <w:noWrap w:val="0"/>
            <w:tcMar>
              <w:top w:w="-1" w:type="dxa"/>
              <w:left w:w="-1" w:type="dxa"/>
              <w:bottom w:w="-1" w:type="dxa"/>
              <w:right w:w="-1" w:type="dxa"/>
            </w:tcMar>
            <w:vAlign w:val="center"/>
          </w:tcPr>
          <w:p w14:paraId="05BD99A0">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圆形截面简化</w:t>
            </w:r>
          </w:p>
        </w:tc>
      </w:tr>
      <w:tr w14:paraId="534F7180">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2F23365">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弹性模量</w:t>
            </w:r>
            <m:oMath>
              <m:r>
                <m:rPr/>
                <w:rPr>
                  <w:rFonts w:hint="default" w:ascii="Cambria Math" w:hAnsi="Cambria Math" w:eastAsia="宋体"/>
                  <w:sz w:val="18"/>
                </w:rPr>
                <m:t>E</m:t>
              </m:r>
            </m:oMath>
          </w:p>
        </w:tc>
        <w:tc>
          <w:tcPr>
            <w:tcW w:w="0" w:type="auto"/>
            <w:tcBorders>
              <w:top w:val="nil"/>
              <w:left w:val="nil"/>
              <w:bottom w:val="nil"/>
              <w:right w:val="nil"/>
            </w:tcBorders>
            <w:noWrap w:val="0"/>
            <w:tcMar>
              <w:top w:w="-1" w:type="dxa"/>
              <w:left w:w="-1" w:type="dxa"/>
              <w:bottom w:w="-1" w:type="dxa"/>
              <w:right w:w="-1" w:type="dxa"/>
            </w:tcMar>
            <w:vAlign w:val="center"/>
          </w:tcPr>
          <w:p w14:paraId="7FEA6796">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60000</w:t>
            </w:r>
          </w:p>
        </w:tc>
        <w:tc>
          <w:tcPr>
            <w:tcW w:w="1987" w:type="dxa"/>
            <w:tcBorders>
              <w:top w:val="nil"/>
              <w:left w:val="nil"/>
              <w:bottom w:val="nil"/>
              <w:right w:val="nil"/>
            </w:tcBorders>
            <w:noWrap w:val="0"/>
            <w:tcMar>
              <w:top w:w="-1" w:type="dxa"/>
              <w:left w:w="-1" w:type="dxa"/>
              <w:bottom w:w="-1" w:type="dxa"/>
              <w:right w:w="-1" w:type="dxa"/>
            </w:tcMar>
            <w:vAlign w:val="center"/>
          </w:tcPr>
          <w:p w14:paraId="7E0D8FB1">
            <w:pPr>
              <w:snapToGrid w:val="0"/>
              <w:spacing w:line="240" w:lineRule="auto"/>
              <w:ind w:left="0" w:leftChars="0" w:right="0" w:rightChars="0" w:firstLine="0" w:firstLineChars="0"/>
              <w:jc w:val="center"/>
              <w:rPr>
                <w:rFonts w:ascii="宋体" w:eastAsia="宋体"/>
                <w:sz w:val="18"/>
              </w:rPr>
            </w:pPr>
            <m:oMathPara>
              <m:oMath>
                <m:r>
                  <m:rPr>
                    <m:sty m:val="p"/>
                  </m:rPr>
                  <w:rPr>
                    <w:rFonts w:ascii="Cambria Math" w:hAnsi="Cambria Math" w:eastAsia="宋体" w:cstheme="minorBidi"/>
                    <w:sz w:val="18"/>
                    <w:szCs w:val="22"/>
                    <w:lang w:val="en-US" w:bidi="ar-SA"/>
                  </w:rPr>
                  <m:t>MPa</m:t>
                </m:r>
              </m:oMath>
            </m:oMathPara>
          </w:p>
        </w:tc>
        <w:tc>
          <w:tcPr>
            <w:tcW w:w="2684" w:type="dxa"/>
            <w:tcBorders>
              <w:top w:val="nil"/>
              <w:left w:val="nil"/>
              <w:bottom w:val="nil"/>
              <w:right w:val="nil"/>
            </w:tcBorders>
            <w:noWrap w:val="0"/>
            <w:tcMar>
              <w:top w:w="-1" w:type="dxa"/>
              <w:left w:w="-1" w:type="dxa"/>
              <w:bottom w:w="-1" w:type="dxa"/>
              <w:right w:w="-1" w:type="dxa"/>
            </w:tcMar>
            <w:vAlign w:val="center"/>
          </w:tcPr>
          <w:p w14:paraId="5AC3A928">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线弹性近似</w:t>
            </w:r>
          </w:p>
        </w:tc>
      </w:tr>
      <w:tr w14:paraId="1F26683A">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CC3525">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泊松比</w:t>
            </w:r>
            <m:oMath>
              <m:r>
                <m:rPr/>
                <w:rPr>
                  <w:rFonts w:hint="default" w:ascii="Cambria Math" w:hAnsi="Cambria Math" w:eastAsia="宋体"/>
                  <w:sz w:val="18"/>
                </w:rPr>
                <m:t>ν</m:t>
              </m:r>
            </m:oMath>
          </w:p>
        </w:tc>
        <w:tc>
          <w:tcPr>
            <w:tcW w:w="0" w:type="auto"/>
            <w:tcBorders>
              <w:top w:val="nil"/>
              <w:left w:val="nil"/>
              <w:bottom w:val="nil"/>
              <w:right w:val="nil"/>
            </w:tcBorders>
            <w:noWrap w:val="0"/>
            <w:tcMar>
              <w:top w:w="-1" w:type="dxa"/>
              <w:left w:w="-1" w:type="dxa"/>
              <w:bottom w:w="-1" w:type="dxa"/>
              <w:right w:w="-1" w:type="dxa"/>
            </w:tcMar>
            <w:vAlign w:val="center"/>
          </w:tcPr>
          <w:p w14:paraId="0B203A63">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0.25</w:t>
            </w:r>
          </w:p>
        </w:tc>
        <w:tc>
          <w:tcPr>
            <w:tcW w:w="0" w:type="auto"/>
            <w:tcBorders>
              <w:top w:val="nil"/>
              <w:left w:val="nil"/>
              <w:bottom w:val="nil"/>
              <w:right w:val="nil"/>
            </w:tcBorders>
            <w:noWrap w:val="0"/>
            <w:tcMar>
              <w:top w:w="-1" w:type="dxa"/>
              <w:left w:w="-1" w:type="dxa"/>
              <w:bottom w:w="-1" w:type="dxa"/>
              <w:right w:w="-1" w:type="dxa"/>
            </w:tcMar>
            <w:vAlign w:val="center"/>
          </w:tcPr>
          <w:p w14:paraId="083AD49B">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w:t>
            </w:r>
          </w:p>
        </w:tc>
        <w:tc>
          <w:tcPr>
            <w:tcW w:w="2684" w:type="dxa"/>
            <w:tcBorders>
              <w:top w:val="nil"/>
              <w:left w:val="nil"/>
              <w:bottom w:val="nil"/>
              <w:right w:val="nil"/>
            </w:tcBorders>
            <w:noWrap w:val="0"/>
            <w:tcMar>
              <w:top w:w="-1" w:type="dxa"/>
              <w:left w:w="-1" w:type="dxa"/>
              <w:bottom w:w="-1" w:type="dxa"/>
              <w:right w:w="-1" w:type="dxa"/>
            </w:tcMar>
            <w:vAlign w:val="center"/>
          </w:tcPr>
          <w:p w14:paraId="50B74D41">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各向同性近似</w:t>
            </w:r>
          </w:p>
        </w:tc>
      </w:tr>
      <w:tr w14:paraId="498C8BA2">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E69962C">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密度</w:t>
            </w:r>
            <m:oMath>
              <m:r>
                <m:rPr/>
                <w:rPr>
                  <w:rFonts w:hint="default" w:ascii="Cambria Math" w:hAnsi="Cambria Math" w:eastAsia="宋体"/>
                  <w:sz w:val="18"/>
                </w:rPr>
                <m:t>ρ</m:t>
              </m:r>
            </m:oMath>
          </w:p>
        </w:tc>
        <w:tc>
          <w:tcPr>
            <w:tcW w:w="0" w:type="auto"/>
            <w:tcBorders>
              <w:top w:val="nil"/>
              <w:left w:val="nil"/>
              <w:bottom w:val="nil"/>
              <w:right w:val="nil"/>
            </w:tcBorders>
            <w:noWrap w:val="0"/>
            <w:tcMar>
              <w:top w:w="-1" w:type="dxa"/>
              <w:left w:w="-1" w:type="dxa"/>
              <w:bottom w:w="-1" w:type="dxa"/>
              <w:right w:w="-1" w:type="dxa"/>
            </w:tcMar>
            <w:vAlign w:val="center"/>
          </w:tcPr>
          <w:p w14:paraId="3E99C318">
            <w:pPr>
              <w:snapToGrid w:val="0"/>
              <w:spacing w:line="240" w:lineRule="auto"/>
              <w:ind w:left="0" w:leftChars="0" w:right="0" w:rightChars="0" w:firstLine="0" w:firstLineChars="0"/>
              <w:jc w:val="center"/>
              <w:rPr>
                <w:rFonts w:ascii="宋体" w:eastAsia="宋体"/>
                <w:sz w:val="18"/>
              </w:rPr>
            </w:pPr>
            <m:oMathPara>
              <m:oMath>
                <m:r>
                  <m:rPr/>
                  <w:rPr>
                    <w:rFonts w:hint="default" w:ascii="Cambria Math" w:hAnsi="Cambria Math" w:eastAsia="宋体"/>
                    <w:sz w:val="18"/>
                  </w:rPr>
                  <m:t>2.8×10⁻⁹</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69EBC641">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tonne/mm³</w:t>
            </w:r>
          </w:p>
        </w:tc>
        <w:tc>
          <w:tcPr>
            <w:tcW w:w="2684" w:type="dxa"/>
            <w:tcBorders>
              <w:top w:val="nil"/>
              <w:left w:val="nil"/>
              <w:bottom w:val="nil"/>
              <w:right w:val="nil"/>
            </w:tcBorders>
            <w:noWrap w:val="0"/>
            <w:tcMar>
              <w:top w:w="-1" w:type="dxa"/>
              <w:left w:w="-1" w:type="dxa"/>
              <w:bottom w:w="-1" w:type="dxa"/>
              <w:right w:w="-1" w:type="dxa"/>
            </w:tcMar>
            <w:vAlign w:val="center"/>
          </w:tcPr>
          <w:p w14:paraId="5ABD7D0C">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约 2800 kg/m³</w:t>
            </w:r>
          </w:p>
        </w:tc>
      </w:tr>
      <w:tr w14:paraId="5D917159">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2981" w:type="dxa"/>
            <w:tcBorders>
              <w:top w:val="nil"/>
              <w:left w:val="nil"/>
              <w:bottom w:val="single" w:color="auto" w:sz="12" w:space="0"/>
              <w:right w:val="nil"/>
            </w:tcBorders>
            <w:noWrap w:val="0"/>
            <w:tcMar>
              <w:top w:w="-1" w:type="dxa"/>
              <w:left w:w="-1" w:type="dxa"/>
              <w:bottom w:w="-1" w:type="dxa"/>
              <w:right w:w="-1" w:type="dxa"/>
            </w:tcMar>
            <w:vAlign w:val="center"/>
          </w:tcPr>
          <w:p w14:paraId="68AE7BA9">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 xml:space="preserve">参考抗拉强度 </w:t>
            </w:r>
            <m:oMath>
              <m:r>
                <m:rPr/>
                <w:rPr>
                  <w:rFonts w:hint="default" w:ascii="Cambria Math" w:hAnsi="Cambria Math" w:eastAsia="宋体"/>
                  <w:sz w:val="18"/>
                </w:rPr>
                <m:t>σₜ</m:t>
              </m:r>
            </m:oMath>
          </w:p>
        </w:tc>
        <w:tc>
          <w:tcPr>
            <w:tcW w:w="1796" w:type="dxa"/>
            <w:tcBorders>
              <w:top w:val="nil"/>
              <w:left w:val="nil"/>
              <w:bottom w:val="single" w:color="auto" w:sz="12" w:space="0"/>
              <w:right w:val="nil"/>
            </w:tcBorders>
            <w:noWrap w:val="0"/>
            <w:tcMar>
              <w:top w:w="-1" w:type="dxa"/>
              <w:left w:w="-1" w:type="dxa"/>
              <w:bottom w:w="-1" w:type="dxa"/>
              <w:right w:w="-1" w:type="dxa"/>
            </w:tcMar>
            <w:vAlign w:val="center"/>
          </w:tcPr>
          <w:p w14:paraId="08659F16">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30</w:t>
            </w:r>
          </w:p>
        </w:tc>
        <w:tc>
          <w:tcPr>
            <w:tcW w:w="1987" w:type="dxa"/>
            <w:tcBorders>
              <w:top w:val="nil"/>
              <w:left w:val="nil"/>
              <w:bottom w:val="single" w:color="auto" w:sz="12" w:space="0"/>
              <w:right w:val="nil"/>
            </w:tcBorders>
            <w:noWrap w:val="0"/>
            <w:tcMar>
              <w:top w:w="-1" w:type="dxa"/>
              <w:left w:w="-1" w:type="dxa"/>
              <w:bottom w:w="-1" w:type="dxa"/>
              <w:right w:w="-1" w:type="dxa"/>
            </w:tcMar>
            <w:vAlign w:val="center"/>
          </w:tcPr>
          <w:p w14:paraId="50948F8C">
            <w:pPr>
              <w:snapToGrid w:val="0"/>
              <w:spacing w:line="240" w:lineRule="auto"/>
              <w:ind w:left="0" w:leftChars="0" w:right="0" w:rightChars="0" w:firstLine="0" w:firstLineChars="0"/>
              <w:jc w:val="center"/>
              <w:rPr>
                <w:rFonts w:ascii="宋体" w:eastAsia="宋体"/>
                <w:sz w:val="18"/>
              </w:rPr>
            </w:pPr>
            <m:oMathPara>
              <m:oMath>
                <m:r>
                  <m:rPr>
                    <m:sty m:val="p"/>
                  </m:rPr>
                  <w:rPr>
                    <w:rFonts w:ascii="Cambria Math" w:hAnsi="Cambria Math" w:eastAsia="宋体" w:cstheme="minorBidi"/>
                    <w:sz w:val="18"/>
                    <w:szCs w:val="22"/>
                    <w:lang w:val="en-US" w:bidi="ar-SA"/>
                  </w:rPr>
                  <m:t>MPa</m:t>
                </m:r>
              </m:oMath>
            </m:oMathPara>
          </w:p>
        </w:tc>
        <w:tc>
          <w:tcPr>
            <w:tcW w:w="2684" w:type="dxa"/>
            <w:tcBorders>
              <w:top w:val="nil"/>
              <w:left w:val="nil"/>
              <w:bottom w:val="single" w:color="auto" w:sz="12" w:space="0"/>
              <w:right w:val="nil"/>
            </w:tcBorders>
            <w:noWrap w:val="0"/>
            <w:tcMar>
              <w:top w:w="-1" w:type="dxa"/>
              <w:left w:w="-1" w:type="dxa"/>
              <w:bottom w:w="-1" w:type="dxa"/>
              <w:right w:w="-1" w:type="dxa"/>
            </w:tcMar>
            <w:vAlign w:val="center"/>
          </w:tcPr>
          <w:p w14:paraId="580A864A">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用于风险评价</w:t>
            </w:r>
          </w:p>
        </w:tc>
      </w:tr>
    </w:tbl>
    <w:p w14:paraId="469548B1"/>
    <w:p w14:paraId="120DC7C2">
      <w:pPr>
        <w:spacing w:before="120" w:after="80" w:line="300" w:lineRule="auto"/>
        <w:jc w:val="left"/>
      </w:pPr>
      <w:r>
        <w:rPr>
          <w:rFonts w:ascii="黑体" w:hAnsi="黑体" w:eastAsia="黑体"/>
          <w:b/>
          <w:sz w:val="21"/>
        </w:rPr>
        <w:t>2.2 跌落冲击控制方程与风险指标</w:t>
      </w:r>
    </w:p>
    <w:p w14:paraId="1947C094">
      <w:pPr>
        <w:spacing w:before="0" w:after="0" w:line="300" w:lineRule="auto"/>
        <w:ind w:firstLine="420"/>
        <w:jc w:val="both"/>
      </w:pPr>
      <w:r>
        <w:rPr>
          <w:rFonts w:ascii="宋体" w:hAnsi="宋体" w:eastAsia="宋体"/>
          <w:sz w:val="21"/>
        </w:rPr>
        <w:t>跌落过程属于瞬态接触动力学问题。采用初速度法时，不必在模型中真实模拟从高处自由落体的全过程，而是根据能量守恒将跌落高度 h 转换为撞击前初速度 v₀：</w:t>
      </w:r>
    </w:p>
    <w:p w14:paraId="58EE92E5">
      <w:pPr>
        <w:spacing w:before="40" w:after="40"/>
        <w:jc w:val="center"/>
      </w:pPr>
      <m:oMath>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o</m:t>
            </m:r>
            <m:ctrlPr>
              <w:rPr>
                <w:rFonts w:ascii="Cambria Math" w:hAnsi="Cambria Math"/>
                <w:sz w:val="21"/>
              </w:rPr>
            </m:ctrlPr>
          </m:sub>
        </m:sSub>
        <m:r>
          <m:rPr/>
          <w:rPr>
            <w:rFonts w:hint="default" w:ascii="Cambria Math" w:hAnsi="Cambria Math"/>
            <w:sz w:val="21"/>
          </w:rPr>
          <m:t>=</m:t>
        </m:r>
        <m:rad>
          <m:radPr>
            <m:degHide m:val="1"/>
            <m:ctrlPr>
              <w:rPr>
                <w:rFonts w:hint="default" w:ascii="Cambria Math" w:hAnsi="Cambria Math"/>
                <w:sz w:val="21"/>
              </w:rPr>
            </m:ctrlPr>
          </m:radPr>
          <m:deg>
            <m:ctrlPr>
              <w:rPr>
                <w:rFonts w:ascii="Cambria Math" w:hAnsi="Cambria Math"/>
                <w:sz w:val="21"/>
              </w:rPr>
            </m:ctrlPr>
          </m:deg>
          <m:e>
            <m:r>
              <m:rPr/>
              <w:rPr>
                <w:rFonts w:hint="default" w:ascii="Cambria Math" w:hAnsi="Cambria Math"/>
                <w:sz w:val="21"/>
              </w:rPr>
              <m:t>(2gh)</m:t>
            </m:r>
            <m:ctrlPr>
              <w:rPr>
                <w:rFonts w:ascii="Cambria Math" w:hAnsi="Cambria Math"/>
                <w:sz w:val="21"/>
              </w:rPr>
            </m:ctrlPr>
          </m:e>
        </m:rad>
      </m:oMath>
      <w:r>
        <w:rPr>
          <w:rFonts w:ascii="Times New Roman" w:hAnsi="Times New Roman" w:eastAsia="宋体"/>
          <w:sz w:val="21"/>
        </w:rPr>
        <w:t>（1）</w:t>
      </w:r>
    </w:p>
    <w:p w14:paraId="15D2F52A">
      <w:pPr>
        <w:spacing w:before="0" w:after="0" w:line="300" w:lineRule="auto"/>
        <w:ind w:firstLine="420"/>
        <w:jc w:val="both"/>
      </w:pPr>
      <w:r>
        <w:rPr>
          <w:rFonts w:ascii="宋体" w:hAnsi="宋体" w:eastAsia="宋体"/>
          <w:sz w:val="21"/>
        </w:rPr>
        <w:t>其中 g = 9800 mm/s²，h 以 mm 计。显式动力学求解中，结构运动满足动量平衡关系：</w:t>
      </w:r>
    </w:p>
    <w:p w14:paraId="72765332">
      <w:pPr>
        <w:spacing w:before="40" w:after="40"/>
        <w:jc w:val="center"/>
      </w:pPr>
      <w:r>
        <w:rPr>
          <w:rFonts w:ascii="Times New Roman" w:hAnsi="Times New Roman" w:eastAsia="宋体"/>
          <w:sz w:val="21"/>
        </w:rPr>
        <w:t xml:space="preserve">ρ ü = ∇·σ + </w:t>
      </w:r>
      <m:oMath>
        <m:r>
          <m:rPr>
            <m:sty m:val="p"/>
          </m:rPr>
          <w:rPr>
            <w:rFonts w:ascii="Cambria Math" w:hAnsi="Cambria Math" w:eastAsia="宋体" w:cstheme="minorBidi"/>
            <w:sz w:val="21"/>
            <w:szCs w:val="22"/>
            <w:lang w:val="en-US" w:bidi="ar-SA"/>
          </w:rPr>
          <m:t xml:space="preserve">ρb  </m:t>
        </m:r>
      </m:oMath>
      <w:r>
        <w:rPr>
          <w:rFonts w:ascii="Times New Roman" w:hAnsi="Times New Roman" w:eastAsia="宋体"/>
          <w:sz w:val="21"/>
        </w:rPr>
        <w:t xml:space="preserve">   （2）</w:t>
      </w:r>
    </w:p>
    <w:p w14:paraId="05A88C84">
      <w:pPr>
        <w:spacing w:before="0" w:after="0" w:line="300" w:lineRule="auto"/>
        <w:ind w:firstLine="420"/>
        <w:jc w:val="both"/>
      </w:pPr>
      <w:r>
        <w:rPr>
          <w:rFonts w:ascii="宋体" w:hAnsi="宋体" w:eastAsia="宋体"/>
          <w:sz w:val="21"/>
        </w:rPr>
        <w:t>对于小变形线弹性近似，应力与应变满足：</w:t>
      </w:r>
    </w:p>
    <w:p w14:paraId="4DD922C1">
      <w:pPr>
        <w:spacing w:before="40" w:after="40"/>
        <w:jc w:val="center"/>
      </w:pPr>
      <m:oMath>
        <m:r>
          <m:rPr/>
          <w:rPr>
            <w:rFonts w:hint="default" w:ascii="Cambria Math" w:hAnsi="Cambria Math" w:eastAsia="宋体"/>
            <w:sz w:val="21"/>
          </w:rPr>
          <m:t>σ=Dε</m:t>
        </m:r>
      </m:oMath>
      <w:r>
        <w:rPr>
          <w:rFonts w:ascii="Times New Roman" w:hAnsi="Times New Roman" w:eastAsia="宋体"/>
          <w:sz w:val="21"/>
        </w:rPr>
        <w:t xml:space="preserve">，    </w:t>
      </w:r>
      <m:oMath>
        <m:r>
          <m:rPr/>
          <w:rPr>
            <w:rFonts w:hint="default" w:ascii="Cambria Math" w:hAnsi="Cambria Math" w:eastAsia="宋体"/>
            <w:sz w:val="21"/>
          </w:rPr>
          <m:t>ε=</m:t>
        </m:r>
        <m:f>
          <m:fPr>
            <m:ctrlPr>
              <w:rPr>
                <w:rFonts w:hint="default" w:ascii="Cambria Math" w:hAnsi="Cambria Math" w:eastAsia="宋体"/>
                <w:sz w:val="21"/>
              </w:rPr>
            </m:ctrlPr>
          </m:fPr>
          <m:num>
            <m:r>
              <m:rPr/>
              <w:rPr>
                <w:rFonts w:hint="default" w:ascii="Cambria Math" w:hAnsi="Cambria Math" w:eastAsia="宋体"/>
                <w:sz w:val="21"/>
              </w:rPr>
              <m:t>1</m:t>
            </m:r>
            <m:ctrlPr>
              <w:rPr>
                <w:rFonts w:ascii="Cambria Math" w:hAnsi="Cambria Math" w:eastAsia="宋体"/>
                <w:sz w:val="21"/>
              </w:rPr>
            </m:ctrlPr>
          </m:num>
          <m:den>
            <m:r>
              <m:rPr/>
              <w:rPr>
                <w:rFonts w:hint="default" w:ascii="Cambria Math" w:hAnsi="Cambria Math" w:eastAsia="宋体"/>
                <w:sz w:val="21"/>
              </w:rPr>
              <m:t>2</m:t>
            </m:r>
            <m:ctrlPr>
              <w:rPr>
                <w:rFonts w:ascii="Cambria Math" w:hAnsi="Cambria Math" w:eastAsia="宋体"/>
                <w:sz w:val="21"/>
              </w:rPr>
            </m:ctrlPr>
          </m:den>
        </m:f>
        <m:r>
          <m:rPr/>
          <w:rPr>
            <w:rFonts w:hint="default" w:ascii="Cambria Math" w:hAnsi="Cambria Math" w:eastAsia="宋体"/>
            <w:sz w:val="21"/>
          </w:rPr>
          <m:t>(∇u+∇uᵀ</m:t>
        </m:r>
        <m:r>
          <m:rPr/>
          <w:rPr>
            <w:rFonts w:hint="default" w:ascii="Cambria Math" w:hAnsi="Cambria Math"/>
            <w:sz w:val="21"/>
            <w:lang w:val="en-US" w:eastAsia="zh-CN"/>
          </w:rPr>
          <m:t xml:space="preserve"> </m:t>
        </m:r>
        <m:r>
          <m:rPr/>
          <w:rPr>
            <w:rFonts w:hint="default" w:ascii="Cambria Math" w:hAnsi="Cambria Math" w:eastAsia="宋体"/>
            <w:sz w:val="21"/>
          </w:rPr>
          <m:t>)</m:t>
        </m:r>
      </m:oMath>
      <w:r>
        <w:rPr>
          <w:rFonts w:ascii="Times New Roman" w:hAnsi="Times New Roman" w:eastAsia="宋体"/>
          <w:sz w:val="21"/>
        </w:rPr>
        <w:t xml:space="preserve">    （3）</w:t>
      </w:r>
    </w:p>
    <w:p w14:paraId="6F952781">
      <w:pPr>
        <w:spacing w:before="0" w:after="0" w:line="300" w:lineRule="auto"/>
        <w:ind w:firstLine="420"/>
        <w:jc w:val="both"/>
      </w:pPr>
      <w:r>
        <w:rPr>
          <w:rFonts w:ascii="宋体" w:hAnsi="宋体" w:eastAsia="宋体"/>
          <w:sz w:val="21"/>
        </w:rPr>
        <w:t>玉石类脆性材料在拉应力作用下更易开裂，因此本文选择最大主应力</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1,max</m:t>
            </m:r>
            <m:ctrlPr>
              <w:rPr>
                <w:rFonts w:ascii="Cambria Math" w:hAnsi="Cambria Math" w:eastAsia="宋体"/>
                <w:sz w:val="21"/>
              </w:rPr>
            </m:ctrlPr>
          </m:sub>
        </m:sSub>
      </m:oMath>
      <w:r>
        <w:rPr>
          <w:rFonts w:ascii="宋体" w:hAnsi="宋体" w:eastAsia="宋体"/>
          <w:sz w:val="21"/>
        </w:rPr>
        <w:t xml:space="preserve"> 作为主要评价量。定义开裂风险系数：</w:t>
      </w:r>
    </w:p>
    <w:p w14:paraId="35927F69">
      <w:pPr>
        <w:spacing w:before="40" w:after="40"/>
        <w:jc w:val="center"/>
      </w:pPr>
      <m:oMath>
        <m:r>
          <m:rPr/>
          <w:rPr>
            <w:rFonts w:hint="default" w:ascii="Cambria Math" w:hAnsi="Cambria Math" w:eastAsia="宋体"/>
            <w:sz w:val="21"/>
          </w:rPr>
          <m:t>Rₜ=</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1,max</m:t>
                </m:r>
                <m:ctrlPr>
                  <w:rPr>
                    <w:rFonts w:ascii="Cambria Math" w:hAnsi="Cambria Math" w:eastAsia="宋体"/>
                    <w:sz w:val="21"/>
                  </w:rPr>
                </m:ctrlPr>
              </m:sub>
            </m:sSub>
            <m:ctrlPr>
              <w:rPr>
                <w:rFonts w:hint="default" w:ascii="Cambria Math" w:hAnsi="Cambria Math" w:eastAsia="宋体"/>
                <w:sz w:val="21"/>
              </w:rPr>
            </m:ctrlPr>
          </m:num>
          <m:den>
            <m:r>
              <m:rPr/>
              <w:rPr>
                <w:rFonts w:hint="default" w:ascii="Cambria Math" w:hAnsi="Cambria Math" w:eastAsia="宋体"/>
                <w:sz w:val="21"/>
              </w:rPr>
              <m:t>σₜ</m:t>
            </m:r>
            <m:ctrlPr>
              <w:rPr>
                <w:rFonts w:hint="default" w:ascii="Cambria Math" w:hAnsi="Cambria Math" w:eastAsia="宋体"/>
                <w:sz w:val="21"/>
              </w:rPr>
            </m:ctrlPr>
          </m:den>
        </m:f>
      </m:oMath>
      <w:r>
        <w:rPr>
          <w:rFonts w:ascii="Times New Roman" w:hAnsi="Times New Roman" w:eastAsia="宋体"/>
          <w:sz w:val="21"/>
        </w:rPr>
        <w:t xml:space="preserve">   （4）</w:t>
      </w:r>
    </w:p>
    <w:p w14:paraId="1A15CD81">
      <w:pPr>
        <w:spacing w:before="0" w:after="0" w:line="300" w:lineRule="auto"/>
        <w:ind w:firstLine="420"/>
        <w:jc w:val="both"/>
      </w:pPr>
      <w:r>
        <w:rPr>
          <w:rFonts w:ascii="宋体" w:hAnsi="宋体" w:eastAsia="宋体"/>
          <w:sz w:val="21"/>
        </w:rPr>
        <w:t xml:space="preserve">当 </w:t>
      </w:r>
      <m:oMath>
        <m:r>
          <m:rPr/>
          <w:rPr>
            <w:rFonts w:hint="default" w:ascii="Cambria Math" w:hAnsi="Cambria Math" w:eastAsia="宋体"/>
            <w:sz w:val="21"/>
          </w:rPr>
          <m:t>Rₜ&lt;0.5</m:t>
        </m:r>
      </m:oMath>
      <w:r>
        <w:rPr>
          <w:rFonts w:ascii="宋体" w:hAnsi="宋体" w:eastAsia="宋体"/>
          <w:sz w:val="21"/>
        </w:rPr>
        <w:t>时定义为低风险，</w:t>
      </w:r>
      <m:oMath>
        <m:r>
          <m:rPr/>
          <w:rPr>
            <w:rFonts w:hint="default" w:ascii="Cambria Math" w:hAnsi="Cambria Math" w:eastAsia="宋体"/>
            <w:sz w:val="21"/>
          </w:rPr>
          <m:t>0.5≤Rₜ&lt;1.0</m:t>
        </m:r>
      </m:oMath>
      <w:r>
        <w:rPr>
          <w:rFonts w:ascii="宋体" w:hAnsi="宋体" w:eastAsia="宋体"/>
          <w:sz w:val="21"/>
        </w:rPr>
        <w:t>为中风险，</w:t>
      </w:r>
      <m:oMath>
        <m:r>
          <m:rPr/>
          <w:rPr>
            <w:rFonts w:hint="default" w:ascii="Cambria Math" w:hAnsi="Cambria Math" w:eastAsia="宋体"/>
            <w:sz w:val="21"/>
          </w:rPr>
          <m:t>Rₜ≥1.0</m:t>
        </m:r>
      </m:oMath>
      <w:r>
        <w:rPr>
          <w:rFonts w:ascii="宋体" w:hAnsi="宋体" w:eastAsia="宋体"/>
          <w:sz w:val="21"/>
        </w:rPr>
        <w:t>为高风险。需要指出的是，该判据用于比较不同工况的相对危险性，而不是宣称模型已经真实预测裂纹扩展。</w:t>
      </w:r>
    </w:p>
    <w:p w14:paraId="5CA30FA0">
      <w:pPr>
        <w:spacing w:before="120" w:after="80" w:line="300" w:lineRule="auto"/>
        <w:jc w:val="left"/>
      </w:pPr>
      <w:r>
        <w:rPr>
          <w:rFonts w:ascii="黑体" w:hAnsi="黑体" w:eastAsia="黑体"/>
          <w:b/>
          <w:sz w:val="28"/>
        </w:rPr>
        <w:t>3 Abaqus 显式动力学模型与自动化实现</w:t>
      </w:r>
    </w:p>
    <w:p w14:paraId="5B99A254">
      <w:pPr>
        <w:spacing w:before="120" w:after="80" w:line="300" w:lineRule="auto"/>
        <w:jc w:val="left"/>
      </w:pPr>
      <w:r>
        <w:rPr>
          <w:rFonts w:ascii="黑体" w:hAnsi="黑体" w:eastAsia="黑体"/>
          <w:b/>
          <w:sz w:val="21"/>
        </w:rPr>
        <w:t>3.1 几何、装配与工况设计</w:t>
      </w:r>
    </w:p>
    <w:p w14:paraId="00D870AA">
      <w:pPr>
        <w:spacing w:before="0" w:after="0" w:line="300" w:lineRule="auto"/>
        <w:ind w:firstLine="420"/>
        <w:jc w:val="both"/>
      </w:pPr>
      <w:r>
        <w:rPr>
          <w:rFonts w:ascii="宋体" w:hAnsi="宋体" w:eastAsia="宋体"/>
          <w:sz w:val="21"/>
        </w:rPr>
        <w:t>为突出跌落姿态和高度对冲击响应的影响，本文将手镯简化为规则圆环实体，内径 55 mm，圆形截面直径 10 mm。地面设为离散刚体平面，手镯为可变形体。装配时先绕固定轴旋转手镯以获得不同跌落姿态，再根据圆环几何公式自动平移手镯，使最低点始终位于地面上方 0.1 mm，避免初始过闭合造成非物理接触力。设圆环中心线半径为</w:t>
      </w:r>
      <m:oMath>
        <m:r>
          <m:rPr>
            <m:sty m:val="p"/>
          </m:rPr>
          <w:rPr>
            <w:rFonts w:ascii="Cambria Math" w:hAnsi="Cambria Math" w:eastAsia="宋体" w:cstheme="minorBidi"/>
            <w:sz w:val="21"/>
            <w:szCs w:val="22"/>
            <w:lang w:val="en-US" w:bidi="ar-SA"/>
          </w:rPr>
          <m:t>R</m:t>
        </m:r>
      </m:oMath>
      <w:r>
        <w:rPr>
          <w:rFonts w:ascii="宋体" w:hAnsi="宋体" w:eastAsia="宋体"/>
          <w:sz w:val="21"/>
        </w:rPr>
        <w:t>，截面半径为</w:t>
      </w:r>
      <m:oMath>
        <m:r>
          <m:rPr>
            <m:sty m:val="p"/>
          </m:rPr>
          <w:rPr>
            <w:rFonts w:ascii="Cambria Math" w:hAnsi="Cambria Math" w:eastAsia="宋体" w:cstheme="minorBidi"/>
            <w:sz w:val="21"/>
            <w:szCs w:val="22"/>
            <w:lang w:val="en-US" w:bidi="ar-SA"/>
          </w:rPr>
          <m:t>r</m:t>
        </m:r>
      </m:oMath>
      <w:r>
        <w:rPr>
          <w:rFonts w:ascii="宋体" w:hAnsi="宋体" w:eastAsia="宋体"/>
          <w:sz w:val="21"/>
        </w:rPr>
        <w:t>，倾角为</w:t>
      </w:r>
      <m:oMath>
        <m:r>
          <m:rPr>
            <m:sty m:val="p"/>
          </m:rPr>
          <w:rPr>
            <w:rFonts w:ascii="Cambria Math" w:hAnsi="Cambria Math" w:eastAsia="宋体" w:cstheme="minorBidi"/>
            <w:sz w:val="21"/>
            <w:szCs w:val="22"/>
            <w:lang w:val="en-US" w:bidi="ar-SA"/>
          </w:rPr>
          <m:t>θ</m:t>
        </m:r>
      </m:oMath>
      <w:r>
        <w:rPr>
          <w:rFonts w:ascii="宋体" w:hAnsi="宋体" w:eastAsia="宋体"/>
          <w:sz w:val="21"/>
        </w:rPr>
        <w:t>，则旋转后最低点相对于手镯中心的高度约为</w:t>
      </w:r>
      <m:oMath>
        <m:r>
          <m:rPr/>
          <w:rPr>
            <w:rFonts w:hint="default" w:ascii="Cambria Math" w:hAnsi="Cambria Math" w:eastAsia="宋体"/>
            <w:sz w:val="21"/>
          </w:rPr>
          <m:t>−R|sinθ|−r</m:t>
        </m:r>
      </m:oMath>
      <w:r>
        <w:rPr>
          <w:rFonts w:ascii="宋体" w:hAnsi="宋体" w:eastAsia="宋体"/>
          <w:sz w:val="21"/>
        </w:rPr>
        <w:t>，因此手镯中心高度取为：</w:t>
      </w:r>
    </w:p>
    <w:p w14:paraId="6E09CADE">
      <w:pPr>
        <w:spacing w:before="40" w:after="40"/>
        <w:jc w:val="center"/>
      </w:pPr>
      <m:oMath>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center</m:t>
            </m:r>
            <m:ctrlPr>
              <w:rPr>
                <w:rFonts w:ascii="Cambria Math" w:hAnsi="Cambria Math" w:eastAsia="宋体"/>
                <w:sz w:val="21"/>
              </w:rPr>
            </m:ctrlPr>
          </m:sub>
        </m:sSub>
        <m:r>
          <m:rPr/>
          <w:rPr>
            <w:rFonts w:hint="default" w:ascii="Cambria Math" w:hAnsi="Cambria Math" w:eastAsia="宋体"/>
            <w:sz w:val="21"/>
          </w:rPr>
          <m:t>=gap+R|sinθ|+r</m:t>
        </m:r>
      </m:oMath>
      <w:r>
        <w:rPr>
          <w:rFonts w:ascii="Times New Roman" w:hAnsi="Times New Roman" w:eastAsia="宋体"/>
          <w:sz w:val="21"/>
        </w:rPr>
        <w:t xml:space="preserve">    （5）</w:t>
      </w:r>
    </w:p>
    <w:p w14:paraId="18E87F4F">
      <w:pPr>
        <w:spacing w:before="0" w:after="0" w:line="300" w:lineRule="auto"/>
        <w:ind w:firstLine="420"/>
        <w:jc w:val="both"/>
      </w:pPr>
      <w:r>
        <w:rPr>
          <w:rFonts w:ascii="宋体" w:hAnsi="宋体" w:eastAsia="宋体"/>
          <w:sz w:val="21"/>
        </w:rPr>
        <w:t>本文共建立 25 组有限元工况，跌落高度</w:t>
      </w:r>
      <m:oMath>
        <m:r>
          <m:rPr>
            <m:sty m:val="p"/>
          </m:rPr>
          <w:rPr>
            <w:rFonts w:ascii="Cambria Math" w:hAnsi="Cambria Math" w:eastAsia="宋体" w:cstheme="minorBidi"/>
            <w:sz w:val="21"/>
            <w:szCs w:val="22"/>
            <w:lang w:val="en-US" w:bidi="ar-SA"/>
          </w:rPr>
          <m:t xml:space="preserve"> h </m:t>
        </m:r>
      </m:oMath>
      <w:r>
        <w:rPr>
          <w:rFonts w:ascii="宋体" w:hAnsi="宋体" w:eastAsia="宋体"/>
          <w:sz w:val="21"/>
        </w:rPr>
        <w:t>取</w:t>
      </w:r>
      <m:oMath>
        <m:r>
          <m:rPr/>
          <w:rPr>
            <w:rFonts w:hint="default" w:ascii="Cambria Math" w:hAnsi="Cambria Math" w:eastAsia="宋体"/>
            <w:sz w:val="21"/>
          </w:rPr>
          <m:t>0.2、0.4、0.6、0.8、1.0</m:t>
        </m:r>
        <m:r>
          <m:rPr/>
          <w:rPr>
            <w:rFonts w:hint="default" w:ascii="Cambria Math" w:hAnsi="Cambria Math"/>
            <w:sz w:val="21"/>
            <w:lang w:val="en-US" w:eastAsia="zh-CN"/>
          </w:rPr>
          <m:t xml:space="preserve"> </m:t>
        </m:r>
        <m:r>
          <m:rPr>
            <m:sty m:val="p"/>
          </m:rPr>
          <w:rPr>
            <w:rFonts w:ascii="Cambria Math" w:hAnsi="Cambria Math" w:eastAsia="宋体" w:cstheme="minorBidi"/>
            <w:sz w:val="21"/>
            <w:szCs w:val="22"/>
            <w:lang w:val="en-US" w:bidi="ar-SA"/>
          </w:rPr>
          <m:t>m</m:t>
        </m:r>
      </m:oMath>
      <w:r>
        <w:rPr>
          <w:rFonts w:ascii="宋体" w:hAnsi="宋体" w:eastAsia="宋体"/>
          <w:sz w:val="21"/>
        </w:rPr>
        <w:t>，跌落角度</w:t>
      </w:r>
      <m:oMath>
        <m:r>
          <m:rPr/>
          <w:rPr>
            <w:rFonts w:hint="default" w:ascii="Cambria Math" w:hAnsi="Cambria Math" w:eastAsia="宋体"/>
            <w:sz w:val="21"/>
          </w:rPr>
          <m:t>θ</m:t>
        </m:r>
      </m:oMath>
      <w:r>
        <w:rPr>
          <w:rFonts w:ascii="宋体" w:hAnsi="宋体" w:eastAsia="宋体"/>
          <w:sz w:val="21"/>
        </w:rPr>
        <w:t>取</w:t>
      </w:r>
      <m:oMath>
        <m:r>
          <m:rPr/>
          <w:rPr>
            <w:rFonts w:hint="default" w:ascii="Cambria Math" w:hAnsi="Cambria Math" w:eastAsia="宋体"/>
            <w:sz w:val="21"/>
          </w:rPr>
          <m:t>0°、30°、45°、60°、90°</m:t>
        </m:r>
      </m:oMath>
      <w:r>
        <w:rPr>
          <w:rFonts w:ascii="宋体" w:hAnsi="宋体" w:eastAsia="宋体"/>
          <w:sz w:val="21"/>
        </w:rPr>
        <w:t>，摩擦系数固定为</w:t>
      </w:r>
      <m:oMath>
        <m:r>
          <m:rPr/>
          <w:rPr>
            <w:rFonts w:hint="default" w:ascii="Cambria Math" w:hAnsi="Cambria Math" w:eastAsia="宋体"/>
            <w:sz w:val="21"/>
          </w:rPr>
          <m:t>μ=0.1</m:t>
        </m:r>
      </m:oMath>
      <w:r>
        <w:rPr>
          <w:rFonts w:ascii="宋体" w:hAnsi="宋体" w:eastAsia="宋体"/>
          <w:sz w:val="21"/>
        </w:rPr>
        <w:t>。角度</w:t>
      </w:r>
      <m:oMath>
        <m:r>
          <m:rPr/>
          <w:rPr>
            <w:rFonts w:hint="default" w:ascii="Cambria Math" w:hAnsi="Cambria Math" w:eastAsia="宋体"/>
            <w:sz w:val="21"/>
          </w:rPr>
          <m:t>0°</m:t>
        </m:r>
      </m:oMath>
      <w:r>
        <w:rPr>
          <w:rFonts w:ascii="宋体" w:hAnsi="宋体" w:eastAsia="宋体"/>
          <w:sz w:val="21"/>
        </w:rPr>
        <w:t>表示手镯平面近似平行地面，即平躺跌落；角度</w:t>
      </w:r>
      <m:oMath>
        <m:r>
          <m:rPr/>
          <w:rPr>
            <w:rFonts w:hint="default" w:ascii="Cambria Math" w:hAnsi="Cambria Math" w:eastAsia="宋体"/>
            <w:sz w:val="21"/>
          </w:rPr>
          <m:t>90°</m:t>
        </m:r>
      </m:oMath>
      <w:r>
        <w:rPr>
          <w:rFonts w:ascii="宋体" w:hAnsi="宋体" w:eastAsia="宋体"/>
          <w:sz w:val="21"/>
        </w:rPr>
        <w:t>表示手镯平面近似垂直地面，即竖直跌落。</w:t>
      </w:r>
    </w:p>
    <w:p w14:paraId="0C8F76D7">
      <w:pPr>
        <w:spacing w:before="40" w:after="120"/>
        <w:jc w:val="center"/>
      </w:pPr>
      <w:r>
        <w:rPr>
          <w:rFonts w:ascii="宋体" w:hAnsi="宋体" w:eastAsia="宋体"/>
          <w:sz w:val="18"/>
        </w:rPr>
        <w:t>表 2  跌落仿真工况设计</w:t>
      </w:r>
    </w:p>
    <w:tbl>
      <w:tblPr>
        <w:tblStyle w:val="33"/>
        <w:tblW w:w="9448" w:type="dxa"/>
        <w:jc w:val="center"/>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Layout w:type="autofit"/>
        <w:tblCellMar>
          <w:top w:w="0" w:type="dxa"/>
          <w:left w:w="108" w:type="dxa"/>
          <w:bottom w:w="0" w:type="dxa"/>
          <w:right w:w="108" w:type="dxa"/>
        </w:tblCellMar>
      </w:tblPr>
      <w:tblGrid>
        <w:gridCol w:w="3498"/>
        <w:gridCol w:w="5950"/>
      </w:tblGrid>
      <w:tr w14:paraId="1A4674FE">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DBEB886">
            <w:pPr>
              <w:snapToGrid w:val="0"/>
              <w:jc w:val="center"/>
            </w:pPr>
            <w:r>
              <w:rPr>
                <w:rFonts w:ascii="宋体" w:hAnsi="宋体" w:eastAsia="宋体"/>
                <w:b/>
                <w:sz w:val="18"/>
              </w:rPr>
              <w:t>项目</w:t>
            </w:r>
          </w:p>
        </w:tc>
        <w:tc>
          <w:tcPr>
            <w:tcW w:w="5950" w:type="dxa"/>
            <w:tcBorders>
              <w:top w:val="single" w:color="auto" w:sz="12" w:space="0"/>
              <w:left w:val="nil"/>
              <w:bottom w:val="nil"/>
              <w:right w:val="nil"/>
            </w:tcBorders>
            <w:noWrap w:val="0"/>
            <w:tcMar>
              <w:top w:w="-1" w:type="dxa"/>
              <w:left w:w="-1" w:type="dxa"/>
              <w:bottom w:w="-1" w:type="dxa"/>
              <w:right w:w="-1" w:type="dxa"/>
            </w:tcMar>
            <w:vAlign w:val="center"/>
          </w:tcPr>
          <w:p w14:paraId="5E5A2D37">
            <w:pPr>
              <w:snapToGrid w:val="0"/>
              <w:jc w:val="center"/>
            </w:pPr>
            <w:r>
              <w:rPr>
                <w:rFonts w:ascii="宋体" w:hAnsi="宋体" w:eastAsia="宋体"/>
                <w:b/>
                <w:sz w:val="18"/>
              </w:rPr>
              <w:t>设置</w:t>
            </w:r>
          </w:p>
        </w:tc>
      </w:tr>
      <w:tr w14:paraId="4651D51D">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981CA2D">
            <w:pPr>
              <w:snapToGrid w:val="0"/>
              <w:jc w:val="center"/>
            </w:pPr>
            <w:r>
              <w:rPr>
                <w:rFonts w:ascii="宋体" w:hAnsi="宋体" w:eastAsia="宋体"/>
                <w:b w:val="0"/>
                <w:sz w:val="18"/>
              </w:rPr>
              <w:t>跌落高度</w:t>
            </w:r>
            <m:oMath>
              <m:r>
                <m:rPr/>
                <w:rPr>
                  <w:rFonts w:hint="default" w:ascii="Cambria Math" w:hAnsi="Cambria Math" w:eastAsia="宋体"/>
                  <w:sz w:val="18"/>
                </w:rPr>
                <m:t>H/m</m:t>
              </m:r>
            </m:oMath>
          </w:p>
        </w:tc>
        <w:tc>
          <w:tcPr>
            <w:tcW w:w="5950" w:type="dxa"/>
            <w:tcBorders>
              <w:top w:val="single" w:color="auto" w:sz="4" w:space="0"/>
              <w:left w:val="nil"/>
              <w:bottom w:val="nil"/>
              <w:right w:val="nil"/>
            </w:tcBorders>
            <w:noWrap w:val="0"/>
            <w:tcMar>
              <w:top w:w="-1" w:type="dxa"/>
              <w:left w:w="-1" w:type="dxa"/>
              <w:bottom w:w="-1" w:type="dxa"/>
              <w:right w:w="-1" w:type="dxa"/>
            </w:tcMar>
            <w:vAlign w:val="center"/>
          </w:tcPr>
          <w:p w14:paraId="5B51A20C">
            <w:pPr>
              <w:snapToGrid w:val="0"/>
              <w:jc w:val="center"/>
            </w:pPr>
            <m:oMathPara>
              <m:oMath>
                <m:r>
                  <m:rPr/>
                  <w:rPr>
                    <w:rFonts w:hint="default" w:ascii="Cambria Math" w:hAnsi="Cambria Math" w:eastAsia="宋体"/>
                    <w:sz w:val="18"/>
                  </w:rPr>
                  <m:t>0.2、0.4、0.6、0.8、1.0</m:t>
                </m:r>
              </m:oMath>
            </m:oMathPara>
          </w:p>
        </w:tc>
      </w:tr>
      <w:tr w14:paraId="13EECB00">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B8564F5">
            <w:pPr>
              <w:snapToGrid w:val="0"/>
              <w:jc w:val="center"/>
            </w:pPr>
            <w:r>
              <w:rPr>
                <w:rFonts w:ascii="宋体" w:hAnsi="宋体" w:eastAsia="宋体"/>
                <w:b w:val="0"/>
                <w:sz w:val="18"/>
              </w:rPr>
              <w:t>跌落角度</w:t>
            </w:r>
            <m:oMath>
              <m:r>
                <m:rPr/>
                <w:rPr>
                  <w:rFonts w:hint="default" w:ascii="Cambria Math" w:hAnsi="Cambria Math" w:eastAsia="宋体"/>
                  <w:sz w:val="18"/>
                </w:rPr>
                <m:t>A/°</m:t>
              </m:r>
            </m:oMath>
          </w:p>
        </w:tc>
        <w:tc>
          <w:tcPr>
            <w:tcW w:w="5950" w:type="dxa"/>
            <w:tcBorders>
              <w:top w:val="nil"/>
              <w:left w:val="nil"/>
              <w:bottom w:val="nil"/>
              <w:right w:val="nil"/>
            </w:tcBorders>
            <w:noWrap w:val="0"/>
            <w:tcMar>
              <w:top w:w="-1" w:type="dxa"/>
              <w:left w:w="-1" w:type="dxa"/>
              <w:bottom w:w="-1" w:type="dxa"/>
              <w:right w:w="-1" w:type="dxa"/>
            </w:tcMar>
            <w:vAlign w:val="center"/>
          </w:tcPr>
          <w:p w14:paraId="445278AA">
            <w:pPr>
              <w:snapToGrid w:val="0"/>
              <w:jc w:val="center"/>
            </w:pPr>
            <m:oMathPara>
              <m:oMath>
                <m:r>
                  <m:rPr/>
                  <w:rPr>
                    <w:rFonts w:hint="default" w:ascii="Cambria Math" w:hAnsi="Cambria Math" w:eastAsia="宋体"/>
                    <w:sz w:val="18"/>
                  </w:rPr>
                  <m:t>0、30、45、60、90</m:t>
                </m:r>
              </m:oMath>
            </m:oMathPara>
          </w:p>
        </w:tc>
      </w:tr>
      <w:tr w14:paraId="43D46DAC">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C734681">
            <w:pPr>
              <w:snapToGrid w:val="0"/>
              <w:jc w:val="center"/>
            </w:pPr>
            <w:r>
              <w:rPr>
                <w:rFonts w:ascii="宋体" w:hAnsi="宋体" w:eastAsia="宋体"/>
                <w:b w:val="0"/>
                <w:sz w:val="18"/>
              </w:rPr>
              <w:t>摩擦系数</w:t>
            </w:r>
            <m:oMath>
              <m:r>
                <m:rPr/>
                <w:rPr>
                  <w:rFonts w:hint="default" w:ascii="Cambria Math" w:hAnsi="Cambria Math" w:eastAsia="宋体"/>
                  <w:sz w:val="18"/>
                </w:rPr>
                <m:t>μ</m:t>
              </m:r>
            </m:oMath>
          </w:p>
        </w:tc>
        <w:tc>
          <w:tcPr>
            <w:tcW w:w="5950" w:type="dxa"/>
            <w:tcBorders>
              <w:top w:val="nil"/>
              <w:left w:val="nil"/>
              <w:bottom w:val="nil"/>
              <w:right w:val="nil"/>
            </w:tcBorders>
            <w:noWrap w:val="0"/>
            <w:tcMar>
              <w:top w:w="-1" w:type="dxa"/>
              <w:left w:w="-1" w:type="dxa"/>
              <w:bottom w:w="-1" w:type="dxa"/>
              <w:right w:w="-1" w:type="dxa"/>
            </w:tcMar>
            <w:vAlign w:val="center"/>
          </w:tcPr>
          <w:p w14:paraId="391617B6">
            <w:pPr>
              <w:snapToGrid w:val="0"/>
              <w:jc w:val="center"/>
            </w:pPr>
            <w:r>
              <w:rPr>
                <w:rFonts w:ascii="宋体" w:hAnsi="宋体" w:eastAsia="宋体"/>
                <w:b w:val="0"/>
                <w:sz w:val="18"/>
              </w:rPr>
              <w:t>0.1</w:t>
            </w:r>
          </w:p>
        </w:tc>
      </w:tr>
      <w:tr w14:paraId="0271438C">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27CAE1CF">
            <w:pPr>
              <w:snapToGrid w:val="0"/>
              <w:jc w:val="center"/>
            </w:pPr>
            <w:r>
              <w:rPr>
                <w:rFonts w:ascii="宋体" w:hAnsi="宋体" w:eastAsia="宋体"/>
                <w:b w:val="0"/>
                <w:sz w:val="18"/>
              </w:rPr>
              <w:t>初速度</w:t>
            </w:r>
            <m:oMath>
              <m:r>
                <m:rPr/>
                <w:rPr>
                  <w:rFonts w:hint="default" w:ascii="Cambria Math" w:hAnsi="Cambria Math" w:eastAsia="宋体"/>
                  <w:sz w:val="18"/>
                </w:rPr>
                <m:t>v₀</m:t>
              </m:r>
            </m:oMath>
          </w:p>
        </w:tc>
        <w:tc>
          <w:tcPr>
            <w:tcW w:w="5950" w:type="dxa"/>
            <w:tcBorders>
              <w:top w:val="nil"/>
              <w:left w:val="nil"/>
              <w:bottom w:val="nil"/>
              <w:right w:val="nil"/>
            </w:tcBorders>
            <w:noWrap w:val="0"/>
            <w:tcMar>
              <w:top w:w="-1" w:type="dxa"/>
              <w:left w:w="-1" w:type="dxa"/>
              <w:bottom w:w="-1" w:type="dxa"/>
              <w:right w:w="-1" w:type="dxa"/>
            </w:tcMar>
            <w:vAlign w:val="center"/>
          </w:tcPr>
          <w:p w14:paraId="7036E19A">
            <w:pPr>
              <w:snapToGrid w:val="0"/>
              <w:jc w:val="center"/>
            </w:pPr>
            <w:r>
              <m:rPr/>
              <w:rPr>
                <w:rFonts w:hint="eastAsia" w:hAnsi="Cambria Math" w:cstheme="minorBidi"/>
                <w:b w:val="0"/>
                <w:i w:val="0"/>
                <w:sz w:val="18"/>
                <w:szCs w:val="22"/>
                <w:lang w:val="en-US" w:eastAsia="zh-CN" w:bidi="ar-SA"/>
              </w:rPr>
              <w:t>根据</w:t>
            </w:r>
            <m:oMath>
              <m:r>
                <m:rPr>
                  <m:sty m:val="p"/>
                </m:rPr>
                <w:rPr>
                  <w:rFonts w:ascii="Cambria Math" w:hAnsi="Cambria Math" w:eastAsia="宋体" w:cstheme="minorBidi"/>
                  <w:sz w:val="18"/>
                  <w:szCs w:val="22"/>
                  <w:lang w:val="en-US" w:bidi="ar-SA"/>
                </w:rPr>
                <m:t xml:space="preserve"> </m:t>
              </m:r>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o</m:t>
                  </m:r>
                  <m:ctrlPr>
                    <w:rPr>
                      <w:rFonts w:ascii="Cambria Math" w:hAnsi="Cambria Math"/>
                      <w:sz w:val="21"/>
                    </w:rPr>
                  </m:ctrlPr>
                </m:sub>
              </m:sSub>
              <m:r>
                <m:rPr/>
                <w:rPr>
                  <w:rFonts w:hint="default" w:ascii="Cambria Math" w:hAnsi="Cambria Math"/>
                  <w:sz w:val="21"/>
                </w:rPr>
                <m:t>=</m:t>
              </m:r>
              <m:rad>
                <m:radPr>
                  <m:degHide m:val="1"/>
                  <m:ctrlPr>
                    <w:rPr>
                      <w:rFonts w:hint="default" w:ascii="Cambria Math" w:hAnsi="Cambria Math"/>
                      <w:sz w:val="21"/>
                    </w:rPr>
                  </m:ctrlPr>
                </m:radPr>
                <m:deg>
                  <m:ctrlPr>
                    <w:rPr>
                      <w:rFonts w:ascii="Cambria Math" w:hAnsi="Cambria Math"/>
                      <w:sz w:val="21"/>
                    </w:rPr>
                  </m:ctrlPr>
                </m:deg>
                <m:e>
                  <m:r>
                    <m:rPr/>
                    <w:rPr>
                      <w:rFonts w:hint="default" w:ascii="Cambria Math" w:hAnsi="Cambria Math"/>
                      <w:sz w:val="21"/>
                    </w:rPr>
                    <m:t>(2gh)</m:t>
                  </m:r>
                  <m:ctrlPr>
                    <w:rPr>
                      <w:rFonts w:ascii="Cambria Math" w:hAnsi="Cambria Math"/>
                      <w:sz w:val="21"/>
                    </w:rPr>
                  </m:ctrlPr>
                </m:e>
              </m:rad>
            </m:oMath>
            <w:r>
              <w:rPr>
                <w:rFonts w:ascii="宋体" w:hAnsi="宋体" w:eastAsia="宋体"/>
                <w:b w:val="0"/>
                <w:sz w:val="18"/>
              </w:rPr>
              <w:t>自动计算</w:t>
            </w:r>
          </w:p>
        </w:tc>
      </w:tr>
      <w:tr w14:paraId="491F8550">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38A97117">
            <w:pPr>
              <w:snapToGrid w:val="0"/>
              <w:jc w:val="center"/>
            </w:pPr>
            <w:r>
              <w:rPr>
                <w:rFonts w:ascii="宋体" w:hAnsi="宋体" w:eastAsia="宋体"/>
                <w:b w:val="0"/>
                <w:sz w:val="18"/>
              </w:rPr>
              <w:t>分析步时间</w:t>
            </w:r>
          </w:p>
        </w:tc>
        <w:tc>
          <w:tcPr>
            <w:tcW w:w="5950" w:type="dxa"/>
            <w:tcBorders>
              <w:top w:val="nil"/>
              <w:left w:val="nil"/>
              <w:bottom w:val="nil"/>
              <w:right w:val="nil"/>
            </w:tcBorders>
            <w:noWrap w:val="0"/>
            <w:tcMar>
              <w:top w:w="-1" w:type="dxa"/>
              <w:left w:w="-1" w:type="dxa"/>
              <w:bottom w:w="-1" w:type="dxa"/>
              <w:right w:w="-1" w:type="dxa"/>
            </w:tcMar>
            <w:vAlign w:val="center"/>
          </w:tcPr>
          <w:p w14:paraId="525D8E76">
            <w:pPr>
              <w:snapToGrid w:val="0"/>
              <w:jc w:val="center"/>
            </w:pPr>
            <m:oMathPara>
              <m:oMath>
                <m:r>
                  <m:rPr/>
                  <w:rPr>
                    <w:rFonts w:hint="default" w:ascii="Cambria Math" w:hAnsi="Cambria Math" w:eastAsia="宋体"/>
                    <w:sz w:val="18"/>
                  </w:rPr>
                  <m:t>0.006s</m:t>
                </m:r>
              </m:oMath>
            </m:oMathPara>
          </w:p>
        </w:tc>
      </w:tr>
      <w:tr w14:paraId="4E93B422">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3498" w:type="dxa"/>
            <w:tcBorders>
              <w:top w:val="nil"/>
              <w:left w:val="nil"/>
              <w:bottom w:val="single" w:color="auto" w:sz="12" w:space="0"/>
              <w:right w:val="nil"/>
            </w:tcBorders>
            <w:noWrap w:val="0"/>
            <w:tcMar>
              <w:top w:w="-1" w:type="dxa"/>
              <w:left w:w="-1" w:type="dxa"/>
              <w:bottom w:w="-1" w:type="dxa"/>
              <w:right w:w="-1" w:type="dxa"/>
            </w:tcMar>
            <w:vAlign w:val="center"/>
          </w:tcPr>
          <w:p w14:paraId="2F0EBFD0">
            <w:pPr>
              <w:snapToGrid w:val="0"/>
              <w:jc w:val="center"/>
            </w:pPr>
            <w:r>
              <w:rPr>
                <w:rFonts w:ascii="宋体" w:hAnsi="宋体" w:eastAsia="宋体"/>
                <w:b w:val="0"/>
                <w:sz w:val="18"/>
              </w:rPr>
              <w:t>输出间隔</w:t>
            </w:r>
          </w:p>
        </w:tc>
        <w:tc>
          <w:tcPr>
            <w:tcW w:w="5950" w:type="dxa"/>
            <w:tcBorders>
              <w:top w:val="nil"/>
              <w:left w:val="nil"/>
              <w:bottom w:val="single" w:color="auto" w:sz="12" w:space="0"/>
              <w:right w:val="nil"/>
            </w:tcBorders>
            <w:noWrap w:val="0"/>
            <w:tcMar>
              <w:top w:w="-1" w:type="dxa"/>
              <w:left w:w="-1" w:type="dxa"/>
              <w:bottom w:w="-1" w:type="dxa"/>
              <w:right w:w="-1" w:type="dxa"/>
            </w:tcMar>
            <w:vAlign w:val="center"/>
          </w:tcPr>
          <w:p w14:paraId="5F7EC629">
            <w:pPr>
              <w:snapToGrid w:val="0"/>
              <w:jc w:val="center"/>
            </w:pPr>
            <w:r>
              <w:rPr>
                <w:rFonts w:ascii="宋体" w:hAnsi="宋体" w:eastAsia="宋体"/>
                <w:b w:val="0"/>
                <w:sz w:val="18"/>
              </w:rPr>
              <w:t>150</w:t>
            </w:r>
          </w:p>
        </w:tc>
      </w:tr>
    </w:tbl>
    <w:p w14:paraId="01312059"/>
    <w:p w14:paraId="7D030822">
      <w:pPr>
        <w:spacing w:before="120" w:after="80" w:line="300" w:lineRule="auto"/>
        <w:jc w:val="left"/>
      </w:pPr>
      <w:r>
        <w:rPr>
          <w:rFonts w:ascii="黑体" w:hAnsi="黑体" w:eastAsia="黑体"/>
          <w:b/>
          <w:sz w:val="21"/>
        </w:rPr>
        <w:t>3.2 材料、接触、网格与输出设置</w:t>
      </w:r>
    </w:p>
    <w:p w14:paraId="3F0644EC">
      <w:pPr>
        <w:spacing w:before="0" w:after="0" w:line="300" w:lineRule="auto"/>
        <w:ind w:firstLine="420"/>
        <w:jc w:val="both"/>
      </w:pPr>
      <m:oMath>
        <m:r>
          <m:rPr>
            <m:sty m:val="p"/>
          </m:rPr>
          <w:rPr>
            <w:rFonts w:ascii="Cambria Math" w:hAnsi="Cambria Math" w:eastAsia="宋体" w:cstheme="minorBidi"/>
            <w:sz w:val="21"/>
            <w:szCs w:val="22"/>
            <w:lang w:val="en-US" w:bidi="ar-SA"/>
          </w:rPr>
          <m:t xml:space="preserve">Abaqus </m:t>
        </m:r>
      </m:oMath>
      <w:r>
        <w:rPr>
          <w:rFonts w:ascii="宋体" w:hAnsi="宋体" w:eastAsia="宋体"/>
          <w:sz w:val="21"/>
        </w:rPr>
        <w:t>实现采用</w:t>
      </w:r>
      <m:oMath>
        <m:r>
          <m:rPr>
            <m:sty m:val="p"/>
          </m:rPr>
          <w:rPr>
            <w:rFonts w:ascii="Cambria Math" w:hAnsi="Cambria Math" w:eastAsia="宋体" w:cstheme="minorBidi"/>
            <w:sz w:val="21"/>
            <w:szCs w:val="22"/>
            <w:lang w:val="en-US" w:bidi="ar-SA"/>
          </w:rPr>
          <m:t xml:space="preserve"> Dynamic, Explicit </m:t>
        </m:r>
      </m:oMath>
      <w:r>
        <w:rPr>
          <w:rFonts w:ascii="宋体" w:hAnsi="宋体" w:eastAsia="宋体"/>
          <w:sz w:val="21"/>
        </w:rPr>
        <w:t xml:space="preserve">分析步。手镯赋予均质实体截面和线弹性材料，地面设置为离散刚体并固定其参考点。接触采用通用接触，法向为硬接触，切向为罚函数摩擦，摩擦系数 </w:t>
      </w:r>
      <m:oMath>
        <m:r>
          <m:rPr/>
          <w:rPr>
            <w:rFonts w:hint="default" w:ascii="Cambria Math" w:hAnsi="Cambria Math" w:eastAsia="宋体"/>
            <w:sz w:val="21"/>
          </w:rPr>
          <m:t>μ=0.1</m:t>
        </m:r>
      </m:oMath>
      <w:r>
        <w:rPr>
          <w:rFonts w:ascii="宋体" w:hAnsi="宋体" w:eastAsia="宋体"/>
          <w:sz w:val="21"/>
        </w:rPr>
        <w:t>。</w:t>
      </w:r>
      <m:oMath>
        <m:r>
          <m:rPr>
            <m:sty m:val="p"/>
          </m:rPr>
          <w:rPr>
            <w:rFonts w:ascii="Cambria Math" w:hAnsi="Cambria Math" w:eastAsia="宋体" w:cstheme="minorBidi"/>
            <w:sz w:val="21"/>
            <w:szCs w:val="22"/>
            <w:lang w:val="en-US" w:bidi="ar-SA"/>
          </w:rPr>
          <m:t xml:space="preserve">Abaqus/Explicit </m:t>
        </m:r>
      </m:oMath>
      <w:r>
        <w:rPr>
          <w:rFonts w:ascii="宋体" w:hAnsi="宋体" w:eastAsia="宋体"/>
          <w:sz w:val="21"/>
        </w:rPr>
        <w:t>中有限滑移接触可处理表面间较大的相对运动和转动，因此适合本文这种跌落撞击问题</w:t>
      </w:r>
      <w:r>
        <w:rPr>
          <w:rFonts w:ascii="宋体" w:hAnsi="宋体" w:eastAsia="宋体"/>
          <w:sz w:val="21"/>
          <w:vertAlign w:val="superscript"/>
        </w:rPr>
        <w:t>[4]</w:t>
      </w:r>
      <w:r>
        <w:rPr>
          <w:rFonts w:ascii="宋体" w:hAnsi="宋体" w:eastAsia="宋体"/>
          <w:sz w:val="21"/>
        </w:rPr>
        <w:t>。手镯采用自由四面体网格并使用改进二次四面体单元</w:t>
      </w:r>
      <m:oMath>
        <m:r>
          <m:rPr>
            <m:sty m:val="p"/>
          </m:rPr>
          <w:rPr>
            <w:rFonts w:ascii="Cambria Math" w:hAnsi="Cambria Math" w:eastAsia="宋体" w:cstheme="minorBidi"/>
            <w:sz w:val="21"/>
            <w:szCs w:val="22"/>
            <w:lang w:val="en-US" w:bidi="ar-SA"/>
          </w:rPr>
          <m:t xml:space="preserve"> C3D10M</m:t>
        </m:r>
      </m:oMath>
      <w:r>
        <w:rPr>
          <w:rFonts w:ascii="宋体" w:hAnsi="宋体" w:eastAsia="宋体"/>
          <w:sz w:val="21"/>
        </w:rPr>
        <w:t>，以提高曲面圆环结构的网格适应性；地面采用刚体壳单元。</w:t>
      </w:r>
    </w:p>
    <w:p w14:paraId="6A1AD8C5">
      <w:pPr>
        <w:spacing w:before="0" w:after="0" w:line="300" w:lineRule="auto"/>
        <w:ind w:firstLine="420"/>
        <w:jc w:val="both"/>
      </w:pPr>
      <w:r>
        <w:rPr>
          <w:rFonts w:ascii="宋体" w:hAnsi="宋体" w:eastAsia="宋体"/>
          <w:sz w:val="21"/>
        </w:rPr>
        <w:t>为便于批量计算，本文使用</w:t>
      </w:r>
      <m:oMath>
        <m:r>
          <m:rPr>
            <m:sty m:val="p"/>
          </m:rPr>
          <w:rPr>
            <w:rFonts w:ascii="Cambria Math" w:hAnsi="Cambria Math" w:eastAsia="宋体" w:cstheme="minorBidi"/>
            <w:sz w:val="21"/>
            <w:szCs w:val="22"/>
            <w:lang w:val="en-US" w:bidi="ar-SA"/>
          </w:rPr>
          <m:t xml:space="preserve"> Abaqus Python </m:t>
        </m:r>
      </m:oMath>
      <w:r>
        <w:rPr>
          <w:rFonts w:ascii="宋体" w:hAnsi="宋体" w:eastAsia="宋体"/>
          <w:sz w:val="21"/>
        </w:rPr>
        <w:t>脚本实现参数化建模。脚本根据</w:t>
      </w:r>
      <m:oMath>
        <m:r>
          <m:rPr>
            <m:sty m:val="p"/>
          </m:rPr>
          <w:rPr>
            <w:rFonts w:ascii="Cambria Math" w:hAnsi="Cambria Math" w:eastAsia="宋体" w:cstheme="minorBidi"/>
            <w:sz w:val="21"/>
            <w:szCs w:val="22"/>
            <w:lang w:val="en-US" w:bidi="ar-SA"/>
          </w:rPr>
          <m:t xml:space="preserve"> H </m:t>
        </m:r>
      </m:oMath>
      <w:r>
        <w:rPr>
          <w:rFonts w:ascii="宋体" w:hAnsi="宋体" w:eastAsia="宋体"/>
          <w:sz w:val="21"/>
        </w:rPr>
        <w:t>和</w:t>
      </w:r>
      <m:oMath>
        <m:r>
          <m:rPr>
            <m:sty m:val="p"/>
          </m:rPr>
          <w:rPr>
            <w:rFonts w:ascii="Cambria Math" w:hAnsi="Cambria Math" w:eastAsia="宋体" w:cstheme="minorBidi"/>
            <w:sz w:val="21"/>
            <w:szCs w:val="22"/>
            <w:lang w:val="en-US" w:bidi="ar-SA"/>
          </w:rPr>
          <m:t xml:space="preserve"> A </m:t>
        </m:r>
      </m:oMath>
      <w:r>
        <w:rPr>
          <w:rFonts w:ascii="宋体" w:hAnsi="宋体" w:eastAsia="宋体"/>
          <w:sz w:val="21"/>
        </w:rPr>
        <w:t xml:space="preserve">自动命名 Job，例如 </w:t>
      </w:r>
      <m:oMath>
        <m:r>
          <m:rPr/>
          <w:rPr>
            <w:rFonts w:hint="default" w:ascii="Cambria Math" w:hAnsi="Cambria Math" w:eastAsia="宋体"/>
            <w:sz w:val="21"/>
          </w:rPr>
          <m:t>H1A90</m:t>
        </m:r>
      </m:oMath>
      <w:r>
        <w:rPr>
          <w:rFonts w:ascii="宋体" w:hAnsi="宋体" w:eastAsia="宋体"/>
          <w:sz w:val="21"/>
        </w:rPr>
        <w:t xml:space="preserve"> 表示</w:t>
      </w:r>
      <m:oMath>
        <m:r>
          <m:rPr/>
          <w:rPr>
            <w:rFonts w:hint="default" w:ascii="Cambria Math" w:hAnsi="Cambria Math" w:eastAsia="宋体"/>
            <w:sz w:val="21"/>
          </w:rPr>
          <m:t>1.0m、90°</m:t>
        </m:r>
      </m:oMath>
      <w:r>
        <w:rPr>
          <w:rFonts w:ascii="宋体" w:hAnsi="宋体" w:eastAsia="宋体"/>
          <w:sz w:val="21"/>
        </w:rPr>
        <w:t>工况；每个工况自动创建模型、计算初速度、完成装配定位、施加接触、重力和初速度并提交求解。后处理脚本批量扫描 ODB 文件，逐帧提取最大主应力峰值及其出现时间，同时读取最小主应力、位移和能量历史变量。</w:t>
      </w:r>
    </w:p>
    <w:p w14:paraId="37D32E6C">
      <w:pPr>
        <w:spacing w:before="0" w:after="0" w:line="300" w:lineRule="auto"/>
        <w:ind w:firstLine="420"/>
        <w:jc w:val="both"/>
      </w:pPr>
      <w:r>
        <w:rPr>
          <w:rFonts w:ascii="宋体" w:hAnsi="宋体" w:eastAsia="宋体"/>
          <w:sz w:val="21"/>
        </w:rPr>
        <w:t xml:space="preserve">输出变量包括应力 S、位移 U、速度 V、加速度 A、内能 ALLIE、动能 ALLKE、总能量 ETOTAL 和人工能量 ALLAE。后处理时以全过程最大 S₁,max 所在帧作为危险时刻，并在该帧提取 </w:t>
      </w:r>
      <m:oMath>
        <m:r>
          <m:rPr/>
          <w:rPr>
            <w:rFonts w:hint="default" w:ascii="Cambria Math" w:hAnsi="Cambria Math" w:eastAsia="宋体"/>
            <w:sz w:val="21"/>
          </w:rPr>
          <m:t>S</m:t>
        </m:r>
        <m:sSub>
          <m:sSubPr>
            <m:ctrlPr>
              <w:rPr>
                <w:rFonts w:hint="default" w:ascii="Cambria Math" w:hAnsi="Cambria Math" w:eastAsia="宋体"/>
                <w:sz w:val="21"/>
              </w:rPr>
            </m:ctrlPr>
          </m:sSubPr>
          <m:e>
            <m:r>
              <m:rPr/>
              <w:rPr>
                <w:rFonts w:hint="default" w:ascii="Cambria Math" w:hAnsi="Cambria Math" w:eastAsia="宋体"/>
                <w:sz w:val="21"/>
              </w:rPr>
              <m:t>₃</m:t>
            </m:r>
            <m:ctrlPr>
              <w:rPr>
                <w:rFonts w:ascii="Cambria Math" w:hAnsi="Cambria Math" w:eastAsia="宋体"/>
                <w:sz w:val="21"/>
              </w:rPr>
            </m:ctrlPr>
          </m:e>
          <m:sub>
            <m:r>
              <m:rPr/>
              <w:rPr>
                <w:rFonts w:hint="default" w:ascii="Cambria Math" w:hAnsi="Cambria Math" w:eastAsia="宋体"/>
                <w:sz w:val="21"/>
              </w:rPr>
              <m:t>,min</m:t>
            </m:r>
            <m:ctrlPr>
              <w:rPr>
                <w:rFonts w:ascii="Cambria Math" w:hAnsi="Cambria Math" w:eastAsia="宋体"/>
                <w:sz w:val="21"/>
              </w:rPr>
            </m:ctrlPr>
          </m:sub>
        </m:sSub>
      </m:oMath>
      <w:r>
        <w:rPr>
          <w:rFonts w:ascii="宋体" w:hAnsi="宋体" w:eastAsia="宋体"/>
          <w:sz w:val="21"/>
        </w:rPr>
        <w:t xml:space="preserve"> 与 </w:t>
      </w:r>
      <m:oMath>
        <m:sSub>
          <m:sSubPr>
            <m:ctrlPr>
              <w:rPr>
                <w:rFonts w:hint="default" w:ascii="Cambria Math" w:hAnsi="Cambria Math" w:eastAsia="宋体"/>
                <w:sz w:val="21"/>
              </w:rPr>
            </m:ctrlPr>
          </m:sSubPr>
          <m:e>
            <m:r>
              <m:rPr/>
              <w:rPr>
                <w:rFonts w:hint="default" w:ascii="Cambria Math" w:hAnsi="Cambria Math" w:eastAsia="宋体"/>
                <w:sz w:val="21"/>
              </w:rPr>
              <m:t>U</m:t>
            </m:r>
            <m:ctrlPr>
              <w:rPr>
                <w:rFonts w:ascii="Cambria Math" w:hAnsi="Cambria Math" w:eastAsia="宋体"/>
                <w:sz w:val="21"/>
              </w:rPr>
            </m:ctrlPr>
          </m:e>
          <m:sub>
            <m:r>
              <m:rPr/>
              <w:rPr>
                <w:rFonts w:hint="default" w:ascii="Cambria Math" w:hAnsi="Cambria Math" w:eastAsia="宋体"/>
                <w:sz w:val="21"/>
              </w:rPr>
              <m:t>max</m:t>
            </m:r>
            <m:ctrlPr>
              <w:rPr>
                <w:rFonts w:ascii="Cambria Math" w:hAnsi="Cambria Math" w:eastAsia="宋体"/>
                <w:sz w:val="21"/>
              </w:rPr>
            </m:ctrlPr>
          </m:sub>
        </m:sSub>
      </m:oMath>
      <w:r>
        <w:rPr>
          <w:rFonts w:ascii="宋体" w:hAnsi="宋体" w:eastAsia="宋体"/>
          <w:sz w:val="21"/>
        </w:rPr>
        <w:t>。能量曲线用于检查显式动力学计算稳定性，若总能量误差较小且人工能量占比较低，则说明仿真结果在数值上具有一定可信度。</w:t>
      </w:r>
    </w:p>
    <w:p w14:paraId="6CA26B6C">
      <w:pPr>
        <w:jc w:val="center"/>
      </w:pPr>
      <w:r>
        <w:drawing>
          <wp:inline distT="0" distB="0" distL="114300" distR="114300">
            <wp:extent cx="5327650" cy="3413125"/>
            <wp:effectExtent l="0" t="0" r="635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28000" cy="3413250"/>
                    </a:xfrm>
                    <a:prstGeom prst="rect">
                      <a:avLst/>
                    </a:prstGeom>
                  </pic:spPr>
                </pic:pic>
              </a:graphicData>
            </a:graphic>
          </wp:inline>
        </w:drawing>
      </w:r>
    </w:p>
    <w:p w14:paraId="03C80549">
      <w:pPr>
        <w:spacing w:before="40" w:after="120"/>
        <w:jc w:val="center"/>
      </w:pPr>
      <w:r>
        <w:rPr>
          <w:rFonts w:ascii="宋体" w:hAnsi="宋体" w:eastAsia="宋体"/>
          <w:sz w:val="18"/>
        </w:rPr>
        <w:t>图 1  代表性</w:t>
      </w:r>
      <m:oMath>
        <m:r>
          <m:rPr>
            <m:sty m:val="p"/>
          </m:rPr>
          <w:rPr>
            <w:rFonts w:ascii="Cambria Math" w:hAnsi="Cambria Math" w:eastAsia="宋体" w:cstheme="minorBidi"/>
            <w:sz w:val="18"/>
            <w:szCs w:val="22"/>
            <w:lang w:val="en-US" w:bidi="ar-SA"/>
          </w:rPr>
          <m:t xml:space="preserve"> Abaqus </m:t>
        </m:r>
      </m:oMath>
      <w:r>
        <w:rPr>
          <w:rFonts w:ascii="宋体" w:hAnsi="宋体" w:eastAsia="宋体"/>
          <w:sz w:val="18"/>
        </w:rPr>
        <w:t>跌落工况云图截图</w:t>
      </w:r>
    </w:p>
    <w:p w14:paraId="204B61A0">
      <w:pPr>
        <w:spacing w:before="120" w:after="80" w:line="300" w:lineRule="auto"/>
        <w:jc w:val="left"/>
      </w:pPr>
      <w:r>
        <w:rPr>
          <w:rFonts w:ascii="黑体" w:hAnsi="黑体" w:eastAsia="黑体"/>
          <w:b/>
          <w:sz w:val="28"/>
        </w:rPr>
        <w:t>4 机器学习代理模型构建</w:t>
      </w:r>
    </w:p>
    <w:p w14:paraId="59B49507">
      <w:pPr>
        <w:spacing w:before="120" w:after="80" w:line="300" w:lineRule="auto"/>
        <w:jc w:val="left"/>
      </w:pPr>
      <w:r>
        <w:rPr>
          <w:rFonts w:ascii="黑体" w:hAnsi="黑体" w:eastAsia="黑体"/>
          <w:b/>
          <w:sz w:val="21"/>
        </w:rPr>
        <w:t>4.1 数据集与输入输出变量</w:t>
      </w:r>
    </w:p>
    <w:p w14:paraId="21225A1F">
      <w:pPr>
        <w:spacing w:before="0" w:after="0" w:line="300" w:lineRule="auto"/>
        <w:ind w:firstLine="420"/>
        <w:jc w:val="both"/>
      </w:pPr>
      <w:r>
        <w:rPr>
          <w:rFonts w:ascii="宋体" w:hAnsi="宋体" w:eastAsia="宋体"/>
          <w:sz w:val="21"/>
        </w:rPr>
        <w:t xml:space="preserve">在 25 组有限元计算完成后，本文将每个工况整理为一行结构化数据。输入变量包括跌落高度 </w:t>
      </w:r>
      <m:oMath>
        <m:r>
          <m:rPr>
            <m:sty m:val="p"/>
          </m:rPr>
          <w:rPr>
            <w:rFonts w:ascii="Cambria Math" w:hAnsi="Cambria Math" w:eastAsia="宋体" w:cstheme="minorBidi"/>
            <w:sz w:val="21"/>
            <w:szCs w:val="22"/>
            <w:lang w:val="en-US" w:bidi="ar-SA"/>
          </w:rPr>
          <m:t>h</m:t>
        </m:r>
      </m:oMath>
      <w:r>
        <w:rPr>
          <w:rFonts w:ascii="宋体" w:hAnsi="宋体" w:eastAsia="宋体"/>
          <w:sz w:val="21"/>
        </w:rPr>
        <w:t>、跌落角度</w:t>
      </w:r>
      <m:oMath>
        <m:r>
          <m:rPr>
            <m:sty m:val="p"/>
          </m:rPr>
          <w:rPr>
            <w:rFonts w:ascii="Cambria Math" w:hAnsi="Cambria Math" w:eastAsia="宋体" w:cstheme="minorBidi"/>
            <w:sz w:val="21"/>
            <w:szCs w:val="22"/>
            <w:lang w:val="en-US" w:bidi="ar-SA"/>
          </w:rPr>
          <m:t xml:space="preserve"> θ</m:t>
        </m:r>
      </m:oMath>
      <w:r>
        <w:rPr>
          <w:rFonts w:ascii="宋体" w:hAnsi="宋体" w:eastAsia="宋体"/>
          <w:sz w:val="21"/>
        </w:rPr>
        <w:t>、初速度</w:t>
      </w:r>
      <m:oMath>
        <m:r>
          <m:rPr>
            <m:sty m:val="p"/>
          </m:rPr>
          <w:rPr>
            <w:rFonts w:ascii="Cambria Math" w:hAnsi="Cambria Math" w:eastAsia="宋体" w:cstheme="minorBidi"/>
            <w:sz w:val="21"/>
            <w:szCs w:val="22"/>
            <w:lang w:val="en-US" w:bidi="ar-SA"/>
          </w:rPr>
          <m:t xml:space="preserve"> v₀ </m:t>
        </m:r>
      </m:oMath>
      <w:r>
        <w:rPr>
          <w:rFonts w:ascii="宋体" w:hAnsi="宋体" w:eastAsia="宋体"/>
          <w:sz w:val="21"/>
        </w:rPr>
        <w:t>和摩擦系数</w:t>
      </w:r>
      <m:oMath>
        <m:r>
          <m:rPr>
            <m:sty m:val="p"/>
          </m:rPr>
          <w:rPr>
            <w:rFonts w:ascii="Cambria Math" w:hAnsi="Cambria Math" w:eastAsia="宋体" w:cstheme="minorBidi"/>
            <w:sz w:val="21"/>
            <w:szCs w:val="22"/>
            <w:lang w:val="en-US" w:bidi="ar-SA"/>
          </w:rPr>
          <m:t xml:space="preserve"> μ</m:t>
        </m:r>
      </m:oMath>
      <w:r>
        <w:rPr>
          <w:rFonts w:ascii="宋体" w:hAnsi="宋体" w:eastAsia="宋体"/>
          <w:sz w:val="21"/>
        </w:rPr>
        <w:t>；由于本组数据中</w:t>
      </w:r>
      <m:oMath>
        <m:r>
          <m:rPr>
            <m:sty m:val="p"/>
          </m:rPr>
          <w:rPr>
            <w:rFonts w:ascii="Cambria Math" w:hAnsi="Cambria Math" w:eastAsia="宋体" w:cstheme="minorBidi"/>
            <w:sz w:val="21"/>
            <w:szCs w:val="22"/>
            <w:lang w:val="en-US" w:bidi="ar-SA"/>
          </w:rPr>
          <m:t xml:space="preserve"> μ </m:t>
        </m:r>
      </m:oMath>
      <w:r>
        <w:rPr>
          <w:rFonts w:ascii="宋体" w:hAnsi="宋体" w:eastAsia="宋体"/>
          <w:sz w:val="21"/>
        </w:rPr>
        <w:t>恒定为 0.1，训练时该变量不具有方差，最终有效输入特征为</w:t>
      </w:r>
      <m:oMath>
        <m:r>
          <m:rPr>
            <m:sty m:val="p"/>
          </m:rPr>
          <w:rPr>
            <w:rFonts w:ascii="Cambria Math" w:hAnsi="Cambria Math" w:eastAsia="宋体" w:cstheme="minorBidi"/>
            <w:sz w:val="21"/>
            <w:szCs w:val="22"/>
            <w:lang w:val="en-US" w:bidi="ar-SA"/>
          </w:rPr>
          <m:t xml:space="preserve"> h、θ </m:t>
        </m:r>
      </m:oMath>
      <w:r>
        <w:rPr>
          <w:rFonts w:ascii="宋体" w:hAnsi="宋体" w:eastAsia="宋体"/>
          <w:sz w:val="21"/>
        </w:rPr>
        <w:t>和</w:t>
      </w:r>
      <m:oMath>
        <m:r>
          <m:rPr>
            <m:sty m:val="p"/>
          </m:rPr>
          <w:rPr>
            <w:rFonts w:ascii="Cambria Math" w:hAnsi="Cambria Math" w:eastAsia="宋体" w:cstheme="minorBidi"/>
            <w:sz w:val="21"/>
            <w:szCs w:val="22"/>
            <w:lang w:val="en-US" w:bidi="ar-SA"/>
          </w:rPr>
          <m:t xml:space="preserve"> v₀</m:t>
        </m:r>
      </m:oMath>
      <w:r>
        <w:rPr>
          <w:rFonts w:ascii="宋体" w:hAnsi="宋体" w:eastAsia="宋体"/>
          <w:sz w:val="21"/>
        </w:rPr>
        <w:t>。输出变量为最大主应力峰值</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1,max</m:t>
            </m:r>
            <m:ctrlPr>
              <w:rPr>
                <w:rFonts w:ascii="Cambria Math" w:hAnsi="Cambria Math" w:eastAsia="宋体"/>
                <w:sz w:val="21"/>
              </w:rPr>
            </m:ctrlPr>
          </m:sub>
        </m:sSub>
      </m:oMath>
      <w:r>
        <w:rPr>
          <w:rFonts w:ascii="宋体" w:hAnsi="宋体" w:eastAsia="宋体"/>
          <w:sz w:val="21"/>
        </w:rPr>
        <w:t>，并由式（4）进一步计算风险系数</w:t>
      </w:r>
      <m:oMath>
        <m:r>
          <m:rPr/>
          <w:rPr>
            <w:rFonts w:hint="default" w:ascii="Cambria Math" w:hAnsi="Cambria Math" w:eastAsia="宋体"/>
            <w:sz w:val="21"/>
          </w:rPr>
          <m:t>Rₜ</m:t>
        </m:r>
      </m:oMath>
      <w:r>
        <w:rPr>
          <w:rFonts w:ascii="宋体" w:hAnsi="宋体" w:eastAsia="宋体"/>
          <w:sz w:val="21"/>
        </w:rPr>
        <w:t>和风险等级。</w:t>
      </w:r>
    </w:p>
    <w:p w14:paraId="34FFE4E3">
      <w:pPr>
        <w:spacing w:before="0" w:after="0" w:line="300" w:lineRule="auto"/>
        <w:ind w:firstLine="420"/>
        <w:jc w:val="both"/>
      </w:pPr>
      <w:r>
        <w:rPr>
          <w:rFonts w:hint="eastAsia" w:ascii="宋体" w:hAnsi="宋体" w:eastAsia="宋体"/>
          <w:sz w:val="21"/>
        </w:rPr>
        <w:t>对于小样本仿真数据，直接训练复杂深度神经网络容易产生过拟合。机器学习教材通常指出，模型复杂度、训练样本数量与泛化能力之间需要保持平衡</w:t>
      </w:r>
      <w:r>
        <w:rPr>
          <w:rFonts w:hint="eastAsia" w:ascii="宋体" w:hAnsi="宋体" w:eastAsia="宋体"/>
          <w:sz w:val="21"/>
          <w:vertAlign w:val="superscript"/>
        </w:rPr>
        <w:t>[12,13]</w:t>
      </w:r>
      <w:r>
        <w:rPr>
          <w:rFonts w:hint="eastAsia" w:ascii="宋体" w:hAnsi="宋体" w:eastAsia="宋体"/>
          <w:sz w:val="21"/>
        </w:rPr>
        <w:t>。因此，本文采用更适合小样本表格数据的机器学习模型，包括随机森林回归、极端随机树回归、梯度提升回归和径向基支持向量回归。</w:t>
      </w:r>
      <w:r>
        <w:rPr>
          <w:rFonts w:ascii="宋体" w:hAnsi="宋体" w:eastAsia="宋体"/>
          <w:sz w:val="21"/>
        </w:rPr>
        <w:t>随机森林由</w:t>
      </w:r>
      <m:oMath>
        <m:r>
          <m:rPr>
            <m:sty m:val="p"/>
          </m:rPr>
          <w:rPr>
            <w:rFonts w:ascii="Cambria Math" w:hAnsi="Cambria Math" w:eastAsia="宋体" w:cstheme="minorBidi"/>
            <w:sz w:val="21"/>
            <w:szCs w:val="22"/>
            <w:lang w:val="en-US" w:bidi="ar-SA"/>
          </w:rPr>
          <m:t xml:space="preserve"> Breiman </m:t>
        </m:r>
      </m:oMath>
      <w:r>
        <w:rPr>
          <w:rFonts w:ascii="宋体" w:hAnsi="宋体" w:eastAsia="宋体"/>
          <w:sz w:val="21"/>
        </w:rPr>
        <w:t>提出，能够通过集成多棵决策树降低方差并处理非线性关系</w:t>
      </w:r>
      <w:r>
        <w:rPr>
          <w:rFonts w:ascii="宋体" w:hAnsi="宋体" w:eastAsia="宋体"/>
          <w:sz w:val="21"/>
          <w:vertAlign w:val="superscript"/>
        </w:rPr>
        <w:t>[7]</w:t>
      </w:r>
      <w:r>
        <w:rPr>
          <w:rFonts w:ascii="宋体" w:hAnsi="宋体" w:eastAsia="宋体"/>
          <w:sz w:val="21"/>
        </w:rPr>
        <w:t>；极端随机树进一步增强节点划分随机性，常用于小样本非线性回归</w:t>
      </w:r>
      <w:r>
        <w:rPr>
          <w:rFonts w:ascii="宋体" w:hAnsi="宋体" w:eastAsia="宋体"/>
          <w:sz w:val="21"/>
          <w:vertAlign w:val="superscript"/>
        </w:rPr>
        <w:t>[8]</w:t>
      </w:r>
      <w:r>
        <w:rPr>
          <w:rFonts w:ascii="宋体" w:hAnsi="宋体" w:eastAsia="宋体"/>
          <w:sz w:val="21"/>
        </w:rPr>
        <w:t>；梯度提升通过逐步拟合残差提高预测能力</w:t>
      </w:r>
      <w:r>
        <w:rPr>
          <w:rFonts w:ascii="宋体" w:hAnsi="宋体" w:eastAsia="宋体"/>
          <w:sz w:val="21"/>
          <w:vertAlign w:val="superscript"/>
        </w:rPr>
        <w:t>[9]</w:t>
      </w:r>
      <w:r>
        <w:rPr>
          <w:rFonts w:ascii="宋体" w:hAnsi="宋体" w:eastAsia="宋体"/>
          <w:sz w:val="21"/>
        </w:rPr>
        <w:t>；支持向量回归则通过核函数处理非线性映射</w:t>
      </w:r>
      <w:r>
        <w:rPr>
          <w:rFonts w:ascii="宋体" w:hAnsi="宋体" w:eastAsia="宋体"/>
          <w:sz w:val="21"/>
          <w:vertAlign w:val="superscript"/>
        </w:rPr>
        <w:t>[10]</w:t>
      </w:r>
      <w:r>
        <w:rPr>
          <w:rFonts w:ascii="宋体" w:hAnsi="宋体" w:eastAsia="宋体"/>
          <w:sz w:val="21"/>
        </w:rPr>
        <w:t>。</w:t>
      </w:r>
    </w:p>
    <w:p w14:paraId="39FFDF69">
      <w:pPr>
        <w:spacing w:before="120" w:after="80" w:line="300" w:lineRule="auto"/>
        <w:jc w:val="left"/>
      </w:pPr>
      <w:r>
        <w:rPr>
          <w:rFonts w:ascii="黑体" w:hAnsi="黑体" w:eastAsia="黑体"/>
          <w:b/>
          <w:sz w:val="21"/>
        </w:rPr>
        <w:t>4.2 训练方法与评价指标</w:t>
      </w:r>
    </w:p>
    <w:p w14:paraId="1641708D">
      <w:pPr>
        <w:spacing w:before="0" w:after="0" w:line="300" w:lineRule="auto"/>
        <w:ind w:firstLine="420"/>
        <w:jc w:val="both"/>
      </w:pPr>
      <w:r>
        <w:rPr>
          <w:rFonts w:hint="eastAsia" w:ascii="宋体" w:hAnsi="宋体" w:eastAsia="宋体"/>
          <w:sz w:val="21"/>
        </w:rPr>
        <w:t>由于样本数仅为 25，本文采用留一交叉验证评价模型泛化性能。交叉验证是小样本机器学习中常用的模型评估方法，可在有限样本条件下尽可能充分利用数据，并减少单次训练集—测试集划分带来的偶然性</w:t>
      </w:r>
      <w:r>
        <w:rPr>
          <w:rFonts w:hint="eastAsia" w:ascii="宋体" w:hAnsi="宋体" w:eastAsia="宋体"/>
          <w:sz w:val="21"/>
          <w:vertAlign w:val="superscript"/>
        </w:rPr>
        <w:t>[12,13]</w:t>
      </w:r>
      <w:r>
        <w:rPr>
          <w:rFonts w:hint="eastAsia" w:ascii="宋体" w:hAnsi="宋体" w:eastAsia="宋体"/>
          <w:sz w:val="21"/>
        </w:rPr>
        <w:t>。每次取 24 个样本训练，剩余 1 个样本验证，循环 25 次后得到所有工况的交叉验证预测值。</w:t>
      </w:r>
      <w:r>
        <w:rPr>
          <w:rFonts w:ascii="宋体" w:hAnsi="宋体" w:eastAsia="宋体"/>
          <w:sz w:val="21"/>
        </w:rPr>
        <w:t>评价指标包括决定系数</w:t>
      </w:r>
      <m:oMath>
        <m:r>
          <m:rPr>
            <m:sty m:val="p"/>
          </m:rPr>
          <w:rPr>
            <w:rFonts w:ascii="Cambria Math" w:hAnsi="Cambria Math" w:eastAsia="宋体" w:cstheme="minorBidi"/>
            <w:sz w:val="21"/>
            <w:szCs w:val="22"/>
            <w:lang w:val="en-US" w:bidi="ar-SA"/>
          </w:rPr>
          <m:t xml:space="preserve"> R²</m:t>
        </m:r>
      </m:oMath>
      <w:r>
        <w:rPr>
          <w:rFonts w:ascii="宋体" w:hAnsi="宋体" w:eastAsia="宋体"/>
          <w:sz w:val="21"/>
        </w:rPr>
        <w:t>、平均绝对误差 MAE、均方根误差 RMSE 和最大绝对误差。其定义为：</w:t>
      </w:r>
    </w:p>
    <w:p w14:paraId="4F9335D1">
      <w:pPr>
        <w:spacing w:before="40" w:after="40"/>
        <w:jc w:val="center"/>
      </w:pPr>
      <m:oMath>
        <m:r>
          <m:rPr/>
          <w:rPr>
            <w:rFonts w:hint="default" w:ascii="Cambria Math" w:hAnsi="Cambria Math" w:eastAsia="宋体"/>
            <w:sz w:val="21"/>
          </w:rPr>
          <m:t>MAE=</m:t>
        </m:r>
        <m:f>
          <m:fPr>
            <m:ctrlPr>
              <w:rPr>
                <w:rFonts w:hint="default" w:ascii="Cambria Math" w:hAnsi="Cambria Math" w:eastAsia="宋体"/>
                <w:sz w:val="21"/>
              </w:rPr>
            </m:ctrlPr>
          </m:fPr>
          <m:num>
            <m:r>
              <m:rPr/>
              <w:rPr>
                <w:rFonts w:hint="default" w:ascii="Cambria Math" w:hAnsi="Cambria Math" w:eastAsia="宋体"/>
                <w:sz w:val="21"/>
              </w:rPr>
              <m:t>1</m:t>
            </m:r>
            <m:ctrlPr>
              <w:rPr>
                <w:rFonts w:ascii="Cambria Math" w:hAnsi="Cambria Math" w:eastAsia="宋体"/>
                <w:sz w:val="21"/>
              </w:rPr>
            </m:ctrlPr>
          </m:num>
          <m:den>
            <m:r>
              <m:rPr/>
              <w:rPr>
                <w:rFonts w:hint="default" w:ascii="Cambria Math" w:hAnsi="Cambria Math" w:eastAsia="宋体"/>
                <w:sz w:val="21"/>
              </w:rPr>
              <m:t>n</m:t>
            </m:r>
            <m:ctrlPr>
              <w:rPr>
                <w:rFonts w:ascii="Cambria Math" w:hAnsi="Cambria Math" w:eastAsia="宋体"/>
                <w:sz w:val="21"/>
              </w:rPr>
            </m:ctrlPr>
          </m:den>
        </m:f>
        <m:r>
          <m:rPr/>
          <w:rPr>
            <w:rFonts w:hint="default" w:ascii="Cambria Math" w:hAnsi="Cambria Math" w:eastAsia="宋体"/>
            <w:sz w:val="21"/>
          </w:rPr>
          <m:t>Σ|yᵢ−ŷᵢ|</m:t>
        </m:r>
      </m:oMath>
      <w:r>
        <w:rPr>
          <w:rFonts w:ascii="Times New Roman" w:hAnsi="Times New Roman" w:eastAsia="宋体"/>
          <w:sz w:val="21"/>
        </w:rPr>
        <w:t xml:space="preserve">    （6）</w:t>
      </w:r>
    </w:p>
    <w:p w14:paraId="3BA3A6C0">
      <w:pPr>
        <w:spacing w:before="40" w:after="40"/>
        <w:jc w:val="center"/>
      </w:pPr>
      <m:oMath>
        <m:r>
          <m:rPr/>
          <w:rPr>
            <w:rFonts w:hint="default" w:ascii="Cambria Math" w:hAnsi="Cambria Math" w:eastAsia="宋体"/>
            <w:sz w:val="21"/>
          </w:rPr>
          <m:t>RMSE=</m:t>
        </m:r>
        <m:rad>
          <m:radPr>
            <m:degHide m:val="1"/>
            <m:ctrlPr>
              <w:rPr>
                <w:rFonts w:hint="default" w:ascii="Cambria Math" w:hAnsi="Cambria Math" w:eastAsia="宋体"/>
                <w:sz w:val="21"/>
              </w:rPr>
            </m:ctrlPr>
          </m:radPr>
          <m:deg>
            <m:ctrlPr>
              <w:rPr>
                <w:rFonts w:ascii="Cambria Math" w:hAnsi="Cambria Math" w:eastAsia="宋体"/>
                <w:sz w:val="21"/>
              </w:rPr>
            </m:ctrlPr>
          </m:deg>
          <m:e>
            <m:f>
              <m:fPr>
                <m:ctrlPr>
                  <w:rPr>
                    <w:rFonts w:hint="default" w:ascii="Cambria Math" w:hAnsi="Cambria Math" w:eastAsia="宋体"/>
                    <w:sz w:val="21"/>
                  </w:rPr>
                </m:ctrlPr>
              </m:fPr>
              <m:num>
                <m:r>
                  <m:rPr/>
                  <w:rPr>
                    <w:rFonts w:hint="default" w:ascii="Cambria Math" w:hAnsi="Cambria Math" w:eastAsia="宋体"/>
                    <w:sz w:val="21"/>
                  </w:rPr>
                  <m:t>1</m:t>
                </m:r>
                <m:ctrlPr>
                  <w:rPr>
                    <w:rFonts w:ascii="Cambria Math" w:hAnsi="Cambria Math" w:eastAsia="宋体"/>
                    <w:sz w:val="21"/>
                  </w:rPr>
                </m:ctrlPr>
              </m:num>
              <m:den>
                <m:r>
                  <m:rPr/>
                  <w:rPr>
                    <w:rFonts w:hint="default" w:ascii="Cambria Math" w:hAnsi="Cambria Math" w:eastAsia="宋体"/>
                    <w:sz w:val="21"/>
                  </w:rPr>
                  <m:t>n</m:t>
                </m:r>
                <m:ctrlPr>
                  <w:rPr>
                    <w:rFonts w:ascii="Cambria Math" w:hAnsi="Cambria Math" w:eastAsia="宋体"/>
                    <w:sz w:val="21"/>
                  </w:rPr>
                </m:ctrlPr>
              </m:den>
            </m:f>
            <m:r>
              <m:rPr/>
              <w:rPr>
                <w:rFonts w:hint="default" w:ascii="Cambria Math" w:hAnsi="Cambria Math" w:eastAsia="宋体"/>
                <w:sz w:val="21"/>
              </w:rPr>
              <m:t>Σ(yᵢ−ŷᵢ)²</m:t>
            </m:r>
            <m:ctrlPr>
              <w:rPr>
                <w:rFonts w:hint="default" w:ascii="Cambria Math" w:hAnsi="Cambria Math" w:eastAsia="宋体"/>
                <w:sz w:val="21"/>
              </w:rPr>
            </m:ctrlPr>
          </m:e>
        </m:rad>
      </m:oMath>
      <w:r>
        <w:rPr>
          <w:rFonts w:ascii="Times New Roman" w:hAnsi="Times New Roman" w:eastAsia="宋体"/>
          <w:sz w:val="21"/>
        </w:rPr>
        <w:t xml:space="preserve">    （7）</w:t>
      </w:r>
    </w:p>
    <w:p w14:paraId="47C3AFA7">
      <w:pPr>
        <w:spacing w:before="40" w:after="40"/>
        <w:jc w:val="center"/>
      </w:pPr>
      <m:oMath>
        <m:r>
          <m:rPr/>
          <w:rPr>
            <w:rFonts w:hint="default" w:ascii="Cambria Math" w:hAnsi="Cambria Math" w:eastAsia="宋体"/>
            <w:sz w:val="21"/>
          </w:rPr>
          <m:t>R²=1−</m:t>
        </m:r>
        <m:f>
          <m:fPr>
            <m:ctrlPr>
              <w:rPr>
                <w:rFonts w:hint="default" w:ascii="Cambria Math" w:hAnsi="Cambria Math" w:eastAsia="宋体"/>
                <w:sz w:val="21"/>
              </w:rPr>
            </m:ctrlPr>
          </m:fPr>
          <m:num>
            <m:r>
              <m:rPr/>
              <w:rPr>
                <w:rFonts w:hint="default" w:ascii="Cambria Math" w:hAnsi="Cambria Math" w:eastAsia="宋体"/>
                <w:sz w:val="21"/>
              </w:rPr>
              <m:t>Σ(yᵢ−ŷᵢ)²</m:t>
            </m:r>
            <m:ctrlPr>
              <w:rPr>
                <w:rFonts w:ascii="Cambria Math" w:hAnsi="Cambria Math" w:eastAsia="宋体"/>
                <w:sz w:val="21"/>
              </w:rPr>
            </m:ctrlPr>
          </m:num>
          <m:den>
            <m:r>
              <m:rPr/>
              <w:rPr>
                <w:rFonts w:hint="default" w:ascii="Cambria Math" w:hAnsi="Cambria Math" w:eastAsia="宋体"/>
                <w:sz w:val="21"/>
              </w:rPr>
              <m:t>Σ(yᵢ−ȳ)²</m:t>
            </m:r>
            <m:ctrlPr>
              <w:rPr>
                <w:rFonts w:ascii="Cambria Math" w:hAnsi="Cambria Math" w:eastAsia="宋体"/>
                <w:sz w:val="21"/>
              </w:rPr>
            </m:ctrlPr>
          </m:den>
        </m:f>
      </m:oMath>
      <w:r>
        <w:rPr>
          <w:rFonts w:ascii="Times New Roman" w:hAnsi="Times New Roman" w:eastAsia="宋体"/>
          <w:sz w:val="21"/>
        </w:rPr>
        <w:t xml:space="preserve">    （8）</w:t>
      </w:r>
    </w:p>
    <w:p w14:paraId="0176BDEA">
      <w:pPr>
        <w:spacing w:before="0" w:after="0" w:line="300" w:lineRule="auto"/>
        <w:ind w:firstLine="420"/>
        <w:jc w:val="both"/>
      </w:pPr>
      <w:r>
        <w:rPr>
          <w:rFonts w:ascii="宋体" w:hAnsi="宋体" w:eastAsia="宋体"/>
          <w:sz w:val="21"/>
        </w:rPr>
        <w:t>训练完成后，选择</w:t>
      </w:r>
      <m:oMath>
        <m:r>
          <m:rPr>
            <m:sty m:val="p"/>
          </m:rPr>
          <w:rPr>
            <w:rFonts w:ascii="Cambria Math" w:hAnsi="Cambria Math" w:eastAsia="宋体" w:cstheme="minorBidi"/>
            <w:sz w:val="21"/>
            <w:szCs w:val="22"/>
            <w:lang w:val="en-US" w:bidi="ar-SA"/>
          </w:rPr>
          <m:t xml:space="preserve"> RMSE </m:t>
        </m:r>
      </m:oMath>
      <w:r>
        <w:rPr>
          <w:rFonts w:ascii="宋体" w:hAnsi="宋体" w:eastAsia="宋体"/>
          <w:sz w:val="21"/>
        </w:rPr>
        <w:t>最小的模型作为最优代理模型，并利用其在高度</w:t>
      </w:r>
      <m:oMath>
        <m:r>
          <m:rPr>
            <m:sty m:val="p"/>
          </m:rPr>
          <w:rPr>
            <w:rFonts w:ascii="Cambria Math" w:hAnsi="Cambria Math" w:eastAsia="宋体" w:cstheme="minorBidi"/>
            <w:sz w:val="21"/>
            <w:szCs w:val="22"/>
            <w:lang w:val="en-US" w:bidi="ar-SA"/>
          </w:rPr>
          <m:t xml:space="preserve"> 0.2−1.0 m</m:t>
        </m:r>
      </m:oMath>
      <w:r>
        <w:rPr>
          <w:rFonts w:ascii="宋体" w:hAnsi="宋体" w:eastAsia="宋体"/>
          <w:sz w:val="21"/>
        </w:rPr>
        <w:t xml:space="preserve">、角度 </w:t>
      </w:r>
      <m:oMath>
        <m:r>
          <m:rPr>
            <m:sty m:val="p"/>
          </m:rPr>
          <w:rPr>
            <w:rFonts w:ascii="Cambria Math" w:hAnsi="Cambria Math" w:eastAsia="宋体" w:cstheme="minorBidi"/>
            <w:sz w:val="21"/>
            <w:szCs w:val="22"/>
            <w:lang w:val="en-US" w:bidi="ar-SA"/>
          </w:rPr>
          <m:t>0°−90°</m:t>
        </m:r>
      </m:oMath>
      <w:r>
        <w:rPr>
          <w:rFonts w:ascii="宋体" w:hAnsi="宋体" w:eastAsia="宋体"/>
          <w:sz w:val="21"/>
        </w:rPr>
        <w:t>范围内进行加密预测，生成高度—角度风险分布图。该图不是替代有限元真实计算，而是作为快速参数筛查工具，用于识别潜在危险区域。</w:t>
      </w:r>
    </w:p>
    <w:p w14:paraId="3F3316AF">
      <w:pPr>
        <w:spacing w:before="40" w:after="120"/>
        <w:jc w:val="center"/>
      </w:pPr>
      <w:r>
        <w:rPr>
          <w:rFonts w:ascii="宋体" w:hAnsi="宋体" w:eastAsia="宋体"/>
          <w:sz w:val="18"/>
        </w:rPr>
        <w:t>表 3  不同机器学习模型的留一交叉验证结果</w:t>
      </w:r>
    </w:p>
    <w:tbl>
      <w:tblPr>
        <w:tblStyle w:val="33"/>
        <w:tblW w:w="9446" w:type="dxa"/>
        <w:jc w:val="center"/>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Layout w:type="autofit"/>
        <w:tblCellMar>
          <w:top w:w="0" w:type="dxa"/>
          <w:left w:w="108" w:type="dxa"/>
          <w:bottom w:w="0" w:type="dxa"/>
          <w:right w:w="108" w:type="dxa"/>
        </w:tblCellMar>
      </w:tblPr>
      <w:tblGrid>
        <w:gridCol w:w="2536"/>
        <w:gridCol w:w="1077"/>
        <w:gridCol w:w="1709"/>
        <w:gridCol w:w="1864"/>
        <w:gridCol w:w="2260"/>
      </w:tblGrid>
      <w:tr w14:paraId="7F5A3A19">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9C986DC">
            <w:pPr>
              <w:snapToGrid w:val="0"/>
              <w:spacing w:line="240" w:lineRule="auto"/>
              <w:ind w:left="0" w:leftChars="0" w:right="0" w:rightChars="0" w:firstLine="0" w:firstLineChars="0"/>
              <w:jc w:val="center"/>
              <w:rPr>
                <w:rFonts w:ascii="Cambria Math" w:eastAsia="宋体"/>
                <w:b/>
                <w:sz w:val="18"/>
              </w:rPr>
            </w:pPr>
            <w:r>
              <w:rPr>
                <w:rFonts w:ascii="Cambria Math" w:hAnsi="宋体" w:eastAsia="宋体"/>
                <w:b/>
                <w:sz w:val="18"/>
              </w:rPr>
              <w:t>模型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30B1B40">
            <w:pPr>
              <w:snapToGrid w:val="0"/>
              <w:spacing w:line="240" w:lineRule="auto"/>
              <w:ind w:left="0" w:leftChars="0" w:right="0" w:rightChars="0" w:firstLine="0" w:firstLineChars="0"/>
              <w:jc w:val="center"/>
              <w:rPr>
                <w:rFonts w:ascii="Cambria Math" w:eastAsia="宋体"/>
                <w:b/>
                <w:sz w:val="18"/>
              </w:rPr>
            </w:pPr>
            <w:r>
              <w:rPr>
                <w:rFonts w:ascii="Cambria Math" w:hAnsi="宋体" w:eastAsia="宋体"/>
                <w:b/>
                <w:sz w:val="18"/>
              </w:rPr>
              <w:t>R²</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529FA1D">
            <w:pPr>
              <w:snapToGrid w:val="0"/>
              <w:spacing w:line="240" w:lineRule="auto"/>
              <w:ind w:left="0" w:leftChars="0" w:right="0" w:rightChars="0" w:firstLine="0" w:firstLineChars="0"/>
              <w:jc w:val="center"/>
              <w:rPr>
                <w:rFonts w:ascii="Cambria Math" w:eastAsia="宋体"/>
                <w:b/>
                <w:sz w:val="18"/>
              </w:rPr>
            </w:pPr>
            <m:oMathPara>
              <m:oMath>
                <m:r>
                  <m:rPr>
                    <m:sty m:val="b"/>
                  </m:rPr>
                  <w:rPr>
                    <w:rFonts w:ascii="Cambria Math" w:hAnsi="Cambria Math" w:eastAsia="宋体" w:cstheme="minorBidi"/>
                    <w:sz w:val="18"/>
                    <w:szCs w:val="22"/>
                    <w:lang w:val="en-US" w:bidi="ar-SA"/>
                  </w:rPr>
                  <m:t>MAE/MPa</m:t>
                </m:r>
              </m:oMath>
            </m:oMathPara>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AA91C42">
            <w:pPr>
              <w:snapToGrid w:val="0"/>
              <w:spacing w:line="240" w:lineRule="auto"/>
              <w:ind w:left="0" w:leftChars="0" w:right="0" w:rightChars="0" w:firstLine="0" w:firstLineChars="0"/>
              <w:jc w:val="center"/>
              <w:rPr>
                <w:rFonts w:ascii="Cambria Math" w:eastAsia="宋体"/>
                <w:b/>
                <w:sz w:val="18"/>
              </w:rPr>
            </w:pPr>
            <m:oMathPara>
              <m:oMath>
                <m:r>
                  <m:rPr>
                    <m:sty m:val="b"/>
                  </m:rPr>
                  <w:rPr>
                    <w:rFonts w:ascii="Cambria Math" w:hAnsi="Cambria Math" w:eastAsia="宋体" w:cstheme="minorBidi"/>
                    <w:sz w:val="18"/>
                    <w:szCs w:val="22"/>
                    <w:lang w:val="en-US" w:bidi="ar-SA"/>
                  </w:rPr>
                  <m:t>RMSE/MPa</m:t>
                </m:r>
              </m:oMath>
            </m:oMathPara>
          </w:p>
        </w:tc>
        <w:tc>
          <w:tcPr>
            <w:tcW w:w="2260" w:type="dxa"/>
            <w:tcBorders>
              <w:top w:val="single" w:color="auto" w:sz="12" w:space="0"/>
              <w:left w:val="nil"/>
              <w:bottom w:val="nil"/>
              <w:right w:val="nil"/>
            </w:tcBorders>
            <w:noWrap w:val="0"/>
            <w:tcMar>
              <w:top w:w="-1" w:type="dxa"/>
              <w:left w:w="-1" w:type="dxa"/>
              <w:bottom w:w="-1" w:type="dxa"/>
              <w:right w:w="-1" w:type="dxa"/>
            </w:tcMar>
            <w:vAlign w:val="center"/>
          </w:tcPr>
          <w:p w14:paraId="036BF1B0">
            <w:pPr>
              <w:snapToGrid w:val="0"/>
              <w:spacing w:line="240" w:lineRule="auto"/>
              <w:ind w:left="0" w:leftChars="0" w:right="0" w:rightChars="0" w:firstLine="0" w:firstLineChars="0"/>
              <w:jc w:val="center"/>
              <w:rPr>
                <w:rFonts w:ascii="Cambria Math" w:eastAsia="宋体"/>
                <w:b/>
                <w:sz w:val="18"/>
              </w:rPr>
            </w:pPr>
            <m:oMathPara>
              <m:oMath>
                <m:r>
                  <m:rPr>
                    <m:sty m:val="b"/>
                  </m:rPr>
                  <w:rPr>
                    <w:rFonts w:ascii="Cambria Math" w:hAnsi="Cambria Math" w:eastAsia="宋体" w:cstheme="minorBidi"/>
                    <w:sz w:val="18"/>
                    <w:szCs w:val="22"/>
                    <w:lang w:val="en-US" w:bidi="ar-SA"/>
                  </w:rPr>
                  <m:t>最大误差/MPa</m:t>
                </m:r>
              </m:oMath>
            </m:oMathPara>
          </w:p>
        </w:tc>
      </w:tr>
      <w:tr w14:paraId="3A8E4231">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7CE77D0">
            <w:pPr>
              <w:snapToGrid w:val="0"/>
              <w:spacing w:line="240" w:lineRule="auto"/>
              <w:ind w:left="0" w:leftChars="0" w:right="0" w:rightChars="0" w:firstLine="0" w:firstLineChars="0"/>
              <w:jc w:val="center"/>
              <w:rPr>
                <w:rFonts w:ascii="宋体" w:eastAsia="宋体"/>
                <w:sz w:val="18"/>
              </w:rPr>
            </w:pPr>
            <m:oMathPara>
              <m:oMath>
                <m:r>
                  <m:rPr>
                    <m:sty m:val="p"/>
                  </m:rPr>
                  <w:rPr>
                    <w:rFonts w:ascii="Cambria Math" w:hAnsi="Cambria Math" w:eastAsia="宋体" w:cstheme="minorBidi"/>
                    <w:sz w:val="18"/>
                    <w:szCs w:val="22"/>
                    <w:lang w:val="en-US" w:bidi="ar-SA"/>
                  </w:rPr>
                  <m:t>ExtraTrees</m:t>
                </m:r>
              </m:oMath>
            </m:oMathPara>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8C24059">
            <w:pPr>
              <w:snapToGrid w:val="0"/>
              <w:spacing w:line="240" w:lineRule="auto"/>
              <w:ind w:left="0" w:leftChars="0" w:right="0" w:rightChars="0" w:firstLine="0" w:firstLineChars="0"/>
              <w:jc w:val="left"/>
              <w:rPr>
                <w:rFonts w:ascii="宋体" w:eastAsia="宋体"/>
                <w:sz w:val="18"/>
              </w:rPr>
            </w:pPr>
            <w:r>
              <w:rPr>
                <w:rFonts w:ascii="宋体" w:hAnsi="宋体" w:eastAsia="宋体"/>
                <w:b w:val="0"/>
                <w:sz w:val="18"/>
              </w:rPr>
              <w:t>0.893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8E6949">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32.725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0DA98A5">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41.462</w:t>
            </w:r>
          </w:p>
        </w:tc>
        <w:tc>
          <w:tcPr>
            <w:tcW w:w="2260" w:type="dxa"/>
            <w:tcBorders>
              <w:top w:val="single" w:color="auto" w:sz="4" w:space="0"/>
              <w:left w:val="nil"/>
              <w:bottom w:val="nil"/>
              <w:right w:val="nil"/>
            </w:tcBorders>
            <w:noWrap w:val="0"/>
            <w:tcMar>
              <w:top w:w="-1" w:type="dxa"/>
              <w:left w:w="-1" w:type="dxa"/>
              <w:bottom w:w="-1" w:type="dxa"/>
              <w:right w:w="-1" w:type="dxa"/>
            </w:tcMar>
            <w:vAlign w:val="center"/>
          </w:tcPr>
          <w:p w14:paraId="4B220C23">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95.307</w:t>
            </w:r>
          </w:p>
        </w:tc>
      </w:tr>
      <w:tr w14:paraId="12B00464">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21701A">
            <w:pPr>
              <w:snapToGrid w:val="0"/>
              <w:spacing w:line="240" w:lineRule="auto"/>
              <w:ind w:left="0" w:leftChars="0" w:right="0" w:rightChars="0" w:firstLine="0" w:firstLineChars="0"/>
              <w:jc w:val="center"/>
              <w:rPr>
                <w:rFonts w:ascii="宋体" w:eastAsia="宋体"/>
                <w:sz w:val="18"/>
              </w:rPr>
            </w:pPr>
            <m:oMathPara>
              <m:oMath>
                <m:r>
                  <m:rPr>
                    <m:sty m:val="p"/>
                  </m:rPr>
                  <w:rPr>
                    <w:rFonts w:ascii="Cambria Math" w:hAnsi="Cambria Math" w:eastAsia="宋体" w:cstheme="minorBidi"/>
                    <w:sz w:val="18"/>
                    <w:szCs w:val="22"/>
                    <w:lang w:val="en-US" w:bidi="ar-SA"/>
                  </w:rPr>
                  <m:t>GradientBoosting</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5DFE26A1">
            <w:pPr>
              <w:snapToGrid w:val="0"/>
              <w:spacing w:line="240" w:lineRule="auto"/>
              <w:ind w:left="0" w:leftChars="0" w:right="0" w:rightChars="0" w:firstLine="0" w:firstLineChars="0"/>
              <w:jc w:val="left"/>
              <w:rPr>
                <w:rFonts w:ascii="宋体" w:eastAsia="宋体"/>
                <w:sz w:val="18"/>
              </w:rPr>
            </w:pPr>
            <w:r>
              <w:rPr>
                <w:rFonts w:ascii="宋体" w:hAnsi="宋体" w:eastAsia="宋体"/>
                <w:b w:val="0"/>
                <w:sz w:val="18"/>
              </w:rPr>
              <w:t>0.863</w:t>
            </w:r>
          </w:p>
        </w:tc>
        <w:tc>
          <w:tcPr>
            <w:tcW w:w="0" w:type="auto"/>
            <w:tcBorders>
              <w:top w:val="nil"/>
              <w:left w:val="nil"/>
              <w:bottom w:val="nil"/>
              <w:right w:val="nil"/>
            </w:tcBorders>
            <w:noWrap w:val="0"/>
            <w:tcMar>
              <w:top w:w="-1" w:type="dxa"/>
              <w:left w:w="-1" w:type="dxa"/>
              <w:bottom w:w="-1" w:type="dxa"/>
              <w:right w:w="-1" w:type="dxa"/>
            </w:tcMar>
            <w:vAlign w:val="center"/>
          </w:tcPr>
          <w:p w14:paraId="40E1F6BD">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37.343</w:t>
            </w:r>
          </w:p>
        </w:tc>
        <w:tc>
          <w:tcPr>
            <w:tcW w:w="0" w:type="auto"/>
            <w:tcBorders>
              <w:top w:val="nil"/>
              <w:left w:val="nil"/>
              <w:bottom w:val="nil"/>
              <w:right w:val="nil"/>
            </w:tcBorders>
            <w:noWrap w:val="0"/>
            <w:tcMar>
              <w:top w:w="-1" w:type="dxa"/>
              <w:left w:w="-1" w:type="dxa"/>
              <w:bottom w:w="-1" w:type="dxa"/>
              <w:right w:w="-1" w:type="dxa"/>
            </w:tcMar>
            <w:vAlign w:val="center"/>
          </w:tcPr>
          <w:p w14:paraId="68ED42A4">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46.997</w:t>
            </w:r>
          </w:p>
        </w:tc>
        <w:tc>
          <w:tcPr>
            <w:tcW w:w="2260" w:type="dxa"/>
            <w:tcBorders>
              <w:top w:val="nil"/>
              <w:left w:val="nil"/>
              <w:bottom w:val="nil"/>
              <w:right w:val="nil"/>
            </w:tcBorders>
            <w:noWrap w:val="0"/>
            <w:tcMar>
              <w:top w:w="-1" w:type="dxa"/>
              <w:left w:w="-1" w:type="dxa"/>
              <w:bottom w:w="-1" w:type="dxa"/>
              <w:right w:w="-1" w:type="dxa"/>
            </w:tcMar>
            <w:vAlign w:val="center"/>
          </w:tcPr>
          <w:p w14:paraId="368E0CBB">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125.125</w:t>
            </w:r>
          </w:p>
        </w:tc>
      </w:tr>
      <w:tr w14:paraId="33315E9F">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45EF326">
            <w:pPr>
              <w:snapToGrid w:val="0"/>
              <w:spacing w:line="240" w:lineRule="auto"/>
              <w:ind w:left="0" w:leftChars="0" w:right="0" w:rightChars="0" w:firstLine="0" w:firstLineChars="0"/>
              <w:jc w:val="center"/>
              <w:rPr>
                <w:rFonts w:ascii="宋体" w:eastAsia="宋体"/>
                <w:sz w:val="18"/>
              </w:rPr>
            </w:pPr>
            <m:oMathPara>
              <m:oMath>
                <m:r>
                  <m:rPr>
                    <m:sty m:val="p"/>
                  </m:rPr>
                  <w:rPr>
                    <w:rFonts w:ascii="Cambria Math" w:hAnsi="Cambria Math" w:eastAsia="宋体" w:cstheme="minorBidi"/>
                    <w:sz w:val="18"/>
                    <w:szCs w:val="22"/>
                    <w:lang w:val="en-US" w:bidi="ar-SA"/>
                  </w:rPr>
                  <m:t>RandomForest</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696EE6C0">
            <w:pPr>
              <w:snapToGrid w:val="0"/>
              <w:spacing w:line="240" w:lineRule="auto"/>
              <w:ind w:left="0" w:leftChars="0" w:right="0" w:rightChars="0" w:firstLine="0" w:firstLineChars="0"/>
              <w:jc w:val="left"/>
              <w:rPr>
                <w:rFonts w:ascii="宋体" w:eastAsia="宋体"/>
                <w:sz w:val="18"/>
              </w:rPr>
            </w:pPr>
            <w:r>
              <w:rPr>
                <w:rFonts w:ascii="宋体" w:hAnsi="宋体" w:eastAsia="宋体"/>
                <w:b w:val="0"/>
                <w:sz w:val="18"/>
              </w:rPr>
              <w:t>0.863</w:t>
            </w:r>
          </w:p>
        </w:tc>
        <w:tc>
          <w:tcPr>
            <w:tcW w:w="0" w:type="auto"/>
            <w:tcBorders>
              <w:top w:val="nil"/>
              <w:left w:val="nil"/>
              <w:bottom w:val="nil"/>
              <w:right w:val="nil"/>
            </w:tcBorders>
            <w:noWrap w:val="0"/>
            <w:tcMar>
              <w:top w:w="-1" w:type="dxa"/>
              <w:left w:w="-1" w:type="dxa"/>
              <w:bottom w:w="-1" w:type="dxa"/>
              <w:right w:w="-1" w:type="dxa"/>
            </w:tcMar>
            <w:vAlign w:val="center"/>
          </w:tcPr>
          <w:p w14:paraId="3B72EBBD">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36.487</w:t>
            </w:r>
          </w:p>
        </w:tc>
        <w:tc>
          <w:tcPr>
            <w:tcW w:w="0" w:type="auto"/>
            <w:tcBorders>
              <w:top w:val="nil"/>
              <w:left w:val="nil"/>
              <w:bottom w:val="nil"/>
              <w:right w:val="nil"/>
            </w:tcBorders>
            <w:noWrap w:val="0"/>
            <w:tcMar>
              <w:top w:w="-1" w:type="dxa"/>
              <w:left w:w="-1" w:type="dxa"/>
              <w:bottom w:w="-1" w:type="dxa"/>
              <w:right w:w="-1" w:type="dxa"/>
            </w:tcMar>
            <w:vAlign w:val="center"/>
          </w:tcPr>
          <w:p w14:paraId="3A5544D2">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47.065</w:t>
            </w:r>
          </w:p>
        </w:tc>
        <w:tc>
          <w:tcPr>
            <w:tcW w:w="2260" w:type="dxa"/>
            <w:tcBorders>
              <w:top w:val="nil"/>
              <w:left w:val="nil"/>
              <w:bottom w:val="nil"/>
              <w:right w:val="nil"/>
            </w:tcBorders>
            <w:noWrap w:val="0"/>
            <w:tcMar>
              <w:top w:w="-1" w:type="dxa"/>
              <w:left w:w="-1" w:type="dxa"/>
              <w:bottom w:w="-1" w:type="dxa"/>
              <w:right w:w="-1" w:type="dxa"/>
            </w:tcMar>
            <w:vAlign w:val="center"/>
          </w:tcPr>
          <w:p w14:paraId="6ABA0F4C">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111.491</w:t>
            </w:r>
          </w:p>
        </w:tc>
      </w:tr>
      <w:tr w14:paraId="6A500211">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2536" w:type="dxa"/>
            <w:tcBorders>
              <w:top w:val="nil"/>
              <w:left w:val="nil"/>
              <w:bottom w:val="single" w:color="auto" w:sz="12" w:space="0"/>
              <w:right w:val="nil"/>
            </w:tcBorders>
            <w:noWrap w:val="0"/>
            <w:tcMar>
              <w:top w:w="-1" w:type="dxa"/>
              <w:left w:w="-1" w:type="dxa"/>
              <w:bottom w:w="-1" w:type="dxa"/>
              <w:right w:w="-1" w:type="dxa"/>
            </w:tcMar>
            <w:vAlign w:val="center"/>
          </w:tcPr>
          <w:p w14:paraId="4243BDDE">
            <w:pPr>
              <w:snapToGrid w:val="0"/>
              <w:spacing w:line="240" w:lineRule="auto"/>
              <w:ind w:left="0" w:leftChars="0" w:right="0" w:rightChars="0" w:firstLine="0" w:firstLineChars="0"/>
              <w:jc w:val="center"/>
              <w:rPr>
                <w:rFonts w:ascii="宋体" w:eastAsia="宋体"/>
                <w:sz w:val="18"/>
              </w:rPr>
            </w:pPr>
            <m:oMathPara>
              <m:oMath>
                <m:r>
                  <m:rPr>
                    <m:sty m:val="p"/>
                  </m:rPr>
                  <w:rPr>
                    <w:rFonts w:ascii="Cambria Math" w:hAnsi="Cambria Math" w:eastAsia="宋体" w:cstheme="minorBidi"/>
                    <w:sz w:val="18"/>
                    <w:szCs w:val="22"/>
                    <w:lang w:val="en-US" w:bidi="ar-SA"/>
                  </w:rPr>
                  <m:t>SVR_RBF</m:t>
                </m:r>
              </m:oMath>
            </m:oMathPara>
          </w:p>
        </w:tc>
        <w:tc>
          <w:tcPr>
            <w:tcW w:w="1077" w:type="dxa"/>
            <w:tcBorders>
              <w:top w:val="nil"/>
              <w:left w:val="nil"/>
              <w:bottom w:val="single" w:color="auto" w:sz="12" w:space="0"/>
              <w:right w:val="nil"/>
            </w:tcBorders>
            <w:noWrap w:val="0"/>
            <w:tcMar>
              <w:top w:w="-1" w:type="dxa"/>
              <w:left w:w="-1" w:type="dxa"/>
              <w:bottom w:w="-1" w:type="dxa"/>
              <w:right w:w="-1" w:type="dxa"/>
            </w:tcMar>
            <w:vAlign w:val="center"/>
          </w:tcPr>
          <w:p w14:paraId="598E327A">
            <w:pPr>
              <w:snapToGrid w:val="0"/>
              <w:spacing w:line="240" w:lineRule="auto"/>
              <w:ind w:left="0" w:leftChars="0" w:right="0" w:rightChars="0" w:firstLine="0" w:firstLineChars="0"/>
              <w:jc w:val="left"/>
              <w:rPr>
                <w:rFonts w:ascii="宋体" w:eastAsia="宋体"/>
                <w:sz w:val="18"/>
              </w:rPr>
            </w:pPr>
            <w:r>
              <w:rPr>
                <w:rFonts w:ascii="宋体" w:hAnsi="宋体" w:eastAsia="宋体"/>
                <w:b w:val="0"/>
                <w:sz w:val="18"/>
              </w:rPr>
              <w:t>0.222</w:t>
            </w:r>
          </w:p>
        </w:tc>
        <w:tc>
          <w:tcPr>
            <w:tcW w:w="1709" w:type="dxa"/>
            <w:tcBorders>
              <w:top w:val="nil"/>
              <w:left w:val="nil"/>
              <w:bottom w:val="single" w:color="auto" w:sz="12" w:space="0"/>
              <w:right w:val="nil"/>
            </w:tcBorders>
            <w:noWrap w:val="0"/>
            <w:tcMar>
              <w:top w:w="-1" w:type="dxa"/>
              <w:left w:w="-1" w:type="dxa"/>
              <w:bottom w:w="-1" w:type="dxa"/>
              <w:right w:w="-1" w:type="dxa"/>
            </w:tcMar>
            <w:vAlign w:val="center"/>
          </w:tcPr>
          <w:p w14:paraId="32705858">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90.793</w:t>
            </w:r>
          </w:p>
        </w:tc>
        <w:tc>
          <w:tcPr>
            <w:tcW w:w="1864" w:type="dxa"/>
            <w:tcBorders>
              <w:top w:val="nil"/>
              <w:left w:val="nil"/>
              <w:bottom w:val="single" w:color="auto" w:sz="12" w:space="0"/>
              <w:right w:val="nil"/>
            </w:tcBorders>
            <w:noWrap w:val="0"/>
            <w:tcMar>
              <w:top w:w="-1" w:type="dxa"/>
              <w:left w:w="-1" w:type="dxa"/>
              <w:bottom w:w="-1" w:type="dxa"/>
              <w:right w:w="-1" w:type="dxa"/>
            </w:tcMar>
            <w:vAlign w:val="center"/>
          </w:tcPr>
          <w:p w14:paraId="14C7C5DA">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112.022</w:t>
            </w:r>
          </w:p>
        </w:tc>
        <w:tc>
          <w:tcPr>
            <w:tcW w:w="2260" w:type="dxa"/>
            <w:tcBorders>
              <w:top w:val="nil"/>
              <w:left w:val="nil"/>
              <w:bottom w:val="single" w:color="auto" w:sz="12" w:space="0"/>
              <w:right w:val="nil"/>
            </w:tcBorders>
            <w:noWrap w:val="0"/>
            <w:tcMar>
              <w:top w:w="-1" w:type="dxa"/>
              <w:left w:w="-1" w:type="dxa"/>
              <w:bottom w:w="-1" w:type="dxa"/>
              <w:right w:w="-1" w:type="dxa"/>
            </w:tcMar>
            <w:vAlign w:val="center"/>
          </w:tcPr>
          <w:p w14:paraId="28A4F62B">
            <w:pPr>
              <w:snapToGrid w:val="0"/>
              <w:spacing w:line="240" w:lineRule="auto"/>
              <w:ind w:left="0" w:leftChars="0" w:right="0" w:rightChars="0" w:firstLine="0" w:firstLineChars="0"/>
              <w:jc w:val="center"/>
              <w:rPr>
                <w:rFonts w:ascii="宋体" w:eastAsia="宋体"/>
                <w:sz w:val="18"/>
              </w:rPr>
            </w:pPr>
            <w:r>
              <w:rPr>
                <w:rFonts w:ascii="宋体" w:hAnsi="宋体" w:eastAsia="宋体"/>
                <w:b w:val="0"/>
                <w:sz w:val="18"/>
              </w:rPr>
              <w:t>311.876</w:t>
            </w:r>
          </w:p>
        </w:tc>
      </w:tr>
    </w:tbl>
    <w:p w14:paraId="0896587B">
      <w:pPr>
        <w:spacing w:before="0" w:after="0" w:line="300" w:lineRule="auto"/>
        <w:ind w:firstLine="420"/>
        <w:jc w:val="both"/>
        <w:rPr>
          <w:rFonts w:ascii="宋体" w:hAnsi="宋体" w:eastAsia="宋体"/>
          <w:sz w:val="21"/>
        </w:rPr>
      </w:pPr>
      <w:r>
        <w:rPr>
          <w:rFonts w:hint="eastAsia" w:ascii="宋体" w:hAnsi="宋体" w:eastAsia="宋体"/>
          <w:sz w:val="21"/>
        </w:rPr>
        <w:t>本文机器学习建模与图表输出基于 Python 中的 scikit-learn 机器学习流程实现，其基本流程包括数据清洗、特征选择、模型训练、交叉验证评价和结果可视化</w:t>
      </w:r>
      <w:r>
        <w:rPr>
          <w:rFonts w:hint="eastAsia" w:ascii="宋体" w:hAnsi="宋体" w:eastAsia="宋体"/>
          <w:sz w:val="21"/>
          <w:vertAlign w:val="superscript"/>
        </w:rPr>
        <w:t>[14]</w:t>
      </w:r>
      <w:r>
        <w:rPr>
          <w:rFonts w:hint="eastAsia" w:ascii="宋体" w:hAnsi="宋体" w:eastAsia="宋体"/>
          <w:sz w:val="21"/>
        </w:rPr>
        <w:t>。</w:t>
      </w:r>
    </w:p>
    <w:p w14:paraId="46B1618E">
      <w:pPr>
        <w:spacing w:before="120" w:after="80" w:line="300" w:lineRule="auto"/>
        <w:jc w:val="left"/>
      </w:pPr>
      <w:r>
        <w:rPr>
          <w:rFonts w:ascii="黑体" w:hAnsi="黑体" w:eastAsia="黑体"/>
          <w:b/>
          <w:sz w:val="28"/>
        </w:rPr>
        <w:t>5 结果与讨论</w:t>
      </w:r>
    </w:p>
    <w:p w14:paraId="01860AAC">
      <w:pPr>
        <w:spacing w:before="120" w:after="80" w:line="300" w:lineRule="auto"/>
        <w:jc w:val="left"/>
      </w:pPr>
      <w:r>
        <w:rPr>
          <w:rFonts w:ascii="黑体" w:hAnsi="黑体" w:eastAsia="黑体"/>
          <w:b/>
          <w:sz w:val="21"/>
        </w:rPr>
        <w:t>5.1 最大主应力响应规律</w:t>
      </w:r>
    </w:p>
    <w:p w14:paraId="590DA39C">
      <w:pPr>
        <w:spacing w:before="0" w:after="0" w:line="300" w:lineRule="auto"/>
        <w:ind w:firstLine="420"/>
        <w:jc w:val="both"/>
      </w:pPr>
      <w:r>
        <w:rPr>
          <w:rFonts w:ascii="宋体" w:hAnsi="宋体" w:eastAsia="宋体"/>
          <w:sz w:val="21"/>
        </w:rPr>
        <w:t>表 4 给出了 25 组工况的最大主应力矩阵。整体上，平躺跌落</w:t>
      </w:r>
      <m:oMath>
        <m:r>
          <m:rPr>
            <m:sty m:val="p"/>
          </m:rPr>
          <w:rPr>
            <w:rFonts w:ascii="Cambria Math" w:hAnsi="Cambria Math" w:eastAsia="宋体" w:cstheme="minorBidi"/>
            <w:sz w:val="21"/>
            <w:szCs w:val="22"/>
            <w:lang w:val="en-US" w:bidi="ar-SA"/>
          </w:rPr>
          <m:t xml:space="preserve"> A = 0° </m:t>
        </m:r>
      </m:oMath>
      <w:r>
        <w:rPr>
          <w:rFonts w:ascii="宋体" w:hAnsi="宋体" w:eastAsia="宋体"/>
          <w:sz w:val="21"/>
        </w:rPr>
        <w:t>时最大主应力最低，大部分工况小于</w:t>
      </w:r>
      <m:oMath>
        <m:r>
          <m:rPr/>
          <w:rPr>
            <w:rFonts w:hint="default" w:ascii="Cambria Math" w:hAnsi="Cambria Math" w:eastAsia="宋体"/>
            <w:sz w:val="21"/>
          </w:rPr>
          <m:t>30MPa</m:t>
        </m:r>
      </m:oMath>
      <w:r>
        <w:rPr>
          <w:rFonts w:ascii="宋体" w:hAnsi="宋体" w:eastAsia="宋体"/>
          <w:sz w:val="21"/>
        </w:rPr>
        <w:t>；竖直跌落</w:t>
      </w:r>
      <m:oMath>
        <m:r>
          <m:rPr>
            <m:sty m:val="p"/>
          </m:rPr>
          <w:rPr>
            <w:rFonts w:ascii="Cambria Math" w:hAnsi="Cambria Math" w:eastAsia="宋体" w:cstheme="minorBidi"/>
            <w:sz w:val="21"/>
            <w:szCs w:val="22"/>
            <w:lang w:val="en-US" w:bidi="ar-SA"/>
          </w:rPr>
          <m:t xml:space="preserve"> A = 90° </m:t>
        </m:r>
      </m:oMath>
      <w:r>
        <w:rPr>
          <w:rFonts w:ascii="宋体" w:hAnsi="宋体" w:eastAsia="宋体"/>
          <w:sz w:val="21"/>
        </w:rPr>
        <w:t>时最大主应力显著升高，且随高度增加总体上升。最危险工况为</w:t>
      </w:r>
      <m:oMath>
        <m:r>
          <m:rPr/>
          <w:rPr>
            <w:rFonts w:hint="default" w:ascii="Cambria Math" w:hAnsi="Cambria Math" w:eastAsia="宋体"/>
            <w:sz w:val="21"/>
          </w:rPr>
          <m:t>H=1.0m、A=90°，</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1,max</m:t>
            </m:r>
            <m:ctrlPr>
              <w:rPr>
                <w:rFonts w:ascii="Cambria Math" w:hAnsi="Cambria Math" w:eastAsia="宋体"/>
                <w:sz w:val="21"/>
              </w:rPr>
            </m:ctrlPr>
          </m:sub>
        </m:sSub>
        <m:r>
          <m:rPr/>
          <w:rPr>
            <w:rFonts w:hint="default" w:ascii="Cambria Math" w:hAnsi="Cambria Math" w:eastAsia="宋体"/>
            <w:sz w:val="21"/>
          </w:rPr>
          <m:t>=519.33MPa</m:t>
        </m:r>
      </m:oMath>
      <w:r>
        <w:rPr>
          <w:rFonts w:ascii="宋体" w:hAnsi="宋体" w:eastAsia="宋体"/>
          <w:sz w:val="21"/>
        </w:rPr>
        <w:t>；最安全工况为</w:t>
      </w:r>
      <m:oMath>
        <m:r>
          <m:rPr/>
          <w:rPr>
            <w:rFonts w:hint="default" w:ascii="Cambria Math" w:hAnsi="Cambria Math" w:eastAsia="宋体"/>
            <w:sz w:val="21"/>
          </w:rPr>
          <m:t>H=0.2m、A=0°，</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1,max</m:t>
            </m:r>
            <m:ctrlPr>
              <w:rPr>
                <w:rFonts w:ascii="Cambria Math" w:hAnsi="Cambria Math" w:eastAsia="宋体"/>
                <w:sz w:val="21"/>
              </w:rPr>
            </m:ctrlPr>
          </m:sub>
        </m:sSub>
        <m:r>
          <m:rPr/>
          <w:rPr>
            <w:rFonts w:hint="default" w:ascii="Cambria Math" w:hAnsi="Cambria Math" w:eastAsia="宋体"/>
            <w:sz w:val="21"/>
          </w:rPr>
          <m:t>=9.33MPa</m:t>
        </m:r>
      </m:oMath>
      <w:r>
        <w:rPr>
          <w:rFonts w:ascii="宋体" w:hAnsi="宋体" w:eastAsia="宋体"/>
          <w:sz w:val="21"/>
        </w:rPr>
        <w:t>。</w:t>
      </w:r>
    </w:p>
    <w:p w14:paraId="33224435">
      <w:pPr>
        <w:keepNext/>
        <w:spacing w:before="40" w:after="120"/>
        <w:jc w:val="center"/>
      </w:pPr>
      <w:r>
        <w:rPr>
          <w:rFonts w:ascii="宋体" w:hAnsi="宋体" w:eastAsia="宋体"/>
          <w:sz w:val="18"/>
        </w:rPr>
        <w:t xml:space="preserve">表 4  不同高度和角度下最大主应力 </w:t>
      </w:r>
      <m:oMath>
        <m:sSub>
          <m:sSubPr>
            <m:ctrlPr>
              <w:rPr>
                <w:rFonts w:hint="default" w:ascii="Cambria Math" w:hAnsi="Cambria Math" w:eastAsia="宋体"/>
                <w:sz w:val="18"/>
              </w:rPr>
            </m:ctrlPr>
          </m:sSubPr>
          <m:e>
            <m:r>
              <m:rPr/>
              <w:rPr>
                <w:rFonts w:hint="default" w:ascii="Cambria Math" w:hAnsi="Cambria Math" w:eastAsia="宋体"/>
                <w:sz w:val="18"/>
              </w:rPr>
              <m:t>S</m:t>
            </m:r>
            <m:ctrlPr>
              <w:rPr>
                <w:rFonts w:ascii="Cambria Math" w:hAnsi="Cambria Math" w:eastAsia="宋体"/>
                <w:sz w:val="18"/>
              </w:rPr>
            </m:ctrlPr>
          </m:e>
          <m:sub>
            <m:r>
              <m:rPr/>
              <w:rPr>
                <w:rFonts w:hint="default" w:ascii="Cambria Math" w:hAnsi="Cambria Math" w:eastAsia="宋体"/>
                <w:sz w:val="18"/>
              </w:rPr>
              <m:t>1,max</m:t>
            </m:r>
            <m:ctrlPr>
              <w:rPr>
                <w:rFonts w:ascii="Cambria Math" w:hAnsi="Cambria Math" w:eastAsia="宋体"/>
                <w:sz w:val="18"/>
              </w:rPr>
            </m:ctrlPr>
          </m:sub>
        </m:sSub>
        <m:r>
          <m:rPr/>
          <w:rPr>
            <w:rFonts w:hint="default" w:ascii="Cambria Math" w:hAnsi="Cambria Math" w:eastAsia="宋体"/>
            <w:sz w:val="18"/>
          </w:rPr>
          <m:t>（MPa）</m:t>
        </m:r>
      </m:oMath>
    </w:p>
    <w:tbl>
      <w:tblPr>
        <w:tblStyle w:val="33"/>
        <w:tblW w:w="9444" w:type="dxa"/>
        <w:jc w:val="center"/>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Layout w:type="autofit"/>
        <w:tblCellMar>
          <w:top w:w="0" w:type="dxa"/>
          <w:left w:w="108" w:type="dxa"/>
          <w:bottom w:w="0" w:type="dxa"/>
          <w:right w:w="108" w:type="dxa"/>
        </w:tblCellMar>
      </w:tblPr>
      <w:tblGrid>
        <w:gridCol w:w="1307"/>
        <w:gridCol w:w="1485"/>
        <w:gridCol w:w="1663"/>
        <w:gridCol w:w="1663"/>
        <w:gridCol w:w="1663"/>
        <w:gridCol w:w="1663"/>
      </w:tblGrid>
      <w:tr w14:paraId="0F30AA25">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B672F41">
            <w:pPr>
              <w:keepNext/>
              <w:snapToGrid w:val="0"/>
              <w:jc w:val="center"/>
            </w:pPr>
            <w:r>
              <w:rPr>
                <w:rFonts w:ascii="宋体" w:hAnsi="宋体" w:eastAsia="宋体"/>
                <w:b/>
                <w:sz w:val="18"/>
              </w:rPr>
              <w:t>H/m</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2A3B5D5">
            <w:pPr>
              <w:keepNext/>
              <w:snapToGrid w:val="0"/>
              <w:jc w:val="center"/>
            </w:pPr>
            <w:r>
              <w:rPr>
                <w:rFonts w:ascii="宋体" w:hAnsi="宋体" w:eastAsia="宋体"/>
                <w:b/>
                <w:sz w:val="18"/>
              </w:rPr>
              <w:t>A=0°</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D85363">
            <w:pPr>
              <w:keepNext/>
              <w:snapToGrid w:val="0"/>
              <w:jc w:val="center"/>
            </w:pPr>
            <w:r>
              <w:rPr>
                <w:rFonts w:ascii="宋体" w:hAnsi="宋体" w:eastAsia="宋体"/>
                <w:b/>
                <w:sz w:val="18"/>
              </w:rPr>
              <w:t>A=30°</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F6FEA8D">
            <w:pPr>
              <w:keepNext/>
              <w:snapToGrid w:val="0"/>
              <w:jc w:val="center"/>
            </w:pPr>
            <w:r>
              <w:rPr>
                <w:rFonts w:ascii="宋体" w:hAnsi="宋体" w:eastAsia="宋体"/>
                <w:b/>
                <w:sz w:val="18"/>
              </w:rPr>
              <w:t>A=45°</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A3BF1EA">
            <w:pPr>
              <w:keepNext/>
              <w:snapToGrid w:val="0"/>
              <w:jc w:val="center"/>
            </w:pPr>
            <w:r>
              <w:rPr>
                <w:rFonts w:ascii="宋体" w:hAnsi="宋体" w:eastAsia="宋体"/>
                <w:b/>
                <w:sz w:val="18"/>
              </w:rPr>
              <w:t>A=60°</w:t>
            </w:r>
          </w:p>
        </w:tc>
        <w:tc>
          <w:tcPr>
            <w:tcW w:w="1663" w:type="dxa"/>
            <w:tcBorders>
              <w:top w:val="single" w:color="auto" w:sz="12" w:space="0"/>
              <w:left w:val="nil"/>
              <w:bottom w:val="nil"/>
              <w:right w:val="nil"/>
            </w:tcBorders>
            <w:noWrap w:val="0"/>
            <w:tcMar>
              <w:top w:w="-1" w:type="dxa"/>
              <w:left w:w="-1" w:type="dxa"/>
              <w:bottom w:w="-1" w:type="dxa"/>
              <w:right w:w="-1" w:type="dxa"/>
            </w:tcMar>
            <w:vAlign w:val="center"/>
          </w:tcPr>
          <w:p w14:paraId="11E51EBA">
            <w:pPr>
              <w:keepNext/>
              <w:snapToGrid w:val="0"/>
              <w:jc w:val="center"/>
            </w:pPr>
            <w:r>
              <w:rPr>
                <w:rFonts w:ascii="宋体" w:hAnsi="宋体" w:eastAsia="宋体"/>
                <w:b/>
                <w:sz w:val="18"/>
              </w:rPr>
              <w:t>A=90°</w:t>
            </w:r>
          </w:p>
        </w:tc>
      </w:tr>
      <w:tr w14:paraId="0B863C8A">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CC3F670">
            <w:pPr>
              <w:keepNext/>
              <w:snapToGrid w:val="0"/>
              <w:jc w:val="center"/>
            </w:pPr>
            <w:r>
              <w:rPr>
                <w:rFonts w:ascii="宋体" w:hAnsi="宋体" w:eastAsia="宋体"/>
                <w:b w:val="0"/>
                <w:sz w:val="18"/>
              </w:rPr>
              <w:t>0.200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20C982D">
            <w:pPr>
              <w:keepNext/>
              <w:snapToGrid w:val="0"/>
              <w:jc w:val="center"/>
            </w:pPr>
            <w:r>
              <w:rPr>
                <w:rFonts w:ascii="宋体" w:hAnsi="宋体" w:eastAsia="宋体"/>
                <w:b w:val="0"/>
                <w:sz w:val="18"/>
              </w:rPr>
              <w:t>9.330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EF55EBC">
            <w:pPr>
              <w:keepNext/>
              <w:snapToGrid w:val="0"/>
              <w:jc w:val="center"/>
            </w:pPr>
            <w:r>
              <w:rPr>
                <w:rFonts w:ascii="宋体" w:hAnsi="宋体" w:eastAsia="宋体"/>
                <w:b w:val="0"/>
                <w:sz w:val="18"/>
              </w:rPr>
              <w:t>58.158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BB9FCD">
            <w:pPr>
              <w:keepNext/>
              <w:snapToGrid w:val="0"/>
              <w:jc w:val="center"/>
            </w:pPr>
            <w:r>
              <w:rPr>
                <w:rFonts w:ascii="宋体" w:hAnsi="宋体" w:eastAsia="宋体"/>
                <w:b w:val="0"/>
                <w:sz w:val="18"/>
              </w:rPr>
              <w:t>204.515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FD9621D">
            <w:pPr>
              <w:keepNext/>
              <w:snapToGrid w:val="0"/>
              <w:jc w:val="center"/>
            </w:pPr>
            <w:r>
              <w:rPr>
                <w:rFonts w:ascii="宋体" w:hAnsi="宋体" w:eastAsia="宋体"/>
                <w:b w:val="0"/>
                <w:sz w:val="18"/>
              </w:rPr>
              <w:t>148.459</w:t>
            </w:r>
          </w:p>
        </w:tc>
        <w:tc>
          <w:tcPr>
            <w:tcW w:w="1663" w:type="dxa"/>
            <w:tcBorders>
              <w:top w:val="single" w:color="auto" w:sz="4" w:space="0"/>
              <w:left w:val="nil"/>
              <w:bottom w:val="nil"/>
              <w:right w:val="nil"/>
            </w:tcBorders>
            <w:noWrap w:val="0"/>
            <w:tcMar>
              <w:top w:w="-1" w:type="dxa"/>
              <w:left w:w="-1" w:type="dxa"/>
              <w:bottom w:w="-1" w:type="dxa"/>
              <w:right w:w="-1" w:type="dxa"/>
            </w:tcMar>
            <w:vAlign w:val="center"/>
          </w:tcPr>
          <w:p w14:paraId="7F967928">
            <w:pPr>
              <w:keepNext/>
              <w:snapToGrid w:val="0"/>
              <w:jc w:val="center"/>
            </w:pPr>
            <w:r>
              <w:rPr>
                <w:rFonts w:ascii="宋体" w:hAnsi="宋体" w:eastAsia="宋体"/>
                <w:b w:val="0"/>
                <w:sz w:val="18"/>
              </w:rPr>
              <w:t>260.356</w:t>
            </w:r>
          </w:p>
        </w:tc>
      </w:tr>
      <w:tr w14:paraId="322239FA">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4373F211">
            <w:pPr>
              <w:keepNext/>
              <w:snapToGrid w:val="0"/>
              <w:jc w:val="center"/>
            </w:pPr>
            <w:r>
              <w:rPr>
                <w:rFonts w:ascii="宋体" w:hAnsi="宋体" w:eastAsia="宋体"/>
                <w:b w:val="0"/>
                <w:sz w:val="18"/>
              </w:rPr>
              <w:t>0.400</w:t>
            </w:r>
          </w:p>
        </w:tc>
        <w:tc>
          <w:tcPr>
            <w:tcW w:w="0" w:type="auto"/>
            <w:tcBorders>
              <w:top w:val="nil"/>
              <w:left w:val="nil"/>
              <w:bottom w:val="nil"/>
              <w:right w:val="nil"/>
            </w:tcBorders>
            <w:noWrap w:val="0"/>
            <w:tcMar>
              <w:top w:w="-1" w:type="dxa"/>
              <w:left w:w="-1" w:type="dxa"/>
              <w:bottom w:w="-1" w:type="dxa"/>
              <w:right w:w="-1" w:type="dxa"/>
            </w:tcMar>
            <w:vAlign w:val="center"/>
          </w:tcPr>
          <w:p w14:paraId="5B9FE942">
            <w:pPr>
              <w:keepNext/>
              <w:snapToGrid w:val="0"/>
              <w:jc w:val="center"/>
            </w:pPr>
            <w:r>
              <w:rPr>
                <w:rFonts w:ascii="宋体" w:hAnsi="宋体" w:eastAsia="宋体"/>
                <w:b w:val="0"/>
                <w:sz w:val="18"/>
              </w:rPr>
              <w:t>13.157</w:t>
            </w:r>
          </w:p>
        </w:tc>
        <w:tc>
          <w:tcPr>
            <w:tcW w:w="0" w:type="auto"/>
            <w:tcBorders>
              <w:top w:val="nil"/>
              <w:left w:val="nil"/>
              <w:bottom w:val="nil"/>
              <w:right w:val="nil"/>
            </w:tcBorders>
            <w:noWrap w:val="0"/>
            <w:tcMar>
              <w:top w:w="-1" w:type="dxa"/>
              <w:left w:w="-1" w:type="dxa"/>
              <w:bottom w:w="-1" w:type="dxa"/>
              <w:right w:w="-1" w:type="dxa"/>
            </w:tcMar>
            <w:vAlign w:val="center"/>
          </w:tcPr>
          <w:p w14:paraId="31B5E490">
            <w:pPr>
              <w:keepNext/>
              <w:snapToGrid w:val="0"/>
              <w:jc w:val="center"/>
            </w:pPr>
            <w:r>
              <w:rPr>
                <w:rFonts w:ascii="宋体" w:hAnsi="宋体" w:eastAsia="宋体"/>
                <w:b w:val="0"/>
                <w:sz w:val="18"/>
              </w:rPr>
              <w:t>146.309</w:t>
            </w:r>
          </w:p>
        </w:tc>
        <w:tc>
          <w:tcPr>
            <w:tcW w:w="0" w:type="auto"/>
            <w:tcBorders>
              <w:top w:val="nil"/>
              <w:left w:val="nil"/>
              <w:bottom w:val="nil"/>
              <w:right w:val="nil"/>
            </w:tcBorders>
            <w:noWrap w:val="0"/>
            <w:tcMar>
              <w:top w:w="-1" w:type="dxa"/>
              <w:left w:w="-1" w:type="dxa"/>
              <w:bottom w:w="-1" w:type="dxa"/>
              <w:right w:w="-1" w:type="dxa"/>
            </w:tcMar>
            <w:vAlign w:val="center"/>
          </w:tcPr>
          <w:p w14:paraId="472150E8">
            <w:pPr>
              <w:keepNext/>
              <w:snapToGrid w:val="0"/>
              <w:jc w:val="center"/>
            </w:pPr>
            <w:r>
              <w:rPr>
                <w:rFonts w:ascii="宋体" w:hAnsi="宋体" w:eastAsia="宋体"/>
                <w:b w:val="0"/>
                <w:sz w:val="18"/>
              </w:rPr>
              <w:t>201.228</w:t>
            </w:r>
          </w:p>
        </w:tc>
        <w:tc>
          <w:tcPr>
            <w:tcW w:w="0" w:type="auto"/>
            <w:tcBorders>
              <w:top w:val="nil"/>
              <w:left w:val="nil"/>
              <w:bottom w:val="nil"/>
              <w:right w:val="nil"/>
            </w:tcBorders>
            <w:noWrap w:val="0"/>
            <w:tcMar>
              <w:top w:w="-1" w:type="dxa"/>
              <w:left w:w="-1" w:type="dxa"/>
              <w:bottom w:w="-1" w:type="dxa"/>
              <w:right w:w="-1" w:type="dxa"/>
            </w:tcMar>
            <w:vAlign w:val="center"/>
          </w:tcPr>
          <w:p w14:paraId="14246D75">
            <w:pPr>
              <w:keepNext/>
              <w:snapToGrid w:val="0"/>
              <w:jc w:val="center"/>
            </w:pPr>
            <w:r>
              <w:rPr>
                <w:rFonts w:ascii="宋体" w:hAnsi="宋体" w:eastAsia="宋体"/>
                <w:b w:val="0"/>
                <w:sz w:val="18"/>
              </w:rPr>
              <w:t>144.765</w:t>
            </w:r>
          </w:p>
        </w:tc>
        <w:tc>
          <w:tcPr>
            <w:tcW w:w="1663" w:type="dxa"/>
            <w:tcBorders>
              <w:top w:val="nil"/>
              <w:left w:val="nil"/>
              <w:bottom w:val="nil"/>
              <w:right w:val="nil"/>
            </w:tcBorders>
            <w:noWrap w:val="0"/>
            <w:tcMar>
              <w:top w:w="-1" w:type="dxa"/>
              <w:left w:w="-1" w:type="dxa"/>
              <w:bottom w:w="-1" w:type="dxa"/>
              <w:right w:w="-1" w:type="dxa"/>
            </w:tcMar>
            <w:vAlign w:val="center"/>
          </w:tcPr>
          <w:p w14:paraId="0EC54B1F">
            <w:pPr>
              <w:keepNext/>
              <w:snapToGrid w:val="0"/>
              <w:jc w:val="center"/>
            </w:pPr>
            <w:r>
              <w:rPr>
                <w:rFonts w:ascii="宋体" w:hAnsi="宋体" w:eastAsia="宋体"/>
                <w:b w:val="0"/>
                <w:sz w:val="18"/>
              </w:rPr>
              <w:t>224.482</w:t>
            </w:r>
          </w:p>
        </w:tc>
      </w:tr>
      <w:tr w14:paraId="766C5A35">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1DF42B8C">
            <w:pPr>
              <w:keepNext/>
              <w:snapToGrid w:val="0"/>
              <w:jc w:val="center"/>
            </w:pPr>
            <w:r>
              <w:rPr>
                <w:rFonts w:ascii="宋体" w:hAnsi="宋体" w:eastAsia="宋体"/>
                <w:b w:val="0"/>
                <w:sz w:val="18"/>
              </w:rPr>
              <w:t>0.600</w:t>
            </w:r>
          </w:p>
        </w:tc>
        <w:tc>
          <w:tcPr>
            <w:tcW w:w="0" w:type="auto"/>
            <w:tcBorders>
              <w:top w:val="nil"/>
              <w:left w:val="nil"/>
              <w:bottom w:val="nil"/>
              <w:right w:val="nil"/>
            </w:tcBorders>
            <w:noWrap w:val="0"/>
            <w:tcMar>
              <w:top w:w="-1" w:type="dxa"/>
              <w:left w:w="-1" w:type="dxa"/>
              <w:bottom w:w="-1" w:type="dxa"/>
              <w:right w:w="-1" w:type="dxa"/>
            </w:tcMar>
            <w:vAlign w:val="center"/>
          </w:tcPr>
          <w:p w14:paraId="027C724E">
            <w:pPr>
              <w:keepNext/>
              <w:snapToGrid w:val="0"/>
              <w:jc w:val="center"/>
            </w:pPr>
            <w:r>
              <w:rPr>
                <w:rFonts w:ascii="宋体" w:hAnsi="宋体" w:eastAsia="宋体"/>
                <w:b w:val="0"/>
                <w:sz w:val="18"/>
              </w:rPr>
              <w:t>64.195</w:t>
            </w:r>
          </w:p>
        </w:tc>
        <w:tc>
          <w:tcPr>
            <w:tcW w:w="0" w:type="auto"/>
            <w:tcBorders>
              <w:top w:val="nil"/>
              <w:left w:val="nil"/>
              <w:bottom w:val="nil"/>
              <w:right w:val="nil"/>
            </w:tcBorders>
            <w:noWrap w:val="0"/>
            <w:tcMar>
              <w:top w:w="-1" w:type="dxa"/>
              <w:left w:w="-1" w:type="dxa"/>
              <w:bottom w:w="-1" w:type="dxa"/>
              <w:right w:w="-1" w:type="dxa"/>
            </w:tcMar>
            <w:vAlign w:val="center"/>
          </w:tcPr>
          <w:p w14:paraId="2D4B28E1">
            <w:pPr>
              <w:keepNext/>
              <w:snapToGrid w:val="0"/>
              <w:jc w:val="center"/>
            </w:pPr>
            <w:r>
              <w:rPr>
                <w:rFonts w:ascii="宋体" w:hAnsi="宋体" w:eastAsia="宋体"/>
                <w:b w:val="0"/>
                <w:sz w:val="18"/>
              </w:rPr>
              <w:t>105.439</w:t>
            </w:r>
          </w:p>
        </w:tc>
        <w:tc>
          <w:tcPr>
            <w:tcW w:w="0" w:type="auto"/>
            <w:tcBorders>
              <w:top w:val="nil"/>
              <w:left w:val="nil"/>
              <w:bottom w:val="nil"/>
              <w:right w:val="nil"/>
            </w:tcBorders>
            <w:noWrap w:val="0"/>
            <w:tcMar>
              <w:top w:w="-1" w:type="dxa"/>
              <w:left w:w="-1" w:type="dxa"/>
              <w:bottom w:w="-1" w:type="dxa"/>
              <w:right w:w="-1" w:type="dxa"/>
            </w:tcMar>
            <w:vAlign w:val="center"/>
          </w:tcPr>
          <w:p w14:paraId="76832C66">
            <w:pPr>
              <w:keepNext/>
              <w:snapToGrid w:val="0"/>
              <w:jc w:val="center"/>
            </w:pPr>
            <w:r>
              <w:rPr>
                <w:rFonts w:ascii="宋体" w:hAnsi="宋体" w:eastAsia="宋体"/>
                <w:b w:val="0"/>
                <w:sz w:val="18"/>
              </w:rPr>
              <w:t>185.539</w:t>
            </w:r>
          </w:p>
        </w:tc>
        <w:tc>
          <w:tcPr>
            <w:tcW w:w="0" w:type="auto"/>
            <w:tcBorders>
              <w:top w:val="nil"/>
              <w:left w:val="nil"/>
              <w:bottom w:val="nil"/>
              <w:right w:val="nil"/>
            </w:tcBorders>
            <w:noWrap w:val="0"/>
            <w:tcMar>
              <w:top w:w="-1" w:type="dxa"/>
              <w:left w:w="-1" w:type="dxa"/>
              <w:bottom w:w="-1" w:type="dxa"/>
              <w:right w:w="-1" w:type="dxa"/>
            </w:tcMar>
            <w:vAlign w:val="center"/>
          </w:tcPr>
          <w:p w14:paraId="7AB91A66">
            <w:pPr>
              <w:keepNext/>
              <w:snapToGrid w:val="0"/>
              <w:jc w:val="center"/>
            </w:pPr>
            <w:r>
              <w:rPr>
                <w:rFonts w:ascii="宋体" w:hAnsi="宋体" w:eastAsia="宋体"/>
                <w:b w:val="0"/>
                <w:sz w:val="18"/>
              </w:rPr>
              <w:t>149.671</w:t>
            </w:r>
          </w:p>
        </w:tc>
        <w:tc>
          <w:tcPr>
            <w:tcW w:w="1663" w:type="dxa"/>
            <w:tcBorders>
              <w:top w:val="nil"/>
              <w:left w:val="nil"/>
              <w:bottom w:val="nil"/>
              <w:right w:val="nil"/>
            </w:tcBorders>
            <w:noWrap w:val="0"/>
            <w:tcMar>
              <w:top w:w="-1" w:type="dxa"/>
              <w:left w:w="-1" w:type="dxa"/>
              <w:bottom w:w="-1" w:type="dxa"/>
              <w:right w:w="-1" w:type="dxa"/>
            </w:tcMar>
            <w:vAlign w:val="center"/>
          </w:tcPr>
          <w:p w14:paraId="2AD7D8FB">
            <w:pPr>
              <w:keepNext/>
              <w:snapToGrid w:val="0"/>
              <w:jc w:val="center"/>
            </w:pPr>
            <w:r>
              <w:rPr>
                <w:rFonts w:ascii="宋体" w:hAnsi="宋体" w:eastAsia="宋体"/>
                <w:b w:val="0"/>
                <w:sz w:val="18"/>
              </w:rPr>
              <w:t>378.693</w:t>
            </w:r>
          </w:p>
        </w:tc>
      </w:tr>
      <w:tr w14:paraId="2274E351">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7561258F">
            <w:pPr>
              <w:keepNext/>
              <w:snapToGrid w:val="0"/>
              <w:jc w:val="center"/>
            </w:pPr>
            <w:r>
              <w:rPr>
                <w:rFonts w:ascii="宋体" w:hAnsi="宋体" w:eastAsia="宋体"/>
                <w:b w:val="0"/>
                <w:sz w:val="18"/>
              </w:rPr>
              <w:t>0.800</w:t>
            </w:r>
          </w:p>
        </w:tc>
        <w:tc>
          <w:tcPr>
            <w:tcW w:w="0" w:type="auto"/>
            <w:tcBorders>
              <w:top w:val="nil"/>
              <w:left w:val="nil"/>
              <w:bottom w:val="nil"/>
              <w:right w:val="nil"/>
            </w:tcBorders>
            <w:noWrap w:val="0"/>
            <w:tcMar>
              <w:top w:w="-1" w:type="dxa"/>
              <w:left w:w="-1" w:type="dxa"/>
              <w:bottom w:w="-1" w:type="dxa"/>
              <w:right w:w="-1" w:type="dxa"/>
            </w:tcMar>
            <w:vAlign w:val="center"/>
          </w:tcPr>
          <w:p w14:paraId="0ACBDAAB">
            <w:pPr>
              <w:keepNext/>
              <w:snapToGrid w:val="0"/>
              <w:jc w:val="center"/>
            </w:pPr>
            <w:r>
              <w:rPr>
                <w:rFonts w:ascii="宋体" w:hAnsi="宋体" w:eastAsia="宋体"/>
                <w:b w:val="0"/>
                <w:sz w:val="18"/>
              </w:rPr>
              <w:t>20.708</w:t>
            </w:r>
          </w:p>
        </w:tc>
        <w:tc>
          <w:tcPr>
            <w:tcW w:w="0" w:type="auto"/>
            <w:tcBorders>
              <w:top w:val="nil"/>
              <w:left w:val="nil"/>
              <w:bottom w:val="nil"/>
              <w:right w:val="nil"/>
            </w:tcBorders>
            <w:noWrap w:val="0"/>
            <w:tcMar>
              <w:top w:w="-1" w:type="dxa"/>
              <w:left w:w="-1" w:type="dxa"/>
              <w:bottom w:w="-1" w:type="dxa"/>
              <w:right w:w="-1" w:type="dxa"/>
            </w:tcMar>
            <w:vAlign w:val="center"/>
          </w:tcPr>
          <w:p w14:paraId="1C40D418">
            <w:pPr>
              <w:keepNext/>
              <w:snapToGrid w:val="0"/>
              <w:jc w:val="center"/>
            </w:pPr>
            <w:r>
              <w:rPr>
                <w:rFonts w:ascii="宋体" w:hAnsi="宋体" w:eastAsia="宋体"/>
                <w:b w:val="0"/>
                <w:sz w:val="18"/>
              </w:rPr>
              <w:t>217.350</w:t>
            </w:r>
          </w:p>
        </w:tc>
        <w:tc>
          <w:tcPr>
            <w:tcW w:w="0" w:type="auto"/>
            <w:tcBorders>
              <w:top w:val="nil"/>
              <w:left w:val="nil"/>
              <w:bottom w:val="nil"/>
              <w:right w:val="nil"/>
            </w:tcBorders>
            <w:noWrap w:val="0"/>
            <w:tcMar>
              <w:top w:w="-1" w:type="dxa"/>
              <w:left w:w="-1" w:type="dxa"/>
              <w:bottom w:w="-1" w:type="dxa"/>
              <w:right w:w="-1" w:type="dxa"/>
            </w:tcMar>
            <w:vAlign w:val="center"/>
          </w:tcPr>
          <w:p w14:paraId="59D9701C">
            <w:pPr>
              <w:keepNext/>
              <w:snapToGrid w:val="0"/>
              <w:jc w:val="center"/>
            </w:pPr>
            <w:r>
              <w:rPr>
                <w:rFonts w:ascii="宋体" w:hAnsi="宋体" w:eastAsia="宋体"/>
                <w:b w:val="0"/>
                <w:sz w:val="18"/>
              </w:rPr>
              <w:t>228.762</w:t>
            </w:r>
          </w:p>
        </w:tc>
        <w:tc>
          <w:tcPr>
            <w:tcW w:w="0" w:type="auto"/>
            <w:tcBorders>
              <w:top w:val="nil"/>
              <w:left w:val="nil"/>
              <w:bottom w:val="nil"/>
              <w:right w:val="nil"/>
            </w:tcBorders>
            <w:noWrap w:val="0"/>
            <w:tcMar>
              <w:top w:w="-1" w:type="dxa"/>
              <w:left w:w="-1" w:type="dxa"/>
              <w:bottom w:w="-1" w:type="dxa"/>
              <w:right w:w="-1" w:type="dxa"/>
            </w:tcMar>
            <w:vAlign w:val="center"/>
          </w:tcPr>
          <w:p w14:paraId="0C1076D9">
            <w:pPr>
              <w:keepNext/>
              <w:snapToGrid w:val="0"/>
              <w:jc w:val="center"/>
            </w:pPr>
            <w:r>
              <w:rPr>
                <w:rFonts w:ascii="宋体" w:hAnsi="宋体" w:eastAsia="宋体"/>
                <w:b w:val="0"/>
                <w:sz w:val="18"/>
              </w:rPr>
              <w:t>162.286</w:t>
            </w:r>
          </w:p>
        </w:tc>
        <w:tc>
          <w:tcPr>
            <w:tcW w:w="1663" w:type="dxa"/>
            <w:tcBorders>
              <w:top w:val="nil"/>
              <w:left w:val="nil"/>
              <w:bottom w:val="nil"/>
              <w:right w:val="nil"/>
            </w:tcBorders>
            <w:noWrap w:val="0"/>
            <w:tcMar>
              <w:top w:w="-1" w:type="dxa"/>
              <w:left w:w="-1" w:type="dxa"/>
              <w:bottom w:w="-1" w:type="dxa"/>
              <w:right w:w="-1" w:type="dxa"/>
            </w:tcMar>
            <w:vAlign w:val="center"/>
          </w:tcPr>
          <w:p w14:paraId="77490D2C">
            <w:pPr>
              <w:keepNext/>
              <w:snapToGrid w:val="0"/>
              <w:jc w:val="center"/>
            </w:pPr>
            <w:r>
              <w:rPr>
                <w:rFonts w:ascii="宋体" w:hAnsi="宋体" w:eastAsia="宋体"/>
                <w:b w:val="0"/>
                <w:sz w:val="18"/>
              </w:rPr>
              <w:t>471.069</w:t>
            </w:r>
          </w:p>
        </w:tc>
      </w:tr>
      <w:tr w14:paraId="1BB53FDB">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1307" w:type="dxa"/>
            <w:tcBorders>
              <w:top w:val="nil"/>
              <w:left w:val="nil"/>
              <w:bottom w:val="single" w:color="auto" w:sz="12" w:space="0"/>
              <w:right w:val="nil"/>
            </w:tcBorders>
            <w:noWrap w:val="0"/>
            <w:tcMar>
              <w:top w:w="-1" w:type="dxa"/>
              <w:left w:w="-1" w:type="dxa"/>
              <w:bottom w:w="-1" w:type="dxa"/>
              <w:right w:w="-1" w:type="dxa"/>
            </w:tcMar>
            <w:vAlign w:val="center"/>
          </w:tcPr>
          <w:p w14:paraId="3BC4D062">
            <w:pPr>
              <w:keepNext/>
              <w:snapToGrid w:val="0"/>
              <w:jc w:val="center"/>
            </w:pPr>
            <w:r>
              <w:rPr>
                <w:rFonts w:ascii="宋体" w:hAnsi="宋体" w:eastAsia="宋体"/>
                <w:b w:val="0"/>
                <w:sz w:val="18"/>
              </w:rPr>
              <w:t>1.000</w:t>
            </w:r>
          </w:p>
        </w:tc>
        <w:tc>
          <w:tcPr>
            <w:tcW w:w="1485" w:type="dxa"/>
            <w:tcBorders>
              <w:top w:val="nil"/>
              <w:left w:val="nil"/>
              <w:bottom w:val="single" w:color="auto" w:sz="12" w:space="0"/>
              <w:right w:val="nil"/>
            </w:tcBorders>
            <w:noWrap w:val="0"/>
            <w:tcMar>
              <w:top w:w="-1" w:type="dxa"/>
              <w:left w:w="-1" w:type="dxa"/>
              <w:bottom w:w="-1" w:type="dxa"/>
              <w:right w:w="-1" w:type="dxa"/>
            </w:tcMar>
            <w:vAlign w:val="center"/>
          </w:tcPr>
          <w:p w14:paraId="32D42C44">
            <w:pPr>
              <w:keepNext/>
              <w:snapToGrid w:val="0"/>
              <w:jc w:val="center"/>
            </w:pPr>
            <w:r>
              <w:rPr>
                <w:rFonts w:ascii="宋体" w:hAnsi="宋体" w:eastAsia="宋体"/>
                <w:b w:val="0"/>
                <w:sz w:val="18"/>
              </w:rPr>
              <w:t>26.014</w:t>
            </w:r>
          </w:p>
        </w:tc>
        <w:tc>
          <w:tcPr>
            <w:tcW w:w="1663" w:type="dxa"/>
            <w:tcBorders>
              <w:top w:val="nil"/>
              <w:left w:val="nil"/>
              <w:bottom w:val="single" w:color="auto" w:sz="12" w:space="0"/>
              <w:right w:val="nil"/>
            </w:tcBorders>
            <w:noWrap w:val="0"/>
            <w:tcMar>
              <w:top w:w="-1" w:type="dxa"/>
              <w:left w:w="-1" w:type="dxa"/>
              <w:bottom w:w="-1" w:type="dxa"/>
              <w:right w:w="-1" w:type="dxa"/>
            </w:tcMar>
            <w:vAlign w:val="center"/>
          </w:tcPr>
          <w:p w14:paraId="0099D6D9">
            <w:pPr>
              <w:keepNext/>
              <w:snapToGrid w:val="0"/>
              <w:jc w:val="center"/>
            </w:pPr>
            <w:r>
              <w:rPr>
                <w:rFonts w:ascii="宋体" w:hAnsi="宋体" w:eastAsia="宋体"/>
                <w:b w:val="0"/>
                <w:sz w:val="18"/>
              </w:rPr>
              <w:t>196.149</w:t>
            </w:r>
          </w:p>
        </w:tc>
        <w:tc>
          <w:tcPr>
            <w:tcW w:w="1663" w:type="dxa"/>
            <w:tcBorders>
              <w:top w:val="nil"/>
              <w:left w:val="nil"/>
              <w:bottom w:val="single" w:color="auto" w:sz="12" w:space="0"/>
              <w:right w:val="nil"/>
            </w:tcBorders>
            <w:noWrap w:val="0"/>
            <w:tcMar>
              <w:top w:w="-1" w:type="dxa"/>
              <w:left w:w="-1" w:type="dxa"/>
              <w:bottom w:w="-1" w:type="dxa"/>
              <w:right w:w="-1" w:type="dxa"/>
            </w:tcMar>
            <w:vAlign w:val="center"/>
          </w:tcPr>
          <w:p w14:paraId="481AD886">
            <w:pPr>
              <w:keepNext/>
              <w:snapToGrid w:val="0"/>
              <w:jc w:val="center"/>
            </w:pPr>
            <w:r>
              <w:rPr>
                <w:rFonts w:ascii="宋体" w:hAnsi="宋体" w:eastAsia="宋体"/>
                <w:b w:val="0"/>
                <w:sz w:val="18"/>
              </w:rPr>
              <w:t>255.614</w:t>
            </w:r>
          </w:p>
        </w:tc>
        <w:tc>
          <w:tcPr>
            <w:tcW w:w="1663" w:type="dxa"/>
            <w:tcBorders>
              <w:top w:val="nil"/>
              <w:left w:val="nil"/>
              <w:bottom w:val="single" w:color="auto" w:sz="12" w:space="0"/>
              <w:right w:val="nil"/>
            </w:tcBorders>
            <w:noWrap w:val="0"/>
            <w:tcMar>
              <w:top w:w="-1" w:type="dxa"/>
              <w:left w:w="-1" w:type="dxa"/>
              <w:bottom w:w="-1" w:type="dxa"/>
              <w:right w:w="-1" w:type="dxa"/>
            </w:tcMar>
            <w:vAlign w:val="center"/>
          </w:tcPr>
          <w:p w14:paraId="7CBE0202">
            <w:pPr>
              <w:keepNext/>
              <w:snapToGrid w:val="0"/>
              <w:jc w:val="center"/>
            </w:pPr>
            <w:r>
              <w:rPr>
                <w:rFonts w:ascii="宋体" w:hAnsi="宋体" w:eastAsia="宋体"/>
                <w:b w:val="0"/>
                <w:sz w:val="18"/>
              </w:rPr>
              <w:t>168.562</w:t>
            </w:r>
          </w:p>
        </w:tc>
        <w:tc>
          <w:tcPr>
            <w:tcW w:w="1663" w:type="dxa"/>
            <w:tcBorders>
              <w:top w:val="nil"/>
              <w:left w:val="nil"/>
              <w:bottom w:val="single" w:color="auto" w:sz="12" w:space="0"/>
              <w:right w:val="nil"/>
            </w:tcBorders>
            <w:noWrap w:val="0"/>
            <w:tcMar>
              <w:top w:w="-1" w:type="dxa"/>
              <w:left w:w="-1" w:type="dxa"/>
              <w:bottom w:w="-1" w:type="dxa"/>
              <w:right w:w="-1" w:type="dxa"/>
            </w:tcMar>
            <w:vAlign w:val="center"/>
          </w:tcPr>
          <w:p w14:paraId="7F49B48F">
            <w:pPr>
              <w:keepNext/>
              <w:snapToGrid w:val="0"/>
              <w:jc w:val="center"/>
            </w:pPr>
            <w:r>
              <w:rPr>
                <w:rFonts w:ascii="宋体" w:hAnsi="宋体" w:eastAsia="宋体"/>
                <w:b w:val="0"/>
                <w:sz w:val="18"/>
              </w:rPr>
              <w:t>519.327</w:t>
            </w:r>
          </w:p>
        </w:tc>
      </w:tr>
    </w:tbl>
    <w:p w14:paraId="31EA5A43"/>
    <w:p w14:paraId="1DC074CC">
      <w:pPr>
        <w:jc w:val="center"/>
      </w:pPr>
      <w:r>
        <w:drawing>
          <wp:inline distT="0" distB="0" distL="114300" distR="114300">
            <wp:extent cx="5219700" cy="3397885"/>
            <wp:effectExtent l="0" t="0" r="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20000" cy="3397990"/>
                    </a:xfrm>
                    <a:prstGeom prst="rect">
                      <a:avLst/>
                    </a:prstGeom>
                  </pic:spPr>
                </pic:pic>
              </a:graphicData>
            </a:graphic>
          </wp:inline>
        </w:drawing>
      </w:r>
    </w:p>
    <w:p w14:paraId="1D4B44C6">
      <w:pPr>
        <w:spacing w:before="40" w:after="120"/>
        <w:jc w:val="center"/>
      </w:pPr>
      <w:r>
        <w:rPr>
          <w:rFonts w:ascii="宋体" w:hAnsi="宋体" w:eastAsia="宋体"/>
          <w:sz w:val="18"/>
        </w:rPr>
        <w:t xml:space="preserve">图 2  </w:t>
      </w:r>
      <m:oMath>
        <m:r>
          <m:rPr>
            <m:sty m:val="p"/>
          </m:rPr>
          <w:rPr>
            <w:rFonts w:hint="default" w:ascii="Cambria Math" w:hAnsi="Cambria Math" w:eastAsia="宋体"/>
            <w:sz w:val="18"/>
          </w:rPr>
          <m:t>Abaqus</m:t>
        </m:r>
      </m:oMath>
      <w:r>
        <w:rPr>
          <w:rFonts w:ascii="宋体" w:hAnsi="宋体" w:eastAsia="宋体"/>
          <w:sz w:val="18"/>
        </w:rPr>
        <w:t xml:space="preserve"> 结果：高度-角度最大主应力热力图</w:t>
      </w:r>
    </w:p>
    <w:p w14:paraId="42C15E14">
      <w:pPr>
        <w:jc w:val="center"/>
      </w:pPr>
      <w:r>
        <w:drawing>
          <wp:inline distT="0" distB="0" distL="114300" distR="114300">
            <wp:extent cx="5219700" cy="322834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20000" cy="3228593"/>
                    </a:xfrm>
                    <a:prstGeom prst="rect">
                      <a:avLst/>
                    </a:prstGeom>
                  </pic:spPr>
                </pic:pic>
              </a:graphicData>
            </a:graphic>
          </wp:inline>
        </w:drawing>
      </w:r>
    </w:p>
    <w:p w14:paraId="2F51D14C">
      <w:pPr>
        <w:spacing w:before="40" w:after="120"/>
        <w:jc w:val="center"/>
      </w:pPr>
      <w:r>
        <w:rPr>
          <w:rFonts w:ascii="宋体" w:hAnsi="宋体" w:eastAsia="宋体"/>
          <w:sz w:val="18"/>
        </w:rPr>
        <w:t>图 3  不同角度下最大主应力随高度变化曲线</w:t>
      </w:r>
    </w:p>
    <w:p w14:paraId="1F11303E">
      <w:pPr>
        <w:spacing w:before="0" w:after="0" w:line="300" w:lineRule="auto"/>
        <w:ind w:firstLine="420"/>
        <w:jc w:val="both"/>
      </w:pPr>
      <w:r>
        <w:rPr>
          <w:rFonts w:ascii="宋体" w:hAnsi="宋体" w:eastAsia="宋体"/>
          <w:sz w:val="21"/>
        </w:rPr>
        <w:t>从图 2 和图 3 可见，角度影响比高度影响更为突出。</w:t>
      </w:r>
      <m:oMath>
        <m:r>
          <m:rPr>
            <m:sty m:val="p"/>
          </m:rPr>
          <w:rPr>
            <w:rFonts w:ascii="Cambria Math" w:hAnsi="Cambria Math" w:eastAsia="宋体" w:cstheme="minorBidi"/>
            <w:sz w:val="21"/>
            <w:szCs w:val="22"/>
            <w:lang w:val="en-US" w:bidi="ar-SA"/>
          </w:rPr>
          <m:t xml:space="preserve">A = 90° </m:t>
        </m:r>
      </m:oMath>
      <w:r>
        <w:rPr>
          <w:rFonts w:ascii="宋体" w:hAnsi="宋体" w:eastAsia="宋体"/>
          <w:sz w:val="21"/>
        </w:rPr>
        <w:t>时接触面积小、局部曲率大，撞击后接触区附近形成高压缩区，同时环形结构产生弯曲拉伸，导致最大主应力明显升高。</w:t>
      </w:r>
      <m:oMath>
        <m:r>
          <m:rPr>
            <m:sty m:val="p"/>
          </m:rPr>
          <w:rPr>
            <w:rFonts w:ascii="Cambria Math" w:hAnsi="Cambria Math" w:eastAsia="宋体" w:cstheme="minorBidi"/>
            <w:sz w:val="21"/>
            <w:szCs w:val="22"/>
            <w:lang w:val="en-US" w:bidi="ar-SA"/>
          </w:rPr>
          <m:t xml:space="preserve">A = 45° </m:t>
        </m:r>
      </m:oMath>
      <w:r>
        <w:rPr>
          <w:rFonts w:ascii="宋体" w:hAnsi="宋体" w:eastAsia="宋体"/>
          <w:sz w:val="21"/>
        </w:rPr>
        <w:t>也表现出较高风险，这是因为倾斜接触会引入偏心冲击，使手镯发生局部弯曲和扭转。相比之下，</w:t>
      </w:r>
      <m:oMath>
        <m:r>
          <m:rPr>
            <m:sty m:val="p"/>
          </m:rPr>
          <w:rPr>
            <w:rFonts w:ascii="Cambria Math" w:hAnsi="Cambria Math" w:eastAsia="宋体" w:cstheme="minorBidi"/>
            <w:sz w:val="21"/>
            <w:szCs w:val="22"/>
            <w:lang w:val="en-US" w:bidi="ar-SA"/>
          </w:rPr>
          <m:t xml:space="preserve">A = 0° </m:t>
        </m:r>
      </m:oMath>
      <w:r>
        <w:rPr>
          <w:rFonts w:ascii="宋体" w:hAnsi="宋体" w:eastAsia="宋体"/>
          <w:sz w:val="21"/>
        </w:rPr>
        <w:t>平躺跌落接触区域相对分散，局部应力集中较弱，因此整体风险最低。</w:t>
      </w:r>
    </w:p>
    <w:p w14:paraId="1724CE88">
      <w:pPr>
        <w:spacing w:before="0" w:after="0" w:line="300" w:lineRule="auto"/>
        <w:ind w:firstLine="420"/>
        <w:jc w:val="both"/>
      </w:pPr>
      <w:r>
        <w:rPr>
          <w:rFonts w:ascii="宋体" w:hAnsi="宋体" w:eastAsia="宋体"/>
          <w:sz w:val="21"/>
        </w:rPr>
        <w:t>需要注意的是，个别工况并不呈现严格单调变化，例如</w:t>
      </w:r>
      <m:oMath>
        <m:r>
          <m:rPr>
            <m:sty m:val="p"/>
          </m:rPr>
          <w:rPr>
            <w:rFonts w:ascii="Cambria Math" w:hAnsi="Cambria Math" w:eastAsia="宋体" w:cstheme="minorBidi"/>
            <w:sz w:val="21"/>
            <w:szCs w:val="22"/>
            <w:lang w:val="en-US" w:bidi="ar-SA"/>
          </w:rPr>
          <m:t xml:space="preserve"> A = 30° </m:t>
        </m:r>
      </m:oMath>
      <w:r>
        <w:rPr>
          <w:rFonts w:ascii="宋体" w:hAnsi="宋体" w:eastAsia="宋体"/>
          <w:sz w:val="21"/>
        </w:rPr>
        <w:t>工况中</w:t>
      </w:r>
      <m:oMath>
        <m:r>
          <m:rPr>
            <m:sty m:val="p"/>
          </m:rPr>
          <w:rPr>
            <w:rFonts w:ascii="Cambria Math" w:hAnsi="Cambria Math" w:eastAsia="宋体" w:cstheme="minorBidi"/>
            <w:sz w:val="21"/>
            <w:szCs w:val="22"/>
            <w:lang w:val="en-US" w:bidi="ar-SA"/>
          </w:rPr>
          <m:t xml:space="preserve"> H = 0.8 m </m:t>
        </m:r>
      </m:oMath>
      <w:r>
        <w:rPr>
          <w:rFonts w:ascii="宋体" w:hAnsi="宋体" w:eastAsia="宋体"/>
          <w:sz w:val="21"/>
        </w:rPr>
        <w:t>的峰值较高，且峰值时刻出现在仿真末期。这说明跌落响应受到初次接触、回弹、二次碰撞和结构振动共同影响，不能简单用线性关系描述。这也为机器学习代理模型提供了应用空间，即通过数据学习复杂非线性映射。</w:t>
      </w:r>
    </w:p>
    <w:p w14:paraId="13A885E0">
      <w:pPr>
        <w:spacing w:before="120" w:after="80" w:line="300" w:lineRule="auto"/>
        <w:jc w:val="left"/>
      </w:pPr>
      <w:r>
        <w:rPr>
          <w:rFonts w:ascii="黑体" w:hAnsi="黑体" w:eastAsia="黑体"/>
          <w:b/>
          <w:sz w:val="21"/>
        </w:rPr>
        <w:t>5.2 能量稳定性与风险等级</w:t>
      </w:r>
    </w:p>
    <w:p w14:paraId="37BE4A41">
      <w:pPr>
        <w:spacing w:before="0" w:after="0" w:line="300" w:lineRule="auto"/>
        <w:ind w:firstLine="420"/>
        <w:jc w:val="both"/>
      </w:pPr>
      <w:r>
        <w:rPr>
          <w:rFonts w:ascii="宋体" w:hAnsi="宋体" w:eastAsia="宋体"/>
          <w:sz w:val="21"/>
        </w:rPr>
        <w:t>从后处理数据看，</w:t>
      </w:r>
      <m:oMath>
        <m:r>
          <m:rPr>
            <m:sty m:val="p"/>
          </m:rPr>
          <w:rPr>
            <w:rFonts w:ascii="Cambria Math" w:hAnsi="Cambria Math" w:eastAsia="宋体" w:cstheme="minorBidi"/>
            <w:sz w:val="21"/>
            <w:szCs w:val="22"/>
            <w:lang w:val="en-US" w:bidi="ar-SA"/>
          </w:rPr>
          <m:t xml:space="preserve">25 </m:t>
        </m:r>
      </m:oMath>
      <w:r>
        <w:rPr>
          <w:rFonts w:ascii="宋体" w:hAnsi="宋体" w:eastAsia="宋体"/>
          <w:sz w:val="21"/>
        </w:rPr>
        <w:t>组工况的总能量相对误差均很小，最大</w:t>
      </w:r>
      <m:oMath>
        <m:r>
          <m:rPr>
            <m:sty m:val="p"/>
          </m:rPr>
          <w:rPr>
            <w:rFonts w:ascii="Cambria Math" w:hAnsi="Cambria Math" w:eastAsia="宋体" w:cstheme="minorBidi"/>
            <w:sz w:val="21"/>
            <w:szCs w:val="22"/>
            <w:lang w:val="en-US" w:bidi="ar-SA"/>
          </w:rPr>
          <m:t xml:space="preserve"> ETOTAL_error_pct </m:t>
        </m:r>
      </m:oMath>
      <w:r>
        <w:rPr>
          <w:rFonts w:ascii="宋体" w:hAnsi="宋体" w:eastAsia="宋体"/>
          <w:sz w:val="21"/>
        </w:rPr>
        <w:t xml:space="preserve">约为 </w:t>
      </w:r>
      <m:oMath>
        <m:r>
          <m:rPr>
            <m:sty m:val="p"/>
          </m:rPr>
          <w:rPr>
            <w:rFonts w:ascii="Cambria Math" w:hAnsi="Cambria Math" w:eastAsia="宋体" w:cstheme="minorBidi"/>
            <w:sz w:val="21"/>
            <w:szCs w:val="22"/>
            <w:lang w:val="en-US" w:bidi="ar-SA"/>
          </w:rPr>
          <m:t>0.00584%</m:t>
        </m:r>
      </m:oMath>
      <w:r>
        <w:rPr>
          <w:rFonts w:ascii="宋体" w:hAnsi="宋体" w:eastAsia="宋体"/>
          <w:sz w:val="21"/>
        </w:rPr>
        <w:t>，人工能量 ALLAE 占内能比例为 0。这说明当前显式动力学模型没有明显的沙漏能量异常，能量平衡较好。基于参考抗拉强度</w:t>
      </w:r>
      <m:oMath>
        <m:r>
          <m:rPr>
            <m:sty m:val="p"/>
          </m:rPr>
          <w:rPr>
            <w:rFonts w:ascii="Cambria Math" w:hAnsi="Cambria Math" w:eastAsia="宋体" w:cstheme="minorBidi"/>
            <w:sz w:val="21"/>
            <w:szCs w:val="22"/>
            <w:lang w:val="en-US" w:bidi="ar-SA"/>
          </w:rPr>
          <m:t xml:space="preserve"> σₜ = 30 MPa </m:t>
        </m:r>
      </m:oMath>
      <w:r>
        <w:rPr>
          <w:rFonts w:ascii="宋体" w:hAnsi="宋体" w:eastAsia="宋体"/>
          <w:sz w:val="21"/>
        </w:rPr>
        <w:t>计算风险等级后，25 组工况中</w:t>
      </w:r>
      <m:oMath>
        <m:r>
          <m:rPr>
            <m:sty m:val="p"/>
          </m:rPr>
          <w:rPr>
            <w:rFonts w:ascii="Cambria Math" w:hAnsi="Cambria Math" w:eastAsia="宋体" w:cstheme="minorBidi"/>
            <w:sz w:val="21"/>
            <w:szCs w:val="22"/>
            <w:lang w:val="en-US" w:bidi="ar-SA"/>
          </w:rPr>
          <m:t xml:space="preserve"> High </m:t>
        </m:r>
      </m:oMath>
      <w:r>
        <w:rPr>
          <w:rFonts w:ascii="宋体" w:hAnsi="宋体" w:eastAsia="宋体"/>
          <w:sz w:val="21"/>
        </w:rPr>
        <w:t>共 21 组，</w:t>
      </w:r>
      <m:oMath>
        <m:r>
          <m:rPr>
            <m:sty m:val="p"/>
          </m:rPr>
          <w:rPr>
            <w:rFonts w:ascii="Cambria Math" w:hAnsi="Cambria Math" w:eastAsia="宋体" w:cstheme="minorBidi"/>
            <w:sz w:val="21"/>
            <w:szCs w:val="22"/>
            <w:lang w:val="en-US" w:bidi="ar-SA"/>
          </w:rPr>
          <m:t xml:space="preserve">Medium </m:t>
        </m:r>
      </m:oMath>
      <w:r>
        <w:rPr>
          <w:rFonts w:ascii="宋体" w:hAnsi="宋体" w:eastAsia="宋体"/>
          <w:sz w:val="21"/>
        </w:rPr>
        <w:t>共 2 组，</w:t>
      </w:r>
      <m:oMath>
        <m:r>
          <m:rPr>
            <m:sty m:val="p"/>
          </m:rPr>
          <w:rPr>
            <w:rFonts w:ascii="Cambria Math" w:hAnsi="Cambria Math" w:eastAsia="宋体" w:cstheme="minorBidi"/>
            <w:sz w:val="21"/>
            <w:szCs w:val="22"/>
            <w:lang w:val="en-US" w:bidi="ar-SA"/>
          </w:rPr>
          <m:t xml:space="preserve">Low </m:t>
        </m:r>
      </m:oMath>
      <w:r>
        <w:rPr>
          <w:rFonts w:ascii="宋体" w:hAnsi="宋体" w:eastAsia="宋体"/>
          <w:sz w:val="21"/>
        </w:rPr>
        <w:t>共 2 组。由于</w:t>
      </w:r>
      <m:oMath>
        <m:r>
          <m:rPr>
            <m:sty m:val="p"/>
          </m:rPr>
          <w:rPr>
            <w:rFonts w:ascii="Cambria Math" w:hAnsi="Cambria Math" w:eastAsia="宋体" w:cstheme="minorBidi"/>
            <w:sz w:val="21"/>
            <w:szCs w:val="22"/>
            <w:lang w:val="en-US" w:bidi="ar-SA"/>
          </w:rPr>
          <m:t xml:space="preserve"> σₜ</m:t>
        </m:r>
      </m:oMath>
      <w:r>
        <w:rPr>
          <w:rFonts w:ascii="宋体" w:hAnsi="宋体" w:eastAsia="宋体"/>
          <w:sz w:val="21"/>
        </w:rPr>
        <w:t xml:space="preserve"> 取值偏保守，风险等级主要用于相对排序；若真实玉石抗拉强度更高或存在较少缺陷，绝对断裂判定需要结合实验修正。</w:t>
      </w:r>
    </w:p>
    <w:p w14:paraId="205CD8F8">
      <w:pPr>
        <w:jc w:val="center"/>
      </w:pPr>
      <w:r>
        <w:drawing>
          <wp:inline distT="0" distB="0" distL="114300" distR="114300">
            <wp:extent cx="5219700" cy="3228340"/>
            <wp:effectExtent l="0" t="0" r="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20000" cy="3228593"/>
                    </a:xfrm>
                    <a:prstGeom prst="rect">
                      <a:avLst/>
                    </a:prstGeom>
                  </pic:spPr>
                </pic:pic>
              </a:graphicData>
            </a:graphic>
          </wp:inline>
        </w:drawing>
      </w:r>
    </w:p>
    <w:p w14:paraId="472A25A6">
      <w:pPr>
        <w:spacing w:before="40" w:after="120"/>
        <w:jc w:val="center"/>
      </w:pPr>
      <w:r>
        <w:rPr>
          <w:rFonts w:ascii="宋体" w:hAnsi="宋体" w:eastAsia="宋体"/>
          <w:sz w:val="18"/>
        </w:rPr>
        <w:t>图 4  不同跌落角度下最大主应力统计</w:t>
      </w:r>
    </w:p>
    <w:p w14:paraId="110A0AFA">
      <w:pPr>
        <w:jc w:val="center"/>
      </w:pPr>
      <w:r>
        <w:drawing>
          <wp:inline distT="0" distB="0" distL="114300" distR="114300">
            <wp:extent cx="5219700" cy="34639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20000" cy="3464225"/>
                    </a:xfrm>
                    <a:prstGeom prst="rect">
                      <a:avLst/>
                    </a:prstGeom>
                  </pic:spPr>
                </pic:pic>
              </a:graphicData>
            </a:graphic>
          </wp:inline>
        </w:drawing>
      </w:r>
    </w:p>
    <w:p w14:paraId="29738A50">
      <w:pPr>
        <w:spacing w:before="40" w:after="120"/>
        <w:jc w:val="center"/>
      </w:pPr>
      <w:r>
        <w:rPr>
          <w:rFonts w:ascii="宋体" w:hAnsi="宋体" w:eastAsia="宋体"/>
          <w:sz w:val="18"/>
        </w:rPr>
        <w:t>图 5  最大主应力峰值时刻分布</w:t>
      </w:r>
    </w:p>
    <w:p w14:paraId="609AD8CA">
      <w:pPr>
        <w:spacing w:before="120" w:after="80" w:line="300" w:lineRule="auto"/>
        <w:jc w:val="left"/>
      </w:pPr>
      <w:r>
        <w:rPr>
          <w:rFonts w:ascii="黑体" w:hAnsi="黑体" w:eastAsia="黑体"/>
          <w:b/>
          <w:sz w:val="21"/>
        </w:rPr>
        <w:t>5.3 AI 预测结果与参数重要性</w:t>
      </w:r>
    </w:p>
    <w:p w14:paraId="5836DBAE">
      <w:pPr>
        <w:spacing w:before="0" w:after="0" w:line="300" w:lineRule="auto"/>
        <w:ind w:firstLine="420"/>
        <w:jc w:val="both"/>
      </w:pPr>
      <w:r>
        <w:rPr>
          <w:rFonts w:ascii="宋体" w:hAnsi="宋体" w:eastAsia="宋体"/>
          <w:sz w:val="21"/>
        </w:rPr>
        <w:t>表 3 显示，极端随机树模型取得最优预测性能，留一交叉验证</w:t>
      </w:r>
      <m:oMath>
        <m:r>
          <m:rPr>
            <m:sty m:val="p"/>
          </m:rPr>
          <w:rPr>
            <w:rFonts w:hint="default" w:ascii="Cambria Math" w:hAnsi="Cambria Math" w:eastAsia="宋体"/>
            <w:sz w:val="21"/>
          </w:rPr>
          <m:t>R²=0.893，MAE=32.72MPa，RMSE=41.46MPa</m:t>
        </m:r>
      </m:oMath>
      <w:r>
        <w:rPr>
          <w:rFonts w:ascii="宋体" w:hAnsi="宋体" w:eastAsia="宋体"/>
          <w:sz w:val="21"/>
        </w:rPr>
        <w:t>，最大绝对误差约</w:t>
      </w:r>
      <m:oMath>
        <m:r>
          <m:rPr>
            <m:sty m:val="p"/>
          </m:rPr>
          <w:rPr>
            <w:rFonts w:hint="default" w:ascii="Cambria Math" w:hAnsi="Cambria Math" w:eastAsia="宋体"/>
            <w:sz w:val="21"/>
          </w:rPr>
          <m:t>95.31MPa</m:t>
        </m:r>
      </m:oMath>
      <w:r>
        <w:rPr>
          <w:rFonts w:ascii="宋体" w:hAnsi="宋体" w:eastAsia="宋体"/>
          <w:sz w:val="21"/>
        </w:rPr>
        <w:t>。随机森林和梯度提升模型的 RMSE 分别为</w:t>
      </w:r>
      <m:oMath>
        <m:r>
          <m:rPr>
            <m:sty m:val="p"/>
          </m:rPr>
          <w:rPr>
            <w:rFonts w:hint="default" w:ascii="Cambria Math" w:hAnsi="Cambria Math" w:eastAsia="宋体" w:cstheme="minorBidi"/>
            <w:sz w:val="21"/>
            <w:szCs w:val="22"/>
            <w:lang w:val="en-US" w:bidi="ar-SA"/>
          </w:rPr>
          <m:t xml:space="preserve"> 47.07 MPa </m:t>
        </m:r>
      </m:oMath>
      <w:r>
        <w:rPr>
          <w:rFonts w:ascii="宋体" w:hAnsi="宋体" w:eastAsia="宋体"/>
          <w:sz w:val="21"/>
        </w:rPr>
        <w:t>和</w:t>
      </w:r>
      <m:oMath>
        <m:r>
          <m:rPr>
            <m:sty m:val="p"/>
          </m:rPr>
          <w:rPr>
            <w:rFonts w:hint="default" w:ascii="Cambria Math" w:hAnsi="Cambria Math" w:eastAsia="宋体"/>
            <w:sz w:val="21"/>
          </w:rPr>
          <m:t>47.00MPa</m:t>
        </m:r>
      </m:oMath>
      <w:r>
        <w:rPr>
          <w:rFonts w:ascii="宋体" w:hAnsi="宋体" w:eastAsia="宋体"/>
          <w:sz w:val="21"/>
        </w:rPr>
        <w:t>，性能接近；SVR_RBF 误差较大，说明在当前样本规模和变量分布下，树模型更适合描述跌落工况与最大主应力之间的非线性关系。</w:t>
      </w:r>
    </w:p>
    <w:p w14:paraId="4C7C3126">
      <w:pPr>
        <w:spacing w:before="0" w:after="0" w:line="300" w:lineRule="auto"/>
        <w:ind w:firstLine="420"/>
        <w:jc w:val="both"/>
      </w:pPr>
      <w:r>
        <w:rPr>
          <w:rFonts w:ascii="宋体" w:hAnsi="宋体" w:eastAsia="宋体"/>
          <w:sz w:val="21"/>
        </w:rPr>
        <w:t>图 6 给出了最优模型预测值与</w:t>
      </w:r>
      <m:oMath>
        <m:r>
          <m:rPr>
            <m:sty m:val="p"/>
          </m:rPr>
          <w:rPr>
            <w:rFonts w:ascii="Cambria Math" w:hAnsi="Cambria Math" w:eastAsia="宋体" w:cstheme="minorBidi"/>
            <w:sz w:val="21"/>
            <w:szCs w:val="22"/>
            <w:lang w:val="en-US" w:bidi="ar-SA"/>
          </w:rPr>
          <m:t xml:space="preserve"> Abaqus </m:t>
        </m:r>
      </m:oMath>
      <w:r>
        <w:rPr>
          <w:rFonts w:ascii="宋体" w:hAnsi="宋体" w:eastAsia="宋体"/>
          <w:sz w:val="21"/>
        </w:rPr>
        <w:t>计算值的对比。多数样本分布在</w:t>
      </w:r>
      <m:oMath>
        <m:r>
          <m:rPr>
            <m:sty m:val="p"/>
          </m:rPr>
          <w:rPr>
            <w:rFonts w:ascii="Cambria Math" w:hAnsi="Cambria Math" w:eastAsia="宋体" w:cstheme="minorBidi"/>
            <w:sz w:val="21"/>
            <w:szCs w:val="22"/>
            <w:lang w:val="en-US" w:bidi="ar-SA"/>
          </w:rPr>
          <m:t xml:space="preserve"> y = x </m:t>
        </m:r>
      </m:oMath>
      <w:r>
        <w:rPr>
          <w:rFonts w:ascii="宋体" w:hAnsi="宋体" w:eastAsia="宋体"/>
          <w:sz w:val="21"/>
        </w:rPr>
        <w:t>附近，说明代理模型能够较好捕捉整体趋势。图 7 的特征重要性表明，跌落角度重要性约为</w:t>
      </w:r>
      <m:oMath>
        <m:r>
          <m:rPr>
            <m:sty m:val="p"/>
          </m:rPr>
          <w:rPr>
            <w:rFonts w:ascii="Cambria Math" w:hAnsi="Cambria Math" w:eastAsia="宋体" w:cstheme="minorBidi"/>
            <w:sz w:val="21"/>
            <w:szCs w:val="22"/>
            <w:lang w:val="en-US" w:bidi="ar-SA"/>
          </w:rPr>
          <m:t xml:space="preserve"> 0.795</m:t>
        </m:r>
      </m:oMath>
      <w:r>
        <w:rPr>
          <w:rFonts w:ascii="宋体" w:hAnsi="宋体" w:eastAsia="宋体"/>
          <w:sz w:val="21"/>
        </w:rPr>
        <w:t>，明显高于高度和速度；高度与速度分别约为 0.104 和 0.102。由于速度由高度通过</w:t>
      </w:r>
      <m:oMath>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r>
          <m:rPr/>
          <w:rPr>
            <w:rFonts w:hint="default" w:ascii="Cambria Math" w:hAnsi="Cambria Math"/>
            <w:sz w:val="21"/>
          </w:rPr>
          <m:t>=</m:t>
        </m:r>
        <m:rad>
          <m:radPr>
            <m:degHide m:val="1"/>
            <m:ctrlPr>
              <w:rPr>
                <w:rFonts w:hint="default" w:ascii="Cambria Math" w:hAnsi="Cambria Math"/>
                <w:sz w:val="21"/>
              </w:rPr>
            </m:ctrlPr>
          </m:radPr>
          <m:deg>
            <m:ctrlPr>
              <w:rPr>
                <w:rFonts w:ascii="Cambria Math" w:hAnsi="Cambria Math"/>
                <w:sz w:val="21"/>
              </w:rPr>
            </m:ctrlPr>
          </m:deg>
          <m:e>
            <m:r>
              <m:rPr/>
              <w:rPr>
                <w:rFonts w:hint="default" w:ascii="Cambria Math" w:hAnsi="Cambria Math"/>
                <w:sz w:val="21"/>
              </w:rPr>
              <m:t>(2gh)</m:t>
            </m:r>
            <m:ctrlPr>
              <w:rPr>
                <w:rFonts w:ascii="Cambria Math" w:hAnsi="Cambria Math"/>
                <w:sz w:val="21"/>
              </w:rPr>
            </m:ctrlPr>
          </m:e>
        </m:rad>
      </m:oMath>
      <w:r>
        <w:rPr>
          <w:rFonts w:ascii="宋体" w:hAnsi="宋体" w:eastAsia="宋体"/>
          <w:sz w:val="21"/>
        </w:rPr>
        <w:t>计算得到，二者存在强相关性，因此可将二者共同理解为“跌落能量输入”的影响。综合来看，姿态改变带来的接触面积和弯曲形式变化，是主应力峰值差异的首要原因。</w:t>
      </w:r>
    </w:p>
    <w:p w14:paraId="064064E0">
      <w:pPr>
        <w:jc w:val="center"/>
      </w:pPr>
      <w:r>
        <w:drawing>
          <wp:inline distT="0" distB="0" distL="114300" distR="114300">
            <wp:extent cx="4319905" cy="4312285"/>
            <wp:effectExtent l="0" t="0" r="444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320000" cy="4312666"/>
                    </a:xfrm>
                    <a:prstGeom prst="rect">
                      <a:avLst/>
                    </a:prstGeom>
                  </pic:spPr>
                </pic:pic>
              </a:graphicData>
            </a:graphic>
          </wp:inline>
        </w:drawing>
      </w:r>
    </w:p>
    <w:p w14:paraId="7A78355F">
      <w:pPr>
        <w:spacing w:before="40" w:after="120"/>
        <w:jc w:val="center"/>
      </w:pPr>
      <w:r>
        <w:rPr>
          <w:rFonts w:ascii="宋体" w:hAnsi="宋体" w:eastAsia="宋体"/>
          <w:sz w:val="18"/>
        </w:rPr>
        <w:t>图 6  AI 预测值与</w:t>
      </w:r>
      <m:oMath>
        <m:r>
          <m:rPr>
            <m:sty m:val="p"/>
          </m:rPr>
          <w:rPr>
            <w:rFonts w:ascii="Cambria Math" w:hAnsi="Cambria Math" w:eastAsia="宋体" w:cstheme="minorBidi"/>
            <w:sz w:val="18"/>
            <w:szCs w:val="22"/>
            <w:lang w:val="en-US" w:bidi="ar-SA"/>
          </w:rPr>
          <m:t xml:space="preserve"> Abaqus 结</m:t>
        </m:r>
      </m:oMath>
      <w:r>
        <w:rPr>
          <w:rFonts w:ascii="宋体" w:hAnsi="宋体" w:eastAsia="宋体"/>
          <w:sz w:val="18"/>
        </w:rPr>
        <w:t>果对比</w:t>
      </w:r>
    </w:p>
    <w:p w14:paraId="28D69646">
      <w:pPr>
        <w:jc w:val="center"/>
      </w:pPr>
      <w:r>
        <w:drawing>
          <wp:inline distT="0" distB="0" distL="114300" distR="114300">
            <wp:extent cx="4319905" cy="3060700"/>
            <wp:effectExtent l="0" t="0" r="444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320000" cy="3060957"/>
                    </a:xfrm>
                    <a:prstGeom prst="rect">
                      <a:avLst/>
                    </a:prstGeom>
                  </pic:spPr>
                </pic:pic>
              </a:graphicData>
            </a:graphic>
          </wp:inline>
        </w:drawing>
      </w:r>
    </w:p>
    <w:p w14:paraId="0C184432">
      <w:pPr>
        <w:spacing w:before="40" w:after="120"/>
        <w:jc w:val="center"/>
      </w:pPr>
      <w:r>
        <w:rPr>
          <w:rFonts w:ascii="宋体" w:hAnsi="宋体" w:eastAsia="宋体"/>
          <w:sz w:val="18"/>
        </w:rPr>
        <w:t>图 7  输入参数重要性分析</w:t>
      </w:r>
    </w:p>
    <w:p w14:paraId="0328686B">
      <w:pPr>
        <w:jc w:val="center"/>
      </w:pPr>
      <w:r>
        <w:drawing>
          <wp:inline distT="0" distB="0" distL="114300" distR="114300">
            <wp:extent cx="5219700" cy="3051810"/>
            <wp:effectExtent l="0" t="0" r="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220000" cy="3051949"/>
                    </a:xfrm>
                    <a:prstGeom prst="rect">
                      <a:avLst/>
                    </a:prstGeom>
                  </pic:spPr>
                </pic:pic>
              </a:graphicData>
            </a:graphic>
          </wp:inline>
        </w:drawing>
      </w:r>
    </w:p>
    <w:p w14:paraId="079F0A93">
      <w:pPr>
        <w:spacing w:before="40" w:after="120"/>
        <w:jc w:val="center"/>
      </w:pPr>
      <w:r>
        <w:rPr>
          <w:rFonts w:ascii="宋体" w:hAnsi="宋体" w:eastAsia="宋体"/>
          <w:sz w:val="18"/>
        </w:rPr>
        <w:t>图 8  AI 预测高度-角度最大主应力风险分布图</w:t>
      </w:r>
    </w:p>
    <w:p w14:paraId="3AAE14A5">
      <w:pPr>
        <w:jc w:val="center"/>
      </w:pPr>
      <w:r>
        <w:drawing>
          <wp:inline distT="0" distB="0" distL="114300" distR="114300">
            <wp:extent cx="3959860" cy="3208020"/>
            <wp:effectExtent l="0" t="0" r="254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3960000" cy="3208073"/>
                    </a:xfrm>
                    <a:prstGeom prst="rect">
                      <a:avLst/>
                    </a:prstGeom>
                  </pic:spPr>
                </pic:pic>
              </a:graphicData>
            </a:graphic>
          </wp:inline>
        </w:drawing>
      </w:r>
    </w:p>
    <w:p w14:paraId="4C59D358">
      <w:pPr>
        <w:spacing w:before="40" w:after="120"/>
        <w:jc w:val="center"/>
      </w:pPr>
      <w:r>
        <w:rPr>
          <w:rFonts w:ascii="宋体" w:hAnsi="宋体" w:eastAsia="宋体"/>
          <w:sz w:val="18"/>
        </w:rPr>
        <w:t>图 9  风险等级预测混淆矩阵</w:t>
      </w:r>
    </w:p>
    <w:p w14:paraId="70153FFB">
      <w:pPr>
        <w:spacing w:before="0" w:after="0" w:line="300" w:lineRule="auto"/>
        <w:ind w:firstLine="420"/>
        <w:jc w:val="both"/>
        <w:rPr>
          <w:rFonts w:ascii="宋体" w:hAnsi="宋体" w:eastAsia="宋体"/>
          <w:sz w:val="21"/>
        </w:rPr>
      </w:pPr>
      <w:r>
        <w:rPr>
          <w:rFonts w:ascii="宋体" w:hAnsi="宋体" w:eastAsia="宋体"/>
          <w:sz w:val="21"/>
        </w:rPr>
        <w:t>图 8 展示了代理模型在更密集高度—角度网格上的预测结果。可以看出，高风险区域主要集中在大角度跌落区域，尤其是接近</w:t>
      </w:r>
      <m:oMath>
        <m:r>
          <m:rPr>
            <m:sty m:val="p"/>
          </m:rPr>
          <w:rPr>
            <w:rFonts w:ascii="Cambria Math" w:hAnsi="Cambria Math" w:eastAsia="宋体" w:cstheme="minorBidi"/>
            <w:sz w:val="21"/>
            <w:szCs w:val="22"/>
            <w:lang w:val="en-US" w:bidi="ar-SA"/>
          </w:rPr>
          <m:t xml:space="preserve"> 90° </m:t>
        </m:r>
      </m:oMath>
      <w:r>
        <w:rPr>
          <w:rFonts w:ascii="宋体" w:hAnsi="宋体" w:eastAsia="宋体"/>
          <w:sz w:val="21"/>
        </w:rPr>
        <w:t>的竖直跌落工况；低风险区域主要位于较低高度和平躺跌落附近。该结果与有限元热力图具有一致性，说明机器学习模型不仅能拟合已有数据，还能在参数空间中形成连续的风险分布表达。对实际应用而言，这种代理模型可用于快速筛选危险跌落姿态，而不必每次都重新运行显式动力学计算。</w:t>
      </w:r>
    </w:p>
    <w:p w14:paraId="427EB30B">
      <w:pPr>
        <w:pStyle w:val="3"/>
      </w:pPr>
      <w:r>
        <w:rPr>
          <w:rFonts w:ascii="黑体" w:hAnsi="黑体" w:eastAsia="黑体"/>
          <w:b/>
          <w:color w:val="000000"/>
        </w:rPr>
        <w:t>6 面向现实生活的 AI 辅助风险评估讨论</w:t>
      </w:r>
    </w:p>
    <w:p w14:paraId="346B6AD5">
      <w:pPr>
        <w:ind w:firstLine="420" w:firstLineChars="200"/>
        <w:jc w:val="both"/>
        <w:rPr>
          <w:rFonts w:ascii="宋体" w:hAnsi="宋体" w:eastAsia="宋体"/>
          <w:b/>
          <w:bCs/>
          <w:color w:val="000000"/>
        </w:rPr>
      </w:pPr>
      <w:r>
        <w:rPr>
          <w:rFonts w:ascii="宋体" w:hAnsi="宋体" w:eastAsia="宋体"/>
          <w:color w:val="000000"/>
        </w:rPr>
        <w:t>前文基于 Abaqus 显式动力学模型和 25 组跌落工况数据，建立了机器学习代理模型，实现了跌落高度、跌落角度与最大主应力峰值之间的快速预测。若仅从算法角度看，AI 模型的作用是回归预测 S1,max；但从玉石手镯的实际使用场景看，其更重要的意义在于把复杂的有限元应力结果转化为普通用户能够理解的风险判断。现实生活中，用户最关心的问题往往不是应力云图本身，而是“手镯摔了一下后是否还可以继续佩戴”“是否可能存在肉眼难以发现的隐裂”“是否需要交给专业机构检测”。因此，本节进一步从日常佩戴、跌落后判断、商家包装运输和收纳保护等角度讨论有限元—AI 方法的现实应用价值。</w:t>
      </w:r>
    </w:p>
    <w:p w14:paraId="60D67656">
      <w:pPr>
        <w:pStyle w:val="4"/>
      </w:pPr>
      <w:r>
        <w:rPr>
          <w:rFonts w:ascii="黑体" w:hAnsi="黑体" w:eastAsia="黑体"/>
          <w:b/>
          <w:color w:val="000000"/>
        </w:rPr>
        <w:t>6.1 跌落后“要不要担心”的 AI 辅助判断思路</w:t>
      </w:r>
    </w:p>
    <w:p w14:paraId="0695AB3A">
      <w:pPr>
        <w:ind w:firstLine="420" w:firstLineChars="200"/>
        <w:jc w:val="both"/>
      </w:pPr>
      <w:r>
        <w:rPr>
          <w:rFonts w:ascii="宋体" w:hAnsi="宋体" w:eastAsia="宋体"/>
          <w:color w:val="000000"/>
        </w:rPr>
        <w:t>玉石手镯跌落后是否发生可见裂纹，与落地高度、落地姿态、地面硬度、手镯自身材料强度以及原有绺裂等因素有关。传统判断多依赖肉眼观察、强光照射和敲击声音等经验方法，这些方法对明显裂纹较有效，但对内部隐裂、微小裂纹或局部高应力损伤并不总是敏感。本文提出的有限元—AI 代理模型并不直接判断“手镯已经断裂”或“手镯一定安全”，而是根据跌落场景预测该次冲击中可能出现的最大主应力峰值，并将其与玉石参考抗拉强度进行比较，从而给出相对风险等级。</w:t>
      </w:r>
    </w:p>
    <w:p w14:paraId="2AE2E3FD">
      <w:pPr>
        <w:ind w:firstLine="420" w:firstLineChars="200"/>
        <w:jc w:val="both"/>
      </w:pPr>
      <w:r>
        <w:rPr>
          <w:rFonts w:ascii="宋体" w:hAnsi="宋体" w:eastAsia="宋体"/>
          <w:color w:val="000000"/>
        </w:rPr>
        <w:t>该判断过程可以概括为：首先把生活化描述转换为模型参数，例如“从洗手台滑落”可对应较高跌落高度，“边缘先撞地”可对应较大落地角度，“瓷砖或水泥地面”可对应较硬接触条件；其次由机器学习代理模型预测最大主应力峰值 S1,max；最后根据风险系数 Rt 对跌落事件进行低风险、中风险或高风险分类。其基本关系为：</w:t>
      </w:r>
    </w:p>
    <w:p w14:paraId="4AC9469D">
      <w:pPr>
        <w:ind w:firstLine="0"/>
        <w:jc w:val="center"/>
      </w:pPr>
      <w:r>
        <w:rPr>
          <w:rFonts w:ascii="Times New Roman" w:hAnsi="Times New Roman" w:eastAsia="宋体"/>
          <w:color w:val="000000"/>
          <w:sz w:val="21"/>
        </w:rPr>
        <w:t>h, θ, v0, μ  →  S1,max  →  Rt  →  风险等级</w:t>
      </w:r>
    </w:p>
    <w:p w14:paraId="550D6732">
      <w:pPr>
        <w:ind w:firstLine="0"/>
        <w:jc w:val="center"/>
        <w:rPr>
          <w:rFonts w:hint="eastAsia" w:eastAsia="宋体"/>
          <w:lang w:val="en-US" w:eastAsia="zh-CN"/>
        </w:rPr>
      </w:pPr>
      <w:r>
        <w:rPr>
          <w:rFonts w:ascii="Times New Roman" w:hAnsi="Times New Roman" w:eastAsia="宋体"/>
          <w:color w:val="000000"/>
          <w:sz w:val="21"/>
        </w:rPr>
        <w:t xml:space="preserve">Rt = </w:t>
      </w:r>
      <m:oMath>
        <m:f>
          <m:fPr>
            <m:ctrlPr>
              <w:rPr>
                <w:rFonts w:hint="default" w:ascii="Cambria Math" w:hAnsi="Cambria Math"/>
                <w:sz w:val="21"/>
              </w:rPr>
            </m:ctrlPr>
          </m:fPr>
          <m:num>
            <m:r>
              <m:rPr/>
              <w:rPr>
                <w:rFonts w:hint="default" w:ascii="Cambria Math" w:hAnsi="Cambria Math"/>
                <w:sz w:val="21"/>
              </w:rPr>
              <m:t>S1,max</m:t>
            </m:r>
            <m:ctrlPr>
              <w:rPr>
                <w:rFonts w:ascii="Cambria Math" w:hAnsi="Cambria Math"/>
                <w:sz w:val="21"/>
              </w:rPr>
            </m:ctrlPr>
          </m:num>
          <m:den>
            <m:r>
              <m:rPr/>
              <w:rPr>
                <w:rFonts w:hint="default" w:ascii="Cambria Math" w:hAnsi="Cambria Math"/>
                <w:sz w:val="21"/>
              </w:rPr>
              <m:t>σt</m:t>
            </m:r>
            <m:ctrlPr>
              <w:rPr>
                <w:rFonts w:ascii="Cambria Math" w:hAnsi="Cambria Math"/>
                <w:sz w:val="21"/>
              </w:rPr>
            </m:ctrlPr>
          </m:den>
        </m:f>
      </m:oMath>
    </w:p>
    <w:p w14:paraId="76365D3F">
      <w:pPr>
        <w:ind w:firstLine="420" w:firstLineChars="200"/>
        <w:jc w:val="both"/>
      </w:pPr>
      <w:r>
        <w:rPr>
          <w:rFonts w:ascii="宋体" w:hAnsi="宋体" w:eastAsia="宋体"/>
          <w:color w:val="000000"/>
        </w:rPr>
        <w:t>其中 h 为跌落高度，</w:t>
      </w:r>
      <m:oMath>
        <m:r>
          <m:rPr>
            <m:sty m:val="p"/>
          </m:rPr>
          <w:rPr>
            <w:rFonts w:ascii="Cambria Math" w:hAnsi="Cambria Math" w:eastAsia="宋体" w:cstheme="minorBidi"/>
            <w:color w:val="000000"/>
            <w:sz w:val="21"/>
            <w:szCs w:val="22"/>
            <w:lang w:val="en-US" w:bidi="ar-SA"/>
          </w:rPr>
          <m:t xml:space="preserve">θ </m:t>
        </m:r>
      </m:oMath>
      <w:r>
        <w:rPr>
          <w:rFonts w:ascii="宋体" w:hAnsi="宋体" w:eastAsia="宋体"/>
          <w:color w:val="000000"/>
        </w:rPr>
        <w:t>为落地姿态角，v0 为撞击前初速度，μ 为接触摩擦系数，</w:t>
      </w:r>
      <m:oMath>
        <m:r>
          <m:rPr>
            <m:sty m:val="p"/>
          </m:rPr>
          <w:rPr>
            <w:rFonts w:ascii="Cambria Math" w:hAnsi="Cambria Math" w:eastAsia="宋体" w:cstheme="minorBidi"/>
            <w:color w:val="000000"/>
            <w:sz w:val="21"/>
            <w:szCs w:val="22"/>
            <w:lang w:val="en-US" w:bidi="ar-SA"/>
          </w:rPr>
          <m:t xml:space="preserve">σt </m:t>
        </m:r>
      </m:oMath>
      <w:r>
        <w:rPr>
          <w:rFonts w:ascii="宋体" w:hAnsi="宋体" w:eastAsia="宋体"/>
          <w:color w:val="000000"/>
        </w:rPr>
        <w:t>为玉石参考抗拉强度。需要强调的是，</w:t>
      </w:r>
      <m:oMath>
        <m:r>
          <m:rPr>
            <m:sty m:val="p"/>
          </m:rPr>
          <w:rPr>
            <w:rFonts w:ascii="Cambria Math" w:hAnsi="Cambria Math" w:eastAsia="宋体" w:cstheme="minorBidi"/>
            <w:color w:val="000000"/>
            <w:sz w:val="21"/>
            <w:szCs w:val="22"/>
            <w:lang w:val="en-US" w:bidi="ar-SA"/>
          </w:rPr>
          <m:t xml:space="preserve">Rt </m:t>
        </m:r>
      </m:oMath>
      <w:r>
        <w:rPr>
          <w:rFonts w:ascii="宋体" w:hAnsi="宋体" w:eastAsia="宋体"/>
          <w:color w:val="000000"/>
        </w:rPr>
        <w:t>并不是严格断裂判据，而是面向不同跌落场景的相对风险指标。对于天然玉石而言，微裂纹、纹理方向、加工残余应力和矿物颗粒结构都会影响真实强度，因此模型输出更适合作为跌落后的初步风险提示，而不应</w:t>
      </w:r>
      <w:r>
        <w:rPr>
          <w:rFonts w:hint="eastAsia"/>
          <w:color w:val="000000"/>
          <w:lang w:val="en-US" w:eastAsia="zh-CN"/>
        </w:rPr>
        <w:t>完全</w:t>
      </w:r>
      <w:r>
        <w:rPr>
          <w:rFonts w:ascii="宋体" w:hAnsi="宋体" w:eastAsia="宋体"/>
          <w:color w:val="000000"/>
        </w:rPr>
        <w:t>替代专业鉴定。</w:t>
      </w:r>
    </w:p>
    <w:tbl>
      <w:tblPr>
        <w:tblStyle w:val="33"/>
        <w:tblW w:w="9448"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2733"/>
        <w:gridCol w:w="2317"/>
        <w:gridCol w:w="4398"/>
      </w:tblGrid>
      <w:tr w14:paraId="7AFFEF8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657749C">
            <w:pPr>
              <w:snapToGrid w:val="0"/>
              <w:spacing w:line="240" w:lineRule="auto"/>
              <w:ind w:left="0" w:leftChars="0" w:right="0" w:rightChars="0" w:firstLine="0" w:firstLineChars="0"/>
              <w:jc w:val="center"/>
              <w:rPr>
                <w:rFonts w:ascii="宋体" w:eastAsia="宋体"/>
                <w:b/>
                <w:sz w:val="19"/>
              </w:rPr>
            </w:pPr>
            <w:r>
              <w:rPr>
                <w:rFonts w:ascii="宋体" w:hAnsi="宋体" w:eastAsia="宋体"/>
                <w:b/>
                <w:sz w:val="19"/>
              </w:rPr>
              <w:t>生活描述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97A2E67">
            <w:pPr>
              <w:snapToGrid w:val="0"/>
              <w:spacing w:line="240" w:lineRule="auto"/>
              <w:ind w:left="0" w:leftChars="0" w:right="0" w:rightChars="0" w:firstLine="0" w:firstLineChars="0"/>
              <w:jc w:val="center"/>
              <w:rPr>
                <w:rFonts w:ascii="宋体" w:eastAsia="宋体"/>
                <w:b/>
                <w:sz w:val="19"/>
              </w:rPr>
            </w:pPr>
            <w:r>
              <w:rPr>
                <w:rFonts w:ascii="宋体" w:hAnsi="宋体" w:eastAsia="宋体"/>
                <w:b/>
                <w:sz w:val="19"/>
              </w:rPr>
              <w:t>模型参数映射</w:t>
            </w:r>
          </w:p>
        </w:tc>
        <w:tc>
          <w:tcPr>
            <w:tcW w:w="4398" w:type="dxa"/>
            <w:tcBorders>
              <w:top w:val="single" w:color="auto" w:sz="12" w:space="0"/>
              <w:left w:val="nil"/>
              <w:bottom w:val="nil"/>
              <w:right w:val="nil"/>
            </w:tcBorders>
            <w:noWrap w:val="0"/>
            <w:tcMar>
              <w:top w:w="-1" w:type="dxa"/>
              <w:left w:w="-1" w:type="dxa"/>
              <w:bottom w:w="-1" w:type="dxa"/>
              <w:right w:w="-1" w:type="dxa"/>
            </w:tcMar>
            <w:vAlign w:val="center"/>
          </w:tcPr>
          <w:p w14:paraId="70BFA358">
            <w:pPr>
              <w:snapToGrid w:val="0"/>
              <w:spacing w:line="240" w:lineRule="auto"/>
              <w:ind w:left="0" w:leftChars="0" w:right="0" w:rightChars="0" w:firstLine="0" w:firstLineChars="0"/>
              <w:jc w:val="center"/>
              <w:rPr>
                <w:rFonts w:ascii="宋体" w:eastAsia="宋体"/>
                <w:b/>
                <w:sz w:val="19"/>
              </w:rPr>
            </w:pPr>
            <w:r>
              <w:rPr>
                <w:rFonts w:ascii="宋体" w:hAnsi="宋体" w:eastAsia="宋体"/>
                <w:b/>
                <w:sz w:val="19"/>
              </w:rPr>
              <w:t>力学含义</w:t>
            </w:r>
          </w:p>
        </w:tc>
      </w:tr>
      <w:tr w14:paraId="3F8C288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37713BE">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从床边或沙发边掉落</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3F19936">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h 较低，接触可能较软</w:t>
            </w:r>
          </w:p>
        </w:tc>
        <w:tc>
          <w:tcPr>
            <w:tcW w:w="4398" w:type="dxa"/>
            <w:tcBorders>
              <w:top w:val="single" w:color="auto" w:sz="4" w:space="0"/>
              <w:left w:val="nil"/>
              <w:bottom w:val="nil"/>
              <w:right w:val="nil"/>
            </w:tcBorders>
            <w:noWrap w:val="0"/>
            <w:tcMar>
              <w:top w:w="-1" w:type="dxa"/>
              <w:left w:w="-1" w:type="dxa"/>
              <w:bottom w:w="-1" w:type="dxa"/>
              <w:right w:w="-1" w:type="dxa"/>
            </w:tcMar>
            <w:vAlign w:val="center"/>
          </w:tcPr>
          <w:p w14:paraId="4C26A14D">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冲击能量较小，通常属于相对低风险场景</w:t>
            </w:r>
          </w:p>
        </w:tc>
      </w:tr>
      <w:tr w14:paraId="2F658C9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312E0E2">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从桌面或洗手台掉落</w:t>
            </w:r>
          </w:p>
        </w:tc>
        <w:tc>
          <w:tcPr>
            <w:tcW w:w="0" w:type="auto"/>
            <w:tcBorders>
              <w:top w:val="nil"/>
              <w:left w:val="nil"/>
              <w:bottom w:val="nil"/>
              <w:right w:val="nil"/>
            </w:tcBorders>
            <w:noWrap w:val="0"/>
            <w:tcMar>
              <w:top w:w="-1" w:type="dxa"/>
              <w:left w:w="-1" w:type="dxa"/>
              <w:bottom w:w="-1" w:type="dxa"/>
              <w:right w:w="-1" w:type="dxa"/>
            </w:tcMar>
            <w:vAlign w:val="center"/>
          </w:tcPr>
          <w:p w14:paraId="7615CC14">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h 较高，v0 较大</w:t>
            </w:r>
          </w:p>
        </w:tc>
        <w:tc>
          <w:tcPr>
            <w:tcW w:w="4398" w:type="dxa"/>
            <w:tcBorders>
              <w:top w:val="nil"/>
              <w:left w:val="nil"/>
              <w:bottom w:val="nil"/>
              <w:right w:val="nil"/>
            </w:tcBorders>
            <w:noWrap w:val="0"/>
            <w:tcMar>
              <w:top w:w="-1" w:type="dxa"/>
              <w:left w:w="-1" w:type="dxa"/>
              <w:bottom w:w="-1" w:type="dxa"/>
              <w:right w:w="-1" w:type="dxa"/>
            </w:tcMar>
            <w:vAlign w:val="center"/>
          </w:tcPr>
          <w:p w14:paraId="3F5CA190">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输入动能增大，局部应力峰值可能明显升高</w:t>
            </w:r>
          </w:p>
        </w:tc>
      </w:tr>
      <w:tr w14:paraId="0ECEFDC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76EAB6">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平着拍到地面</w:t>
            </w:r>
          </w:p>
        </w:tc>
        <w:tc>
          <w:tcPr>
            <w:tcW w:w="0" w:type="auto"/>
            <w:tcBorders>
              <w:top w:val="nil"/>
              <w:left w:val="nil"/>
              <w:bottom w:val="nil"/>
              <w:right w:val="nil"/>
            </w:tcBorders>
            <w:noWrap w:val="0"/>
            <w:tcMar>
              <w:top w:w="-1" w:type="dxa"/>
              <w:left w:w="-1" w:type="dxa"/>
              <w:bottom w:w="-1" w:type="dxa"/>
              <w:right w:w="-1" w:type="dxa"/>
            </w:tcMar>
            <w:vAlign w:val="center"/>
          </w:tcPr>
          <w:p w14:paraId="6EF4A463">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θ 接近 0°</w:t>
            </w:r>
          </w:p>
        </w:tc>
        <w:tc>
          <w:tcPr>
            <w:tcW w:w="4398" w:type="dxa"/>
            <w:tcBorders>
              <w:top w:val="nil"/>
              <w:left w:val="nil"/>
              <w:bottom w:val="nil"/>
              <w:right w:val="nil"/>
            </w:tcBorders>
            <w:noWrap w:val="0"/>
            <w:tcMar>
              <w:top w:w="-1" w:type="dxa"/>
              <w:left w:w="-1" w:type="dxa"/>
              <w:bottom w:w="-1" w:type="dxa"/>
              <w:right w:w="-1" w:type="dxa"/>
            </w:tcMar>
            <w:vAlign w:val="center"/>
          </w:tcPr>
          <w:p w14:paraId="13F90A60">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接触区域较分散，局部应力集中相对较弱</w:t>
            </w:r>
          </w:p>
        </w:tc>
      </w:tr>
      <w:tr w14:paraId="74775C1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E31F66E">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斜着撞击地面</w:t>
            </w:r>
          </w:p>
        </w:tc>
        <w:tc>
          <w:tcPr>
            <w:tcW w:w="0" w:type="auto"/>
            <w:tcBorders>
              <w:top w:val="nil"/>
              <w:left w:val="nil"/>
              <w:bottom w:val="nil"/>
              <w:right w:val="nil"/>
            </w:tcBorders>
            <w:noWrap w:val="0"/>
            <w:tcMar>
              <w:top w:w="-1" w:type="dxa"/>
              <w:left w:w="-1" w:type="dxa"/>
              <w:bottom w:w="-1" w:type="dxa"/>
              <w:right w:w="-1" w:type="dxa"/>
            </w:tcMar>
            <w:vAlign w:val="center"/>
          </w:tcPr>
          <w:p w14:paraId="58F3A33D">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θ 约 30°—60°</w:t>
            </w:r>
          </w:p>
        </w:tc>
        <w:tc>
          <w:tcPr>
            <w:tcW w:w="4398" w:type="dxa"/>
            <w:tcBorders>
              <w:top w:val="nil"/>
              <w:left w:val="nil"/>
              <w:bottom w:val="nil"/>
              <w:right w:val="nil"/>
            </w:tcBorders>
            <w:noWrap w:val="0"/>
            <w:tcMar>
              <w:top w:w="-1" w:type="dxa"/>
              <w:left w:w="-1" w:type="dxa"/>
              <w:bottom w:w="-1" w:type="dxa"/>
              <w:right w:w="-1" w:type="dxa"/>
            </w:tcMar>
            <w:vAlign w:val="center"/>
          </w:tcPr>
          <w:p w14:paraId="454C5CDF">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偏心冲击引起局部弯曲和扭转，风险升高</w:t>
            </w:r>
          </w:p>
        </w:tc>
      </w:tr>
      <w:tr w14:paraId="315DA25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5A33B0F">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边缘先撞硬地面</w:t>
            </w:r>
          </w:p>
        </w:tc>
        <w:tc>
          <w:tcPr>
            <w:tcW w:w="0" w:type="auto"/>
            <w:tcBorders>
              <w:top w:val="nil"/>
              <w:left w:val="nil"/>
              <w:bottom w:val="nil"/>
              <w:right w:val="nil"/>
            </w:tcBorders>
            <w:noWrap w:val="0"/>
            <w:tcMar>
              <w:top w:w="-1" w:type="dxa"/>
              <w:left w:w="-1" w:type="dxa"/>
              <w:bottom w:w="-1" w:type="dxa"/>
              <w:right w:w="-1" w:type="dxa"/>
            </w:tcMar>
            <w:vAlign w:val="center"/>
          </w:tcPr>
          <w:p w14:paraId="2945E0B1">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θ 接近 90°</w:t>
            </w:r>
          </w:p>
        </w:tc>
        <w:tc>
          <w:tcPr>
            <w:tcW w:w="4398" w:type="dxa"/>
            <w:tcBorders>
              <w:top w:val="nil"/>
              <w:left w:val="nil"/>
              <w:bottom w:val="nil"/>
              <w:right w:val="nil"/>
            </w:tcBorders>
            <w:noWrap w:val="0"/>
            <w:tcMar>
              <w:top w:w="-1" w:type="dxa"/>
              <w:left w:w="-1" w:type="dxa"/>
              <w:bottom w:w="-1" w:type="dxa"/>
              <w:right w:w="-1" w:type="dxa"/>
            </w:tcMar>
            <w:vAlign w:val="center"/>
          </w:tcPr>
          <w:p w14:paraId="54F333E3">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接触面积小，应力集中最明显，是高风险姿态</w:t>
            </w:r>
          </w:p>
        </w:tc>
      </w:tr>
      <w:tr w14:paraId="369BF9C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733" w:type="dxa"/>
            <w:tcBorders>
              <w:top w:val="nil"/>
              <w:left w:val="nil"/>
              <w:bottom w:val="single" w:color="auto" w:sz="12" w:space="0"/>
              <w:right w:val="nil"/>
            </w:tcBorders>
            <w:noWrap w:val="0"/>
            <w:tcMar>
              <w:top w:w="-1" w:type="dxa"/>
              <w:left w:w="-1" w:type="dxa"/>
              <w:bottom w:w="-1" w:type="dxa"/>
              <w:right w:w="-1" w:type="dxa"/>
            </w:tcMar>
            <w:vAlign w:val="center"/>
          </w:tcPr>
          <w:p w14:paraId="5923B7AE">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已有石纹、暗裂或修复痕迹</w:t>
            </w:r>
          </w:p>
        </w:tc>
        <w:tc>
          <w:tcPr>
            <w:tcW w:w="2317" w:type="dxa"/>
            <w:tcBorders>
              <w:top w:val="nil"/>
              <w:left w:val="nil"/>
              <w:bottom w:val="single" w:color="auto" w:sz="12" w:space="0"/>
              <w:right w:val="nil"/>
            </w:tcBorders>
            <w:noWrap w:val="0"/>
            <w:tcMar>
              <w:top w:w="-1" w:type="dxa"/>
              <w:left w:w="-1" w:type="dxa"/>
              <w:bottom w:w="-1" w:type="dxa"/>
              <w:right w:w="-1" w:type="dxa"/>
            </w:tcMar>
            <w:vAlign w:val="center"/>
          </w:tcPr>
          <w:p w14:paraId="07BFC738">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有效强度</w:t>
            </w:r>
            <m:oMath>
              <m:r>
                <m:rPr/>
                <w:rPr>
                  <w:rFonts w:hint="default" w:ascii="Cambria Math" w:hAnsi="Cambria Math" w:eastAsia="宋体"/>
                  <w:sz w:val="19"/>
                </w:rPr>
                <m:t>σt</m:t>
              </m:r>
            </m:oMath>
            <w:r>
              <w:rPr>
                <w:rFonts w:ascii="宋体" w:hAnsi="宋体" w:eastAsia="宋体"/>
                <w:b w:val="0"/>
                <w:sz w:val="19"/>
              </w:rPr>
              <w:t>需要折减</w:t>
            </w:r>
          </w:p>
        </w:tc>
        <w:tc>
          <w:tcPr>
            <w:tcW w:w="4398" w:type="dxa"/>
            <w:tcBorders>
              <w:top w:val="nil"/>
              <w:left w:val="nil"/>
              <w:bottom w:val="single" w:color="auto" w:sz="12" w:space="0"/>
              <w:right w:val="nil"/>
            </w:tcBorders>
            <w:noWrap w:val="0"/>
            <w:tcMar>
              <w:top w:w="-1" w:type="dxa"/>
              <w:left w:w="-1" w:type="dxa"/>
              <w:bottom w:w="-1" w:type="dxa"/>
              <w:right w:w="-1" w:type="dxa"/>
            </w:tcMar>
            <w:vAlign w:val="center"/>
          </w:tcPr>
          <w:p w14:paraId="6669C215">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相同冲击下风险系数 Rt 增大</w:t>
            </w:r>
          </w:p>
        </w:tc>
      </w:tr>
    </w:tbl>
    <w:p w14:paraId="5FE37F47">
      <w:pPr>
        <w:ind w:firstLine="420" w:firstLineChars="200"/>
        <w:jc w:val="both"/>
        <w:rPr>
          <w:rFonts w:ascii="宋体" w:hAnsi="宋体" w:eastAsia="宋体"/>
          <w:color w:val="000000"/>
          <w:lang w:val="en-US" w:eastAsia="en-US"/>
        </w:rPr>
      </w:pPr>
      <w:r>
        <w:rPr>
          <w:rFonts w:ascii="宋体" w:hAnsi="宋体" w:eastAsia="宋体"/>
          <w:color w:val="000000"/>
          <w:lang w:val="en-US" w:eastAsia="en-US"/>
        </w:rPr>
        <w:t>在实际应用中，可以将 AI 风险等级进一步转化为生活化判断建议。若预测结果为低风险，说明该次跌落产生的最大主应力明显低于参考强度，用户可继续观察，但仍应避免短时间内再次碰撞；若为中风险，说明局部区域可能经历较高拉应力，建议使用强光重点检查手镯内外缘、色线附近和原有纹理区域；若为高风险，则表明局部拉应力可能超过参考强度，即使表面未立即出现明显裂纹，也可能存在隐裂或后续扩展风险，建议暂停佩戴并交由专业机构检测。</w:t>
      </w:r>
    </w:p>
    <w:p w14:paraId="3E88F5B6">
      <w:pPr>
        <w:ind w:firstLine="420" w:firstLineChars="200"/>
        <w:jc w:val="both"/>
        <w:rPr>
          <w:rFonts w:ascii="宋体" w:hAnsi="宋体" w:eastAsia="宋体"/>
          <w:color w:val="000000"/>
          <w:lang w:val="en-US" w:eastAsia="en-US"/>
        </w:rPr>
      </w:pPr>
      <w:r>
        <w:rPr>
          <w:rFonts w:ascii="宋体" w:hAnsi="宋体" w:eastAsia="宋体"/>
          <w:color w:val="000000"/>
          <w:lang w:val="en-US" w:eastAsia="en-US"/>
        </w:rPr>
        <w:t>结合本文有限元结果和 AI 风险分布可知，约 1 m 高度、边缘先撞击硬质地面的跌落场景风险较高，因此对于已经摔过一次的手镯，尤其是跌落在瓷砖、石材或水泥等硬质表面时，不应仅凭外观完好就完全忽视潜在损伤。实际检查时应重点关注内圆边缘、外圆边缘、原有石纹、暗裂和修复痕迹附近。对于本身存在绺裂、暗纹或修复痕迹的手镯，其有效承载能力可能降低，在相同冲击条件下风险系数会进一步升高，因此更应避免剧烈运动、碰撞和反复跌落。</w:t>
      </w:r>
    </w:p>
    <w:p w14:paraId="051F6B8A">
      <w:pPr>
        <w:ind w:firstLine="420" w:firstLineChars="200"/>
        <w:jc w:val="both"/>
        <w:rPr>
          <w:rFonts w:ascii="宋体" w:hAnsi="宋体" w:eastAsia="宋体"/>
          <w:color w:val="000000"/>
          <w:lang w:val="en-US" w:eastAsia="en-US"/>
        </w:rPr>
      </w:pPr>
      <w:r>
        <w:rPr>
          <w:rFonts w:ascii="宋体" w:hAnsi="宋体" w:eastAsia="宋体"/>
          <w:color w:val="000000"/>
          <w:lang w:val="en-US" w:eastAsia="en-US"/>
        </w:rPr>
        <w:t>由此可形成面向普通佩戴者的防护建议：摘戴手镯时应尽量避开洗手台、瓷砖地面和石材台面等硬质环境，最好在床面、软垫或绒布上方进行；日常收纳时宜将手镯平放于带软衬的盒内，避免竖直边缘悬空或与其他硬质饰品直接接触。这样既能降低意外滑落时的冲击刚度，也能减少局部应力集中和二次损伤风险。</w:t>
      </w:r>
    </w:p>
    <w:p w14:paraId="6321A300">
      <w:pPr>
        <w:ind w:firstLine="420" w:firstLineChars="200"/>
        <w:jc w:val="both"/>
        <w:rPr>
          <w:rFonts w:ascii="宋体" w:hAnsi="宋体" w:eastAsia="宋体"/>
          <w:color w:val="000000"/>
          <w:lang w:val="en-US" w:eastAsia="en-US"/>
        </w:rPr>
      </w:pPr>
    </w:p>
    <w:tbl>
      <w:tblPr>
        <w:tblStyle w:val="33"/>
        <w:tblW w:w="9448"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197"/>
        <w:gridCol w:w="1837"/>
        <w:gridCol w:w="3206"/>
        <w:gridCol w:w="3208"/>
      </w:tblGrid>
      <w:tr w14:paraId="7697122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197" w:type="dxa"/>
            <w:tcBorders>
              <w:top w:val="single" w:color="auto" w:sz="12" w:space="0"/>
              <w:left w:val="nil"/>
              <w:bottom w:val="nil"/>
              <w:right w:val="nil"/>
            </w:tcBorders>
            <w:noWrap w:val="0"/>
            <w:tcMar>
              <w:top w:w="-1" w:type="dxa"/>
              <w:left w:w="-1" w:type="dxa"/>
              <w:bottom w:w="-1" w:type="dxa"/>
              <w:right w:w="-1" w:type="dxa"/>
            </w:tcMar>
            <w:vAlign w:val="center"/>
          </w:tcPr>
          <w:p w14:paraId="68A7EB9E">
            <w:pPr>
              <w:snapToGrid w:val="0"/>
              <w:spacing w:line="240" w:lineRule="auto"/>
              <w:ind w:left="0" w:leftChars="0" w:right="0" w:rightChars="0" w:firstLine="0" w:firstLineChars="0"/>
              <w:jc w:val="center"/>
              <w:rPr>
                <w:rFonts w:ascii="宋体" w:eastAsia="宋体"/>
                <w:b/>
                <w:sz w:val="19"/>
              </w:rPr>
            </w:pPr>
            <w:r>
              <w:rPr>
                <w:rFonts w:ascii="宋体" w:hAnsi="宋体" w:eastAsia="宋体"/>
                <w:b/>
                <w:sz w:val="19"/>
              </w:rPr>
              <w:t>风险等级</w:t>
            </w:r>
          </w:p>
        </w:tc>
        <w:tc>
          <w:tcPr>
            <w:tcW w:w="1837" w:type="dxa"/>
            <w:tcBorders>
              <w:top w:val="single" w:color="auto" w:sz="12" w:space="0"/>
              <w:left w:val="nil"/>
              <w:bottom w:val="nil"/>
              <w:right w:val="nil"/>
            </w:tcBorders>
            <w:noWrap w:val="0"/>
            <w:tcMar>
              <w:top w:w="-1" w:type="dxa"/>
              <w:left w:w="-1" w:type="dxa"/>
              <w:bottom w:w="-1" w:type="dxa"/>
              <w:right w:w="-1" w:type="dxa"/>
            </w:tcMar>
            <w:vAlign w:val="center"/>
          </w:tcPr>
          <w:p w14:paraId="06A1BA7E">
            <w:pPr>
              <w:snapToGrid w:val="0"/>
              <w:spacing w:line="240" w:lineRule="auto"/>
              <w:ind w:left="0" w:leftChars="0" w:right="0" w:rightChars="0" w:firstLine="0" w:firstLineChars="0"/>
              <w:jc w:val="center"/>
              <w:rPr>
                <w:rFonts w:ascii="宋体" w:eastAsia="宋体"/>
                <w:b/>
                <w:sz w:val="19"/>
              </w:rPr>
            </w:pPr>
            <w:r>
              <w:rPr>
                <w:rFonts w:ascii="宋体" w:hAnsi="宋体" w:eastAsia="宋体"/>
                <w:b/>
                <w:sz w:val="19"/>
              </w:rPr>
              <w:t>力学判断</w:t>
            </w:r>
          </w:p>
        </w:tc>
        <w:tc>
          <w:tcPr>
            <w:tcW w:w="3206" w:type="dxa"/>
            <w:tcBorders>
              <w:top w:val="single" w:color="auto" w:sz="12" w:space="0"/>
              <w:left w:val="nil"/>
              <w:bottom w:val="nil"/>
              <w:right w:val="nil"/>
            </w:tcBorders>
            <w:noWrap w:val="0"/>
            <w:tcMar>
              <w:top w:w="-1" w:type="dxa"/>
              <w:left w:w="-1" w:type="dxa"/>
              <w:bottom w:w="-1" w:type="dxa"/>
              <w:right w:w="-1" w:type="dxa"/>
            </w:tcMar>
            <w:vAlign w:val="center"/>
          </w:tcPr>
          <w:p w14:paraId="6FED0A76">
            <w:pPr>
              <w:snapToGrid w:val="0"/>
              <w:spacing w:line="240" w:lineRule="auto"/>
              <w:ind w:left="0" w:leftChars="0" w:right="0" w:rightChars="0" w:firstLine="0" w:firstLineChars="0"/>
              <w:jc w:val="center"/>
              <w:rPr>
                <w:rFonts w:ascii="宋体" w:eastAsia="宋体"/>
                <w:b/>
                <w:sz w:val="19"/>
              </w:rPr>
            </w:pPr>
            <w:r>
              <w:rPr>
                <w:rFonts w:ascii="宋体" w:hAnsi="宋体" w:eastAsia="宋体"/>
                <w:b/>
                <w:sz w:val="19"/>
              </w:rPr>
              <w:t>生活化解释</w:t>
            </w:r>
          </w:p>
        </w:tc>
        <w:tc>
          <w:tcPr>
            <w:tcW w:w="3208" w:type="dxa"/>
            <w:tcBorders>
              <w:top w:val="single" w:color="auto" w:sz="12" w:space="0"/>
              <w:left w:val="nil"/>
              <w:bottom w:val="nil"/>
              <w:right w:val="nil"/>
            </w:tcBorders>
            <w:noWrap w:val="0"/>
            <w:tcMar>
              <w:top w:w="-1" w:type="dxa"/>
              <w:left w:w="-1" w:type="dxa"/>
              <w:bottom w:w="-1" w:type="dxa"/>
              <w:right w:w="-1" w:type="dxa"/>
            </w:tcMar>
            <w:vAlign w:val="center"/>
          </w:tcPr>
          <w:p w14:paraId="286E810E">
            <w:pPr>
              <w:snapToGrid w:val="0"/>
              <w:spacing w:line="240" w:lineRule="auto"/>
              <w:ind w:left="0" w:leftChars="0" w:right="0" w:rightChars="0" w:firstLine="0" w:firstLineChars="0"/>
              <w:jc w:val="center"/>
              <w:rPr>
                <w:rFonts w:ascii="宋体" w:eastAsia="宋体"/>
                <w:b/>
                <w:sz w:val="19"/>
              </w:rPr>
            </w:pPr>
            <w:r>
              <w:rPr>
                <w:rFonts w:ascii="宋体" w:hAnsi="宋体" w:eastAsia="宋体"/>
                <w:b/>
                <w:sz w:val="19"/>
              </w:rPr>
              <w:t>建议处理方式</w:t>
            </w:r>
          </w:p>
        </w:tc>
      </w:tr>
      <w:tr w14:paraId="60013A6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7" w:type="dxa"/>
            <w:tcBorders>
              <w:top w:val="single" w:color="auto" w:sz="4" w:space="0"/>
              <w:left w:val="nil"/>
              <w:bottom w:val="nil"/>
              <w:right w:val="nil"/>
            </w:tcBorders>
            <w:noWrap w:val="0"/>
            <w:tcMar>
              <w:top w:w="-1" w:type="dxa"/>
              <w:left w:w="-1" w:type="dxa"/>
              <w:bottom w:w="-1" w:type="dxa"/>
              <w:right w:w="-1" w:type="dxa"/>
            </w:tcMar>
            <w:vAlign w:val="center"/>
          </w:tcPr>
          <w:p w14:paraId="469BD191">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低风险</w:t>
            </w:r>
          </w:p>
        </w:tc>
        <w:tc>
          <w:tcPr>
            <w:tcW w:w="1837" w:type="dxa"/>
            <w:tcBorders>
              <w:top w:val="single" w:color="auto" w:sz="4" w:space="0"/>
              <w:left w:val="nil"/>
              <w:bottom w:val="nil"/>
              <w:right w:val="nil"/>
            </w:tcBorders>
            <w:noWrap w:val="0"/>
            <w:tcMar>
              <w:top w:w="-1" w:type="dxa"/>
              <w:left w:w="-1" w:type="dxa"/>
              <w:bottom w:w="-1" w:type="dxa"/>
              <w:right w:w="-1" w:type="dxa"/>
            </w:tcMar>
            <w:vAlign w:val="center"/>
          </w:tcPr>
          <w:p w14:paraId="0E4D7654">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Rt &lt; 0.5</w:t>
            </w:r>
          </w:p>
        </w:tc>
        <w:tc>
          <w:tcPr>
            <w:tcW w:w="3206" w:type="dxa"/>
            <w:tcBorders>
              <w:top w:val="single" w:color="auto" w:sz="4" w:space="0"/>
              <w:left w:val="nil"/>
              <w:bottom w:val="nil"/>
              <w:right w:val="nil"/>
            </w:tcBorders>
            <w:noWrap w:val="0"/>
            <w:tcMar>
              <w:top w:w="-1" w:type="dxa"/>
              <w:left w:w="-1" w:type="dxa"/>
              <w:bottom w:w="-1" w:type="dxa"/>
              <w:right w:w="-1" w:type="dxa"/>
            </w:tcMar>
            <w:vAlign w:val="center"/>
          </w:tcPr>
          <w:p w14:paraId="37B03DC8">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跌落冲击产生的拉应力相对较低</w:t>
            </w:r>
          </w:p>
        </w:tc>
        <w:tc>
          <w:tcPr>
            <w:tcW w:w="3208" w:type="dxa"/>
            <w:tcBorders>
              <w:top w:val="single" w:color="auto" w:sz="4" w:space="0"/>
              <w:left w:val="nil"/>
              <w:bottom w:val="nil"/>
              <w:right w:val="nil"/>
            </w:tcBorders>
            <w:noWrap w:val="0"/>
            <w:tcMar>
              <w:top w:w="-1" w:type="dxa"/>
              <w:left w:w="-1" w:type="dxa"/>
              <w:bottom w:w="-1" w:type="dxa"/>
              <w:right w:w="-1" w:type="dxa"/>
            </w:tcMar>
            <w:vAlign w:val="center"/>
          </w:tcPr>
          <w:p w14:paraId="6B63EA8C">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可继续观察，避免再次碰撞</w:t>
            </w:r>
          </w:p>
        </w:tc>
      </w:tr>
      <w:tr w14:paraId="24BA01C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7" w:type="dxa"/>
            <w:tcBorders>
              <w:top w:val="nil"/>
              <w:left w:val="nil"/>
              <w:bottom w:val="nil"/>
              <w:right w:val="nil"/>
            </w:tcBorders>
            <w:noWrap w:val="0"/>
            <w:tcMar>
              <w:top w:w="-1" w:type="dxa"/>
              <w:left w:w="-1" w:type="dxa"/>
              <w:bottom w:w="-1" w:type="dxa"/>
              <w:right w:w="-1" w:type="dxa"/>
            </w:tcMar>
            <w:vAlign w:val="center"/>
          </w:tcPr>
          <w:p w14:paraId="5C27482E">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中风险</w:t>
            </w:r>
          </w:p>
        </w:tc>
        <w:tc>
          <w:tcPr>
            <w:tcW w:w="1837" w:type="dxa"/>
            <w:tcBorders>
              <w:top w:val="nil"/>
              <w:left w:val="nil"/>
              <w:bottom w:val="nil"/>
              <w:right w:val="nil"/>
            </w:tcBorders>
            <w:noWrap w:val="0"/>
            <w:tcMar>
              <w:top w:w="-1" w:type="dxa"/>
              <w:left w:w="-1" w:type="dxa"/>
              <w:bottom w:w="-1" w:type="dxa"/>
              <w:right w:w="-1" w:type="dxa"/>
            </w:tcMar>
            <w:vAlign w:val="center"/>
          </w:tcPr>
          <w:p w14:paraId="57D5C704">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0.5 ≤ Rt &lt; 1.0</w:t>
            </w:r>
          </w:p>
        </w:tc>
        <w:tc>
          <w:tcPr>
            <w:tcW w:w="3206" w:type="dxa"/>
            <w:tcBorders>
              <w:top w:val="nil"/>
              <w:left w:val="nil"/>
              <w:bottom w:val="nil"/>
              <w:right w:val="nil"/>
            </w:tcBorders>
            <w:noWrap w:val="0"/>
            <w:tcMar>
              <w:top w:w="-1" w:type="dxa"/>
              <w:left w:w="-1" w:type="dxa"/>
              <w:bottom w:w="-1" w:type="dxa"/>
              <w:right w:w="-1" w:type="dxa"/>
            </w:tcMar>
            <w:vAlign w:val="center"/>
          </w:tcPr>
          <w:p w14:paraId="15406A84">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局部区域可能经历较高拉应力</w:t>
            </w:r>
          </w:p>
        </w:tc>
        <w:tc>
          <w:tcPr>
            <w:tcW w:w="3208" w:type="dxa"/>
            <w:tcBorders>
              <w:top w:val="nil"/>
              <w:left w:val="nil"/>
              <w:bottom w:val="nil"/>
              <w:right w:val="nil"/>
            </w:tcBorders>
            <w:noWrap w:val="0"/>
            <w:tcMar>
              <w:top w:w="-1" w:type="dxa"/>
              <w:left w:w="-1" w:type="dxa"/>
              <w:bottom w:w="-1" w:type="dxa"/>
              <w:right w:w="-1" w:type="dxa"/>
            </w:tcMar>
            <w:vAlign w:val="center"/>
          </w:tcPr>
          <w:p w14:paraId="270883DC">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建议强光检查内外缘和暗纹区域</w:t>
            </w:r>
          </w:p>
        </w:tc>
      </w:tr>
      <w:tr w14:paraId="61112CA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7" w:type="dxa"/>
            <w:tcBorders>
              <w:top w:val="nil"/>
              <w:left w:val="nil"/>
              <w:bottom w:val="nil"/>
              <w:right w:val="nil"/>
            </w:tcBorders>
            <w:noWrap w:val="0"/>
            <w:tcMar>
              <w:top w:w="-1" w:type="dxa"/>
              <w:left w:w="-1" w:type="dxa"/>
              <w:bottom w:w="-1" w:type="dxa"/>
              <w:right w:w="-1" w:type="dxa"/>
            </w:tcMar>
            <w:vAlign w:val="center"/>
          </w:tcPr>
          <w:p w14:paraId="584A2734">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高风险</w:t>
            </w:r>
          </w:p>
        </w:tc>
        <w:tc>
          <w:tcPr>
            <w:tcW w:w="1837" w:type="dxa"/>
            <w:tcBorders>
              <w:top w:val="nil"/>
              <w:left w:val="nil"/>
              <w:bottom w:val="nil"/>
              <w:right w:val="nil"/>
            </w:tcBorders>
            <w:noWrap w:val="0"/>
            <w:tcMar>
              <w:top w:w="-1" w:type="dxa"/>
              <w:left w:w="-1" w:type="dxa"/>
              <w:bottom w:w="-1" w:type="dxa"/>
              <w:right w:w="-1" w:type="dxa"/>
            </w:tcMar>
            <w:vAlign w:val="center"/>
          </w:tcPr>
          <w:p w14:paraId="3876DE4A">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Rt ≥ 1.0</w:t>
            </w:r>
          </w:p>
        </w:tc>
        <w:tc>
          <w:tcPr>
            <w:tcW w:w="3206" w:type="dxa"/>
            <w:tcBorders>
              <w:top w:val="nil"/>
              <w:left w:val="nil"/>
              <w:bottom w:val="nil"/>
              <w:right w:val="nil"/>
            </w:tcBorders>
            <w:noWrap w:val="0"/>
            <w:tcMar>
              <w:top w:w="-1" w:type="dxa"/>
              <w:left w:w="-1" w:type="dxa"/>
              <w:bottom w:w="-1" w:type="dxa"/>
              <w:right w:w="-1" w:type="dxa"/>
            </w:tcMar>
            <w:vAlign w:val="center"/>
          </w:tcPr>
          <w:p w14:paraId="62470CD4">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可能达到或超过参考抗拉强度</w:t>
            </w:r>
          </w:p>
        </w:tc>
        <w:tc>
          <w:tcPr>
            <w:tcW w:w="3208" w:type="dxa"/>
            <w:tcBorders>
              <w:top w:val="nil"/>
              <w:left w:val="nil"/>
              <w:bottom w:val="nil"/>
              <w:right w:val="nil"/>
            </w:tcBorders>
            <w:noWrap w:val="0"/>
            <w:tcMar>
              <w:top w:w="-1" w:type="dxa"/>
              <w:left w:w="-1" w:type="dxa"/>
              <w:bottom w:w="-1" w:type="dxa"/>
              <w:right w:w="-1" w:type="dxa"/>
            </w:tcMar>
            <w:vAlign w:val="center"/>
          </w:tcPr>
          <w:p w14:paraId="173C0760">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建议暂停佩戴并进行专业检测</w:t>
            </w:r>
          </w:p>
        </w:tc>
      </w:tr>
      <w:tr w14:paraId="02B2067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7" w:type="dxa"/>
            <w:tcBorders>
              <w:top w:val="nil"/>
              <w:left w:val="nil"/>
              <w:bottom w:val="single" w:color="auto" w:sz="12" w:space="0"/>
              <w:right w:val="nil"/>
            </w:tcBorders>
            <w:noWrap w:val="0"/>
            <w:tcMar>
              <w:top w:w="-1" w:type="dxa"/>
              <w:left w:w="-1" w:type="dxa"/>
              <w:bottom w:w="-1" w:type="dxa"/>
              <w:right w:w="-1" w:type="dxa"/>
            </w:tcMar>
            <w:vAlign w:val="center"/>
          </w:tcPr>
          <w:p w14:paraId="71D2DE5F">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极高风险</w:t>
            </w:r>
          </w:p>
        </w:tc>
        <w:tc>
          <w:tcPr>
            <w:tcW w:w="1837" w:type="dxa"/>
            <w:tcBorders>
              <w:top w:val="nil"/>
              <w:left w:val="nil"/>
              <w:bottom w:val="single" w:color="auto" w:sz="12" w:space="0"/>
              <w:right w:val="nil"/>
            </w:tcBorders>
            <w:noWrap w:val="0"/>
            <w:tcMar>
              <w:top w:w="-1" w:type="dxa"/>
              <w:left w:w="-1" w:type="dxa"/>
              <w:bottom w:w="-1" w:type="dxa"/>
              <w:right w:w="-1" w:type="dxa"/>
            </w:tcMar>
            <w:vAlign w:val="center"/>
          </w:tcPr>
          <w:p w14:paraId="449B6360">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Rt 远大于 1.0</w:t>
            </w:r>
          </w:p>
        </w:tc>
        <w:tc>
          <w:tcPr>
            <w:tcW w:w="3206" w:type="dxa"/>
            <w:tcBorders>
              <w:top w:val="nil"/>
              <w:left w:val="nil"/>
              <w:bottom w:val="single" w:color="auto" w:sz="12" w:space="0"/>
              <w:right w:val="nil"/>
            </w:tcBorders>
            <w:noWrap w:val="0"/>
            <w:tcMar>
              <w:top w:w="-1" w:type="dxa"/>
              <w:left w:w="-1" w:type="dxa"/>
              <w:bottom w:w="-1" w:type="dxa"/>
              <w:right w:w="-1" w:type="dxa"/>
            </w:tcMar>
            <w:vAlign w:val="center"/>
          </w:tcPr>
          <w:p w14:paraId="043ADAE2">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存在隐裂或后续裂纹扩展可能</w:t>
            </w:r>
          </w:p>
        </w:tc>
        <w:tc>
          <w:tcPr>
            <w:tcW w:w="3208" w:type="dxa"/>
            <w:tcBorders>
              <w:top w:val="nil"/>
              <w:left w:val="nil"/>
              <w:bottom w:val="single" w:color="auto" w:sz="12" w:space="0"/>
              <w:right w:val="nil"/>
            </w:tcBorders>
            <w:noWrap w:val="0"/>
            <w:tcMar>
              <w:top w:w="-1" w:type="dxa"/>
              <w:left w:w="-1" w:type="dxa"/>
              <w:bottom w:w="-1" w:type="dxa"/>
              <w:right w:w="-1" w:type="dxa"/>
            </w:tcMar>
            <w:vAlign w:val="center"/>
          </w:tcPr>
          <w:p w14:paraId="5F9C34BF">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不建议继续挤压、敲击或佩戴</w:t>
            </w:r>
          </w:p>
        </w:tc>
      </w:tr>
    </w:tbl>
    <w:p w14:paraId="7BFA758F">
      <w:pPr>
        <w:pStyle w:val="4"/>
      </w:pPr>
      <w:r>
        <w:rPr>
          <w:rFonts w:ascii="黑体" w:hAnsi="黑体" w:eastAsia="黑体"/>
          <w:b/>
          <w:color w:val="000000"/>
        </w:rPr>
        <w:t>6.</w:t>
      </w:r>
      <w:r>
        <w:rPr>
          <w:rFonts w:hint="eastAsia" w:ascii="黑体" w:hAnsi="黑体" w:eastAsia="黑体"/>
          <w:b/>
          <w:color w:val="000000"/>
          <w:lang w:val="en-US" w:eastAsia="zh-CN"/>
        </w:rPr>
        <w:t>2</w:t>
      </w:r>
      <w:r>
        <w:rPr>
          <w:rFonts w:ascii="黑体" w:hAnsi="黑体" w:eastAsia="黑体"/>
          <w:b/>
          <w:color w:val="000000"/>
        </w:rPr>
        <w:t xml:space="preserve"> AI 辅助玉石商家的包装与运输保护</w:t>
      </w:r>
    </w:p>
    <w:p w14:paraId="26D5327A">
      <w:pPr>
        <w:ind w:firstLine="420" w:firstLineChars="200"/>
        <w:jc w:val="both"/>
      </w:pPr>
      <w:r>
        <w:rPr>
          <w:rFonts w:ascii="宋体" w:hAnsi="宋体" w:eastAsia="宋体"/>
          <w:color w:val="000000"/>
        </w:rPr>
        <w:t>除个人佩戴场景外，玉石手镯在销售、展示和运输过程中也面临跌落损伤风险。对于玉石商家而言，手镯往往需要经过展柜摆放、试戴、包装、快递运输等多个环节。传统包装设计更多依赖经验，例如增加绒布、泡沫、首饰盒或外包装厚度，但不同包装方案在多大程度上降低冲击应力并不容易直观判断。有限元—AI 方法可进一步扩展为包装保护风险评估工具：通过有限元计算不同缓冲材料、摆放方式和跌落高度下的最大主应力，再利用机器学习代理模型快速预测包装方案的相对安全性。</w:t>
      </w:r>
    </w:p>
    <w:p w14:paraId="41679EFF">
      <w:pPr>
        <w:ind w:firstLine="420" w:firstLineChars="200"/>
        <w:jc w:val="both"/>
      </w:pPr>
      <w:r>
        <w:rPr>
          <w:rFonts w:ascii="宋体" w:hAnsi="宋体" w:eastAsia="宋体"/>
          <w:color w:val="000000"/>
        </w:rPr>
        <w:t>在论文研究范围内，本文尚未实际建立缓冲包装材料模型，因此包装与运输保护部分应作为应用拓展讨论，而不作为本文已经完成的定量结论。但其技术路线是明确的：将包装材料等效刚度、缓冲层厚度、手镯摆放姿态和运输跌落高度作为输入变量，将最大主应力峰值或风险等级作为输出变量。这样，商家在面对不同价值等级的玉镯时，可以用较少的有限元样本建立代理模型，快速比较不同包装方案的风险差异。</w:t>
      </w:r>
    </w:p>
    <w:tbl>
      <w:tblPr>
        <w:tblStyle w:val="33"/>
        <w:tblW w:w="9448"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399"/>
        <w:gridCol w:w="2586"/>
        <w:gridCol w:w="2563"/>
        <w:gridCol w:w="2900"/>
      </w:tblGrid>
      <w:tr w14:paraId="320B356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399" w:type="dxa"/>
            <w:tcBorders>
              <w:top w:val="single" w:color="auto" w:sz="12" w:space="0"/>
              <w:left w:val="nil"/>
              <w:bottom w:val="nil"/>
              <w:right w:val="nil"/>
            </w:tcBorders>
            <w:noWrap w:val="0"/>
            <w:tcMar>
              <w:top w:w="-1" w:type="dxa"/>
              <w:left w:w="-1" w:type="dxa"/>
              <w:bottom w:w="-1" w:type="dxa"/>
              <w:right w:w="-1" w:type="dxa"/>
            </w:tcMar>
            <w:vAlign w:val="center"/>
          </w:tcPr>
          <w:p w14:paraId="70021624">
            <w:pPr>
              <w:snapToGrid w:val="0"/>
              <w:spacing w:line="240" w:lineRule="auto"/>
              <w:ind w:left="0" w:leftChars="0" w:right="0" w:rightChars="0" w:firstLine="0" w:firstLineChars="0"/>
              <w:jc w:val="center"/>
              <w:rPr>
                <w:rFonts w:ascii="宋体" w:eastAsia="宋体"/>
                <w:b/>
                <w:sz w:val="19"/>
              </w:rPr>
            </w:pPr>
            <w:r>
              <w:rPr>
                <w:rFonts w:ascii="宋体" w:hAnsi="宋体" w:eastAsia="宋体"/>
                <w:b/>
                <w:sz w:val="19"/>
              </w:rPr>
              <w:t>商业场景</w:t>
            </w:r>
          </w:p>
        </w:tc>
        <w:tc>
          <w:tcPr>
            <w:tcW w:w="2586" w:type="dxa"/>
            <w:tcBorders>
              <w:top w:val="single" w:color="auto" w:sz="12" w:space="0"/>
              <w:left w:val="nil"/>
              <w:bottom w:val="nil"/>
              <w:right w:val="nil"/>
            </w:tcBorders>
            <w:noWrap w:val="0"/>
            <w:tcMar>
              <w:top w:w="-1" w:type="dxa"/>
              <w:left w:w="-1" w:type="dxa"/>
              <w:bottom w:w="-1" w:type="dxa"/>
              <w:right w:w="-1" w:type="dxa"/>
            </w:tcMar>
            <w:vAlign w:val="center"/>
          </w:tcPr>
          <w:p w14:paraId="4015FA45">
            <w:pPr>
              <w:snapToGrid w:val="0"/>
              <w:spacing w:line="240" w:lineRule="auto"/>
              <w:ind w:left="0" w:leftChars="0" w:right="0" w:rightChars="0" w:firstLine="0" w:firstLineChars="0"/>
              <w:jc w:val="center"/>
              <w:rPr>
                <w:rFonts w:ascii="宋体" w:eastAsia="宋体"/>
                <w:b/>
                <w:sz w:val="19"/>
              </w:rPr>
            </w:pPr>
            <w:r>
              <w:rPr>
                <w:rFonts w:ascii="宋体" w:hAnsi="宋体" w:eastAsia="宋体"/>
                <w:b/>
                <w:sz w:val="19"/>
              </w:rPr>
              <w:t>可转化参数</w:t>
            </w:r>
          </w:p>
        </w:tc>
        <w:tc>
          <w:tcPr>
            <w:tcW w:w="2563" w:type="dxa"/>
            <w:tcBorders>
              <w:top w:val="single" w:color="auto" w:sz="12" w:space="0"/>
              <w:left w:val="nil"/>
              <w:bottom w:val="nil"/>
              <w:right w:val="nil"/>
            </w:tcBorders>
            <w:noWrap w:val="0"/>
            <w:tcMar>
              <w:top w:w="-1" w:type="dxa"/>
              <w:left w:w="-1" w:type="dxa"/>
              <w:bottom w:w="-1" w:type="dxa"/>
              <w:right w:w="-1" w:type="dxa"/>
            </w:tcMar>
            <w:vAlign w:val="center"/>
          </w:tcPr>
          <w:p w14:paraId="019EA123">
            <w:pPr>
              <w:snapToGrid w:val="0"/>
              <w:spacing w:line="240" w:lineRule="auto"/>
              <w:ind w:left="0" w:leftChars="0" w:right="0" w:rightChars="0" w:firstLine="0" w:firstLineChars="0"/>
              <w:jc w:val="center"/>
              <w:rPr>
                <w:rFonts w:ascii="宋体" w:eastAsia="宋体"/>
                <w:b/>
                <w:sz w:val="19"/>
              </w:rPr>
            </w:pPr>
            <w:r>
              <w:rPr>
                <w:rFonts w:ascii="宋体" w:hAnsi="宋体" w:eastAsia="宋体"/>
                <w:b/>
                <w:sz w:val="19"/>
              </w:rPr>
              <w:t>AI可辅助判断的问题</w:t>
            </w:r>
          </w:p>
        </w:tc>
        <w:tc>
          <w:tcPr>
            <w:tcW w:w="2899" w:type="dxa"/>
            <w:tcBorders>
              <w:top w:val="single" w:color="auto" w:sz="12" w:space="0"/>
              <w:left w:val="nil"/>
              <w:bottom w:val="nil"/>
              <w:right w:val="nil"/>
            </w:tcBorders>
            <w:noWrap w:val="0"/>
            <w:tcMar>
              <w:top w:w="-1" w:type="dxa"/>
              <w:left w:w="-1" w:type="dxa"/>
              <w:bottom w:w="-1" w:type="dxa"/>
              <w:right w:w="-1" w:type="dxa"/>
            </w:tcMar>
            <w:vAlign w:val="center"/>
          </w:tcPr>
          <w:p w14:paraId="766EAFD9">
            <w:pPr>
              <w:snapToGrid w:val="0"/>
              <w:spacing w:line="240" w:lineRule="auto"/>
              <w:ind w:left="0" w:leftChars="0" w:right="0" w:rightChars="0" w:firstLine="0" w:firstLineChars="0"/>
              <w:jc w:val="center"/>
              <w:rPr>
                <w:rFonts w:ascii="宋体" w:eastAsia="宋体"/>
                <w:b/>
                <w:sz w:val="19"/>
              </w:rPr>
            </w:pPr>
            <w:r>
              <w:rPr>
                <w:rFonts w:ascii="宋体" w:hAnsi="宋体" w:eastAsia="宋体"/>
                <w:b/>
                <w:sz w:val="19"/>
              </w:rPr>
              <w:t>现实意义</w:t>
            </w:r>
          </w:p>
        </w:tc>
      </w:tr>
      <w:tr w14:paraId="0C52CAF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9" w:type="dxa"/>
            <w:tcBorders>
              <w:top w:val="single" w:color="auto" w:sz="4" w:space="0"/>
              <w:left w:val="nil"/>
              <w:bottom w:val="nil"/>
              <w:right w:val="nil"/>
            </w:tcBorders>
            <w:noWrap w:val="0"/>
            <w:tcMar>
              <w:top w:w="-1" w:type="dxa"/>
              <w:left w:w="-1" w:type="dxa"/>
              <w:bottom w:w="-1" w:type="dxa"/>
              <w:right w:w="-1" w:type="dxa"/>
            </w:tcMar>
            <w:vAlign w:val="center"/>
          </w:tcPr>
          <w:p w14:paraId="5B4A998C">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快递运输</w:t>
            </w:r>
          </w:p>
        </w:tc>
        <w:tc>
          <w:tcPr>
            <w:tcW w:w="2586" w:type="dxa"/>
            <w:tcBorders>
              <w:top w:val="single" w:color="auto" w:sz="4" w:space="0"/>
              <w:left w:val="nil"/>
              <w:bottom w:val="nil"/>
              <w:right w:val="nil"/>
            </w:tcBorders>
            <w:noWrap w:val="0"/>
            <w:tcMar>
              <w:top w:w="-1" w:type="dxa"/>
              <w:left w:w="-1" w:type="dxa"/>
              <w:bottom w:w="-1" w:type="dxa"/>
              <w:right w:w="-1" w:type="dxa"/>
            </w:tcMar>
            <w:vAlign w:val="center"/>
          </w:tcPr>
          <w:p w14:paraId="33F6D37E">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跌落高度、包装刚度、缓冲厚度</w:t>
            </w:r>
          </w:p>
        </w:tc>
        <w:tc>
          <w:tcPr>
            <w:tcW w:w="2563" w:type="dxa"/>
            <w:tcBorders>
              <w:top w:val="single" w:color="auto" w:sz="4" w:space="0"/>
              <w:left w:val="nil"/>
              <w:bottom w:val="nil"/>
              <w:right w:val="nil"/>
            </w:tcBorders>
            <w:noWrap w:val="0"/>
            <w:tcMar>
              <w:top w:w="-1" w:type="dxa"/>
              <w:left w:w="-1" w:type="dxa"/>
              <w:bottom w:w="-1" w:type="dxa"/>
              <w:right w:w="-1" w:type="dxa"/>
            </w:tcMar>
            <w:vAlign w:val="center"/>
          </w:tcPr>
          <w:p w14:paraId="1263C557">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当前包装是否足以降低冲击风险</w:t>
            </w:r>
          </w:p>
        </w:tc>
        <w:tc>
          <w:tcPr>
            <w:tcW w:w="2899" w:type="dxa"/>
            <w:tcBorders>
              <w:top w:val="single" w:color="auto" w:sz="4" w:space="0"/>
              <w:left w:val="nil"/>
              <w:bottom w:val="nil"/>
              <w:right w:val="nil"/>
            </w:tcBorders>
            <w:noWrap w:val="0"/>
            <w:tcMar>
              <w:top w:w="-1" w:type="dxa"/>
              <w:left w:w="-1" w:type="dxa"/>
              <w:bottom w:w="-1" w:type="dxa"/>
              <w:right w:w="-1" w:type="dxa"/>
            </w:tcMar>
            <w:vAlign w:val="center"/>
          </w:tcPr>
          <w:p w14:paraId="134D1166">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减少运输过程中的暗裂和破损</w:t>
            </w:r>
          </w:p>
        </w:tc>
      </w:tr>
      <w:tr w14:paraId="40D41FB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9" w:type="dxa"/>
            <w:tcBorders>
              <w:top w:val="nil"/>
              <w:left w:val="nil"/>
              <w:bottom w:val="nil"/>
              <w:right w:val="nil"/>
            </w:tcBorders>
            <w:noWrap w:val="0"/>
            <w:tcMar>
              <w:top w:w="-1" w:type="dxa"/>
              <w:left w:w="-1" w:type="dxa"/>
              <w:bottom w:w="-1" w:type="dxa"/>
              <w:right w:w="-1" w:type="dxa"/>
            </w:tcMar>
            <w:vAlign w:val="center"/>
          </w:tcPr>
          <w:p w14:paraId="0AD32016">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展柜展示</w:t>
            </w:r>
          </w:p>
        </w:tc>
        <w:tc>
          <w:tcPr>
            <w:tcW w:w="2586" w:type="dxa"/>
            <w:tcBorders>
              <w:top w:val="nil"/>
              <w:left w:val="nil"/>
              <w:bottom w:val="nil"/>
              <w:right w:val="nil"/>
            </w:tcBorders>
            <w:noWrap w:val="0"/>
            <w:tcMar>
              <w:top w:w="-1" w:type="dxa"/>
              <w:left w:w="-1" w:type="dxa"/>
              <w:bottom w:w="-1" w:type="dxa"/>
              <w:right w:w="-1" w:type="dxa"/>
            </w:tcMar>
            <w:vAlign w:val="center"/>
          </w:tcPr>
          <w:p w14:paraId="438DC5AC">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摆放姿态、跌落方向、展台高度</w:t>
            </w:r>
          </w:p>
        </w:tc>
        <w:tc>
          <w:tcPr>
            <w:tcW w:w="2563" w:type="dxa"/>
            <w:tcBorders>
              <w:top w:val="nil"/>
              <w:left w:val="nil"/>
              <w:bottom w:val="nil"/>
              <w:right w:val="nil"/>
            </w:tcBorders>
            <w:noWrap w:val="0"/>
            <w:tcMar>
              <w:top w:w="-1" w:type="dxa"/>
              <w:left w:w="-1" w:type="dxa"/>
              <w:bottom w:w="-1" w:type="dxa"/>
              <w:right w:w="-1" w:type="dxa"/>
            </w:tcMar>
            <w:vAlign w:val="center"/>
          </w:tcPr>
          <w:p w14:paraId="6E5C5C7B">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哪种摆放方式风险较低</w:t>
            </w:r>
          </w:p>
        </w:tc>
        <w:tc>
          <w:tcPr>
            <w:tcW w:w="2899" w:type="dxa"/>
            <w:tcBorders>
              <w:top w:val="nil"/>
              <w:left w:val="nil"/>
              <w:bottom w:val="nil"/>
              <w:right w:val="nil"/>
            </w:tcBorders>
            <w:noWrap w:val="0"/>
            <w:tcMar>
              <w:top w:w="-1" w:type="dxa"/>
              <w:left w:w="-1" w:type="dxa"/>
              <w:bottom w:w="-1" w:type="dxa"/>
              <w:right w:w="-1" w:type="dxa"/>
            </w:tcMar>
            <w:vAlign w:val="center"/>
          </w:tcPr>
          <w:p w14:paraId="628B4B20">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降低展示和拿取过程中的损伤概率</w:t>
            </w:r>
          </w:p>
        </w:tc>
      </w:tr>
      <w:tr w14:paraId="2F3D0D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9" w:type="dxa"/>
            <w:tcBorders>
              <w:top w:val="nil"/>
              <w:left w:val="nil"/>
              <w:bottom w:val="nil"/>
              <w:right w:val="nil"/>
            </w:tcBorders>
            <w:noWrap w:val="0"/>
            <w:tcMar>
              <w:top w:w="-1" w:type="dxa"/>
              <w:left w:w="-1" w:type="dxa"/>
              <w:bottom w:w="-1" w:type="dxa"/>
              <w:right w:w="-1" w:type="dxa"/>
            </w:tcMar>
            <w:vAlign w:val="center"/>
          </w:tcPr>
          <w:p w14:paraId="54F181B0">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直播或门店试戴</w:t>
            </w:r>
          </w:p>
        </w:tc>
        <w:tc>
          <w:tcPr>
            <w:tcW w:w="2586" w:type="dxa"/>
            <w:tcBorders>
              <w:top w:val="nil"/>
              <w:left w:val="nil"/>
              <w:bottom w:val="nil"/>
              <w:right w:val="nil"/>
            </w:tcBorders>
            <w:noWrap w:val="0"/>
            <w:tcMar>
              <w:top w:w="-1" w:type="dxa"/>
              <w:left w:w="-1" w:type="dxa"/>
              <w:bottom w:w="-1" w:type="dxa"/>
              <w:right w:w="-1" w:type="dxa"/>
            </w:tcMar>
            <w:vAlign w:val="center"/>
          </w:tcPr>
          <w:p w14:paraId="2C7924A0">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试戴高度、地面材料、软垫有无</w:t>
            </w:r>
          </w:p>
        </w:tc>
        <w:tc>
          <w:tcPr>
            <w:tcW w:w="2563" w:type="dxa"/>
            <w:tcBorders>
              <w:top w:val="nil"/>
              <w:left w:val="nil"/>
              <w:bottom w:val="nil"/>
              <w:right w:val="nil"/>
            </w:tcBorders>
            <w:noWrap w:val="0"/>
            <w:tcMar>
              <w:top w:w="-1" w:type="dxa"/>
              <w:left w:w="-1" w:type="dxa"/>
              <w:bottom w:w="-1" w:type="dxa"/>
              <w:right w:w="-1" w:type="dxa"/>
            </w:tcMar>
            <w:vAlign w:val="center"/>
          </w:tcPr>
          <w:p w14:paraId="462D2F1C">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是否需要增加软垫保护</w:t>
            </w:r>
          </w:p>
        </w:tc>
        <w:tc>
          <w:tcPr>
            <w:tcW w:w="2899" w:type="dxa"/>
            <w:tcBorders>
              <w:top w:val="nil"/>
              <w:left w:val="nil"/>
              <w:bottom w:val="nil"/>
              <w:right w:val="nil"/>
            </w:tcBorders>
            <w:noWrap w:val="0"/>
            <w:tcMar>
              <w:top w:w="-1" w:type="dxa"/>
              <w:left w:w="-1" w:type="dxa"/>
              <w:bottom w:w="-1" w:type="dxa"/>
              <w:right w:w="-1" w:type="dxa"/>
            </w:tcMar>
            <w:vAlign w:val="center"/>
          </w:tcPr>
          <w:p w14:paraId="384D0488">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减少顾客试戴时的意外损坏</w:t>
            </w:r>
          </w:p>
        </w:tc>
      </w:tr>
      <w:tr w14:paraId="70B7758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9" w:type="dxa"/>
            <w:tcBorders>
              <w:top w:val="nil"/>
              <w:left w:val="nil"/>
              <w:bottom w:val="single" w:color="auto" w:sz="12" w:space="0"/>
              <w:right w:val="nil"/>
            </w:tcBorders>
            <w:noWrap w:val="0"/>
            <w:tcMar>
              <w:top w:w="-1" w:type="dxa"/>
              <w:left w:w="-1" w:type="dxa"/>
              <w:bottom w:w="-1" w:type="dxa"/>
              <w:right w:w="-1" w:type="dxa"/>
            </w:tcMar>
            <w:vAlign w:val="center"/>
          </w:tcPr>
          <w:p w14:paraId="35C2F907">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高价值玉镯运输</w:t>
            </w:r>
          </w:p>
        </w:tc>
        <w:tc>
          <w:tcPr>
            <w:tcW w:w="2586" w:type="dxa"/>
            <w:tcBorders>
              <w:top w:val="nil"/>
              <w:left w:val="nil"/>
              <w:bottom w:val="single" w:color="auto" w:sz="12" w:space="0"/>
              <w:right w:val="nil"/>
            </w:tcBorders>
            <w:noWrap w:val="0"/>
            <w:tcMar>
              <w:top w:w="-1" w:type="dxa"/>
              <w:left w:w="-1" w:type="dxa"/>
              <w:bottom w:w="-1" w:type="dxa"/>
              <w:right w:w="-1" w:type="dxa"/>
            </w:tcMar>
            <w:vAlign w:val="center"/>
          </w:tcPr>
          <w:p w14:paraId="5CD0F708">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多层缓冲、外盒尺寸、固定方式</w:t>
            </w:r>
          </w:p>
        </w:tc>
        <w:tc>
          <w:tcPr>
            <w:tcW w:w="2563" w:type="dxa"/>
            <w:tcBorders>
              <w:top w:val="nil"/>
              <w:left w:val="nil"/>
              <w:bottom w:val="single" w:color="auto" w:sz="12" w:space="0"/>
              <w:right w:val="nil"/>
            </w:tcBorders>
            <w:noWrap w:val="0"/>
            <w:tcMar>
              <w:top w:w="-1" w:type="dxa"/>
              <w:left w:w="-1" w:type="dxa"/>
              <w:bottom w:w="-1" w:type="dxa"/>
              <w:right w:w="-1" w:type="dxa"/>
            </w:tcMar>
            <w:vAlign w:val="center"/>
          </w:tcPr>
          <w:p w14:paraId="2B3662AA">
            <w:pPr>
              <w:snapToGrid w:val="0"/>
              <w:spacing w:line="240" w:lineRule="auto"/>
              <w:ind w:left="0" w:leftChars="0" w:right="0" w:rightChars="0" w:firstLine="0" w:firstLineChars="0"/>
              <w:jc w:val="center"/>
              <w:rPr>
                <w:rFonts w:ascii="宋体" w:eastAsia="宋体"/>
                <w:sz w:val="19"/>
              </w:rPr>
            </w:pPr>
            <w:r>
              <w:rPr>
                <w:rFonts w:ascii="宋体" w:hAnsi="宋体" w:eastAsia="宋体"/>
                <w:b w:val="0"/>
                <w:sz w:val="19"/>
              </w:rPr>
              <w:t>是否需要强化包装方案</w:t>
            </w:r>
          </w:p>
        </w:tc>
        <w:tc>
          <w:tcPr>
            <w:tcW w:w="2899" w:type="dxa"/>
            <w:tcBorders>
              <w:top w:val="nil"/>
              <w:left w:val="nil"/>
              <w:bottom w:val="single" w:color="auto" w:sz="12" w:space="0"/>
              <w:right w:val="nil"/>
            </w:tcBorders>
            <w:noWrap w:val="0"/>
            <w:tcMar>
              <w:top w:w="-1" w:type="dxa"/>
              <w:left w:w="-1" w:type="dxa"/>
              <w:bottom w:w="-1" w:type="dxa"/>
              <w:right w:w="-1" w:type="dxa"/>
            </w:tcMar>
            <w:vAlign w:val="center"/>
          </w:tcPr>
          <w:p w14:paraId="29A4992F">
            <w:pPr>
              <w:snapToGrid w:val="0"/>
              <w:spacing w:line="240" w:lineRule="auto"/>
              <w:ind w:left="0" w:leftChars="0" w:right="0" w:rightChars="0" w:firstLine="0" w:firstLineChars="0"/>
              <w:jc w:val="left"/>
              <w:rPr>
                <w:rFonts w:ascii="宋体" w:eastAsia="宋体"/>
                <w:sz w:val="19"/>
              </w:rPr>
            </w:pPr>
            <w:r>
              <w:rPr>
                <w:rFonts w:ascii="宋体" w:hAnsi="宋体" w:eastAsia="宋体"/>
                <w:b w:val="0"/>
                <w:sz w:val="19"/>
              </w:rPr>
              <w:t>为高价值玉器提供更稳妥的保护策略</w:t>
            </w:r>
          </w:p>
        </w:tc>
      </w:tr>
    </w:tbl>
    <w:p w14:paraId="79BCA6A7">
      <w:pPr>
        <w:pStyle w:val="4"/>
      </w:pPr>
      <w:r>
        <w:rPr>
          <w:rFonts w:ascii="黑体" w:hAnsi="黑体" w:eastAsia="黑体"/>
          <w:b/>
          <w:color w:val="000000"/>
        </w:rPr>
        <w:t>6.</w:t>
      </w:r>
      <w:r>
        <w:rPr>
          <w:rFonts w:hint="eastAsia" w:ascii="黑体" w:hAnsi="黑体" w:eastAsia="黑体"/>
          <w:b/>
          <w:color w:val="000000"/>
          <w:lang w:val="en-US" w:eastAsia="zh-CN"/>
        </w:rPr>
        <w:t>3</w:t>
      </w:r>
      <w:r>
        <w:rPr>
          <w:rFonts w:ascii="黑体" w:hAnsi="黑体" w:eastAsia="黑体"/>
          <w:b/>
          <w:color w:val="000000"/>
        </w:rPr>
        <w:t xml:space="preserve"> 后续改进方向</w:t>
      </w:r>
    </w:p>
    <w:p w14:paraId="475E8D6F">
      <w:pPr>
        <w:ind w:firstLine="420" w:firstLineChars="200"/>
        <w:jc w:val="both"/>
      </w:pPr>
      <w:r>
        <w:rPr>
          <w:rFonts w:ascii="宋体" w:hAnsi="宋体" w:eastAsia="宋体"/>
          <w:color w:val="000000"/>
        </w:rPr>
        <w:t>后续研究可从三个方向改进。第一，扩展输入变量，将地面类型、接触刚度、缓冲层厚度、手镯截面形状和玉石材料强度纳入参数化仿真；第二，结合真实跌落试验、高速摄影或声发射检测，对模型预测的风险等级进行实验校准；第三，若积累了大量跌落后手镯表面图像，可进一步引入图像识别方法，对裂纹、崩口和色线区域进行辅助检测，并与本文的冲击应力风险模型结合，形成“跌落场景 + 应力预测 + 图像检测”的综合评估框架。</w:t>
      </w:r>
    </w:p>
    <w:p w14:paraId="40A71CBC">
      <w:pPr>
        <w:spacing w:before="0" w:after="0" w:line="300" w:lineRule="auto"/>
        <w:ind w:firstLine="420"/>
        <w:jc w:val="both"/>
        <w:rPr>
          <w:rFonts w:ascii="宋体" w:hAnsi="宋体" w:eastAsia="宋体"/>
          <w:sz w:val="21"/>
        </w:rPr>
      </w:pPr>
    </w:p>
    <w:p w14:paraId="7B4271A1">
      <w:pPr>
        <w:spacing w:before="120" w:after="80" w:line="300" w:lineRule="auto"/>
        <w:jc w:val="left"/>
      </w:pPr>
      <w:r>
        <w:rPr>
          <w:rFonts w:hint="eastAsia" w:ascii="黑体" w:hAnsi="黑体" w:eastAsia="黑体"/>
          <w:b/>
          <w:sz w:val="28"/>
          <w:lang w:val="en-US" w:eastAsia="zh-CN"/>
        </w:rPr>
        <w:t>7</w:t>
      </w:r>
      <w:r>
        <w:rPr>
          <w:rFonts w:ascii="黑体" w:hAnsi="黑体" w:eastAsia="黑体"/>
          <w:b/>
          <w:sz w:val="28"/>
        </w:rPr>
        <w:t xml:space="preserve"> 结论与展望</w:t>
      </w:r>
    </w:p>
    <w:p w14:paraId="028588F8">
      <w:pPr>
        <w:spacing w:before="0" w:after="0" w:line="300" w:lineRule="auto"/>
        <w:ind w:firstLine="420"/>
        <w:jc w:val="both"/>
      </w:pPr>
      <w:r>
        <w:rPr>
          <w:rFonts w:ascii="宋体" w:hAnsi="宋体" w:eastAsia="宋体"/>
          <w:sz w:val="21"/>
        </w:rPr>
        <w:t>本文围绕玉石手镯跌落破坏风险，建立了</w:t>
      </w:r>
      <m:oMath>
        <m:r>
          <m:rPr>
            <m:sty m:val="p"/>
          </m:rPr>
          <w:rPr>
            <w:rFonts w:ascii="Cambria Math" w:hAnsi="Cambria Math" w:eastAsia="宋体" w:cstheme="minorBidi"/>
            <w:sz w:val="21"/>
            <w:szCs w:val="22"/>
            <w:lang w:val="en-US" w:bidi="ar-SA"/>
          </w:rPr>
          <m:t xml:space="preserve"> Abaqus </m:t>
        </m:r>
      </m:oMath>
      <w:r>
        <w:rPr>
          <w:rFonts w:ascii="宋体" w:hAnsi="宋体" w:eastAsia="宋体"/>
          <w:sz w:val="21"/>
        </w:rPr>
        <w:t>显式动力学模型，并进一步构建机器学习代理模型。主要结论如下。</w:t>
      </w:r>
    </w:p>
    <w:p w14:paraId="3BD63B7F">
      <w:pPr>
        <w:spacing w:before="0" w:after="0" w:line="300" w:lineRule="auto"/>
        <w:ind w:firstLine="420"/>
        <w:jc w:val="both"/>
      </w:pPr>
      <w:r>
        <w:rPr>
          <w:rFonts w:ascii="宋体" w:hAnsi="宋体" w:eastAsia="宋体"/>
          <w:sz w:val="21"/>
        </w:rPr>
        <w:t>第一，最大主应力可以作为无断裂参数条件下评价玉石手镯开裂风险的有效相对指标。对于天然玉石而言，真实断裂参数难以准确获得，直接模拟裂纹扩展不稳定；采用 S₁,max 与参考抗拉强度的比值 Rₜ，可以在课程研究条件下实现不同工况的风险排序。</w:t>
      </w:r>
    </w:p>
    <w:p w14:paraId="53FEE3D3">
      <w:pPr>
        <w:spacing w:before="0" w:after="0" w:line="300" w:lineRule="auto"/>
        <w:ind w:firstLine="420"/>
        <w:jc w:val="both"/>
      </w:pPr>
      <w:r>
        <w:rPr>
          <w:rFonts w:ascii="宋体" w:hAnsi="宋体" w:eastAsia="宋体"/>
          <w:sz w:val="21"/>
        </w:rPr>
        <w:t>第二，跌落角度是影响开裂风险的主导因素。平躺跌落因接触面积较大而风险最低，竖直跌落因局部接触和弯曲拉伸耦合而风险最高。</w:t>
      </w:r>
      <m:oMath>
        <m:r>
          <m:rPr>
            <m:sty m:val="p"/>
          </m:rPr>
          <w:rPr>
            <w:rFonts w:ascii="Cambria Math" w:hAnsi="Cambria Math" w:eastAsia="宋体" w:cstheme="minorBidi"/>
            <w:sz w:val="21"/>
            <w:szCs w:val="22"/>
            <w:lang w:val="en-US" w:bidi="ar-SA"/>
          </w:rPr>
          <m:t>1.0 m、90°</m:t>
        </m:r>
      </m:oMath>
      <w:r>
        <w:rPr>
          <w:rFonts w:ascii="宋体" w:hAnsi="宋体" w:eastAsia="宋体"/>
          <w:sz w:val="21"/>
        </w:rPr>
        <w:t>工况最大主应力达到</w:t>
      </w:r>
      <m:oMath>
        <m:r>
          <m:rPr>
            <m:sty m:val="p"/>
          </m:rPr>
          <w:rPr>
            <w:rFonts w:hint="default" w:ascii="Cambria Math" w:hAnsi="Cambria Math" w:eastAsia="宋体"/>
            <w:sz w:val="21"/>
          </w:rPr>
          <m:t>519.33MPa</m:t>
        </m:r>
      </m:oMath>
      <w:r>
        <w:rPr>
          <w:rFonts w:ascii="宋体" w:hAnsi="宋体" w:eastAsia="宋体"/>
          <w:sz w:val="21"/>
        </w:rPr>
        <w:t>，是本组工况中最危险的组合。</w:t>
      </w:r>
    </w:p>
    <w:p w14:paraId="4B0BA29E">
      <w:pPr>
        <w:spacing w:before="0" w:after="0" w:line="300" w:lineRule="auto"/>
        <w:ind w:firstLine="420"/>
        <w:jc w:val="both"/>
      </w:pPr>
      <w:r>
        <w:rPr>
          <w:rFonts w:ascii="宋体" w:hAnsi="宋体" w:eastAsia="宋体"/>
          <w:sz w:val="21"/>
        </w:rPr>
        <w:t>第三，机器学习代理模型能够较好学习有限元数据规律。极端随机树模型在 25 组样本的留一交叉验证中取得</w:t>
      </w:r>
      <m:oMath>
        <m:r>
          <m:rPr>
            <m:sty m:val="p"/>
          </m:rPr>
          <w:rPr>
            <w:rFonts w:ascii="Cambria Math" w:hAnsi="Cambria Math" w:eastAsia="宋体" w:cstheme="minorBidi"/>
            <w:sz w:val="21"/>
            <w:szCs w:val="22"/>
            <w:lang w:val="en-US" w:bidi="ar-SA"/>
          </w:rPr>
          <m:t xml:space="preserve"> R² = 0.893、RMSE = 41.46 MPa </m:t>
        </m:r>
      </m:oMath>
      <w:r>
        <w:rPr>
          <w:rFonts w:ascii="宋体" w:hAnsi="宋体" w:eastAsia="宋体"/>
          <w:sz w:val="21"/>
        </w:rPr>
        <w:t>的结果，说明在小样本、强非线性的参数化仿真问题中，树模型具有较好的适应性。</w:t>
      </w:r>
    </w:p>
    <w:p w14:paraId="741AB936">
      <w:pPr>
        <w:spacing w:before="0" w:after="0" w:line="300" w:lineRule="auto"/>
        <w:ind w:firstLine="420"/>
        <w:jc w:val="both"/>
        <w:rPr>
          <w:rFonts w:ascii="宋体" w:hAnsi="宋体" w:eastAsia="宋体"/>
          <w:sz w:val="21"/>
        </w:rPr>
      </w:pPr>
      <w:r>
        <w:rPr>
          <w:rFonts w:ascii="宋体" w:hAnsi="宋体" w:eastAsia="宋体"/>
          <w:sz w:val="21"/>
        </w:rPr>
        <w:t>第四，本文仍存在一定局限。模型将手镯简化为理想圆环，未考虑真实玉石纹理、绺裂、加工残余应力、截面形态差异和材料各向异性；风险强度阈值采用参考值，尚未通过实验校准；数据集仅包含 25 组工况，仍属于小样本代理建模。后续可增加摩擦系数、截面尺寸、缺陷位置和材料强度分布等变量，并结合跌落试验或高速摄影对模型进行验证。</w:t>
      </w:r>
    </w:p>
    <w:p w14:paraId="70F6F5B2">
      <w:pPr>
        <w:ind w:firstLine="420" w:firstLineChars="200"/>
        <w:jc w:val="both"/>
        <w:rPr>
          <w:rFonts w:ascii="宋体" w:hAnsi="宋体" w:eastAsia="宋体"/>
          <w:sz w:val="21"/>
        </w:rPr>
      </w:pPr>
      <w:r>
        <w:rPr>
          <w:rFonts w:ascii="宋体" w:hAnsi="宋体" w:eastAsia="宋体"/>
          <w:color w:val="000000"/>
        </w:rPr>
        <w:t>第五，本文的有限元—AI 代理模型具有面向现实生活的应用潜力。对于普通佩戴者而言，该方法可将“从多高处掉落、以什么姿态落地、是否撞击硬地面”等生活描述转化为力学参数，并进一步预测最大主应力峰值和开裂风险等级，从而为跌落后是否需要强光检查、是否应暂停佩戴以及是否需要专业检测提供参考。对于玉石商家而言，该方法也可扩展用于包装运输保护方案比较，为不同摆放姿态、缓冲材料和跌落高度下的风险评估提供数据化依据。</w:t>
      </w:r>
    </w:p>
    <w:p w14:paraId="0336F4D6">
      <w:pPr>
        <w:spacing w:before="0" w:after="0" w:line="300" w:lineRule="auto"/>
        <w:ind w:firstLine="420"/>
        <w:jc w:val="both"/>
      </w:pPr>
      <w:r>
        <w:rPr>
          <w:rFonts w:ascii="宋体" w:hAnsi="宋体" w:eastAsia="宋体"/>
          <w:sz w:val="21"/>
        </w:rPr>
        <w:t>从跨学科角度看，本文将玉石文化中的传统经验问题转化为力学仿真与人工智能预测问题：既保留了玉器材料和佩戴场景的文化背景，又引入了有限元、显式动力学和机器学习方法，为玉石产品防护、结构设计和数字化评价提供了一种可继续拓展的技术路线。</w:t>
      </w:r>
    </w:p>
    <w:p w14:paraId="5E03544F">
      <w:pPr>
        <w:rPr>
          <w:rFonts w:ascii="黑体" w:hAnsi="黑体" w:eastAsia="黑体"/>
          <w:b/>
          <w:sz w:val="28"/>
        </w:rPr>
      </w:pPr>
      <w:r>
        <w:rPr>
          <w:rFonts w:ascii="黑体" w:hAnsi="黑体" w:eastAsia="黑体"/>
          <w:b/>
          <w:sz w:val="28"/>
        </w:rPr>
        <w:br w:type="page"/>
      </w:r>
    </w:p>
    <w:p w14:paraId="5C76634F">
      <w:pPr>
        <w:spacing w:before="120" w:after="80" w:line="300" w:lineRule="auto"/>
        <w:jc w:val="left"/>
      </w:pPr>
      <w:r>
        <w:rPr>
          <w:rFonts w:ascii="黑体" w:hAnsi="黑体" w:eastAsia="黑体"/>
          <w:b/>
          <w:sz w:val="28"/>
        </w:rPr>
        <w:t>参考文献</w:t>
      </w:r>
    </w:p>
    <w:p w14:paraId="679067F7">
      <w:pPr>
        <w:spacing w:before="0" w:after="0" w:line="300" w:lineRule="auto"/>
      </w:pPr>
      <w:r>
        <w:rPr>
          <w:rFonts w:ascii="宋体" w:hAnsi="宋体" w:eastAsia="宋体"/>
          <w:sz w:val="18"/>
        </w:rPr>
        <w:t>[1] 潘兆橹. 结晶学及矿物学（下）[M]. 北京: 地质出版社, 1998.</w:t>
      </w:r>
    </w:p>
    <w:p w14:paraId="49C4010B">
      <w:pPr>
        <w:spacing w:before="0" w:after="0" w:line="300" w:lineRule="auto"/>
      </w:pPr>
      <w:r>
        <w:rPr>
          <w:rFonts w:ascii="宋体" w:hAnsi="宋体" w:eastAsia="宋体"/>
          <w:sz w:val="18"/>
        </w:rPr>
        <w:t>[2] Bradt R C, Newnham R E, Biggers J V. The toughness of jade[J]. American Mineralogist, 1973, 58(7-8): 727-732.</w:t>
      </w:r>
    </w:p>
    <w:p w14:paraId="4A4B1ED6">
      <w:pPr>
        <w:spacing w:before="0" w:after="0" w:line="300" w:lineRule="auto"/>
      </w:pPr>
      <w:r>
        <w:rPr>
          <w:rFonts w:ascii="宋体" w:hAnsi="宋体" w:eastAsia="宋体"/>
          <w:sz w:val="18"/>
        </w:rPr>
        <w:t>[3] EPI-Institut. Jadeite, Nephrite &amp; Serpentine[EB/OL]. 2021.</w:t>
      </w:r>
    </w:p>
    <w:p w14:paraId="013422B3">
      <w:pPr>
        <w:spacing w:before="0" w:after="0" w:line="300" w:lineRule="auto"/>
      </w:pPr>
      <w:r>
        <w:rPr>
          <w:rFonts w:ascii="宋体" w:hAnsi="宋体" w:eastAsia="宋体"/>
          <w:sz w:val="18"/>
        </w:rPr>
        <w:t>[4] Dassault Systèmes. Abaqus 2024 Documentation: Contact Formulations for Contact Pairs in Abaqus/Explicit[EB/OL]. 2024.</w:t>
      </w:r>
    </w:p>
    <w:p w14:paraId="7D8BA919">
      <w:pPr>
        <w:spacing w:before="0" w:after="0" w:line="300" w:lineRule="auto"/>
      </w:pPr>
      <w:r>
        <w:rPr>
          <w:rFonts w:ascii="宋体" w:hAnsi="宋体" w:eastAsia="宋体"/>
          <w:sz w:val="18"/>
        </w:rPr>
        <w:t>[5] Zienkiewicz O C, Taylor R L, Zhu J Z. The Finite Element Method: Its Basis and Fundamentals[M]. 7th ed. Oxford: Butterworth-Heinemann, 2013.</w:t>
      </w:r>
    </w:p>
    <w:p w14:paraId="225B361A">
      <w:pPr>
        <w:spacing w:before="0" w:after="0" w:line="300" w:lineRule="auto"/>
      </w:pPr>
      <w:r>
        <w:rPr>
          <w:rFonts w:ascii="宋体" w:hAnsi="宋体" w:eastAsia="宋体"/>
          <w:sz w:val="18"/>
        </w:rPr>
        <w:t>[6] Bathe K J. Finite Element Procedures[M]. Watertown: Klaus-Jürgen Bathe, 1996.</w:t>
      </w:r>
    </w:p>
    <w:p w14:paraId="78CA7E77">
      <w:pPr>
        <w:spacing w:before="0" w:after="0" w:line="300" w:lineRule="auto"/>
      </w:pPr>
      <w:r>
        <w:rPr>
          <w:rFonts w:ascii="宋体" w:hAnsi="宋体" w:eastAsia="宋体"/>
          <w:sz w:val="18"/>
        </w:rPr>
        <w:t>[7] Breiman L. Random forests[J]. Machine Learning, 2001, 45(1): 5-32.</w:t>
      </w:r>
    </w:p>
    <w:p w14:paraId="44F972B9">
      <w:pPr>
        <w:spacing w:before="0" w:after="0" w:line="300" w:lineRule="auto"/>
      </w:pPr>
      <w:r>
        <w:rPr>
          <w:rFonts w:ascii="宋体" w:hAnsi="宋体" w:eastAsia="宋体"/>
          <w:sz w:val="18"/>
        </w:rPr>
        <w:t>[8] Geurts P, Ernst D, Wehenkel L. Extremely randomized trees[J]. Machine Learning, 2006, 63(1): 3-42.</w:t>
      </w:r>
    </w:p>
    <w:p w14:paraId="28F1820E">
      <w:pPr>
        <w:spacing w:before="0" w:after="0" w:line="300" w:lineRule="auto"/>
      </w:pPr>
      <w:r>
        <w:rPr>
          <w:rFonts w:ascii="宋体" w:hAnsi="宋体" w:eastAsia="宋体"/>
          <w:sz w:val="18"/>
        </w:rPr>
        <w:t>[9] Friedman J H. Greedy function approximation: A gradient boosting machine[J]. The Annals of Statistics, 2001, 29(5): 1189-1232.</w:t>
      </w:r>
    </w:p>
    <w:p w14:paraId="4A545D1D">
      <w:pPr>
        <w:spacing w:before="0" w:after="0" w:line="300" w:lineRule="auto"/>
      </w:pPr>
      <w:r>
        <w:rPr>
          <w:rFonts w:ascii="宋体" w:hAnsi="宋体" w:eastAsia="宋体"/>
          <w:sz w:val="18"/>
        </w:rPr>
        <w:t>[10] Cortes C, Vapnik V. Support-vector networks[J]. Machine Learning, 1995, 20(3): 273-297.</w:t>
      </w:r>
    </w:p>
    <w:p w14:paraId="5DC9E6EE">
      <w:pPr>
        <w:spacing w:before="0" w:after="0" w:line="300" w:lineRule="auto"/>
        <w:rPr>
          <w:rFonts w:ascii="宋体" w:hAnsi="宋体" w:eastAsia="宋体"/>
          <w:sz w:val="18"/>
        </w:rPr>
      </w:pPr>
      <w:r>
        <w:rPr>
          <w:rFonts w:ascii="宋体" w:hAnsi="宋体" w:eastAsia="宋体"/>
          <w:sz w:val="18"/>
        </w:rPr>
        <w:t>[11] Badarinath P V, Chierichetti M, Davoudabadi P, et al. A machine learning approach as a surrogate for finite element analysis: Status of research and application to one dimensional systems[J]. Sensors, 2021, 21(5): 1654.</w:t>
      </w:r>
    </w:p>
    <w:p w14:paraId="13967B20">
      <w:pPr>
        <w:spacing w:before="0" w:after="0" w:line="300" w:lineRule="auto"/>
        <w:rPr>
          <w:rFonts w:ascii="宋体" w:hAnsi="宋体" w:eastAsia="宋体"/>
          <w:sz w:val="18"/>
        </w:rPr>
      </w:pPr>
      <w:r>
        <w:rPr>
          <w:rFonts w:ascii="宋体" w:hAnsi="宋体" w:eastAsia="宋体"/>
          <w:sz w:val="18"/>
        </w:rPr>
        <w:t>[12] Alpaydin E. Introduction to Machine Learning[M]. 4th ed. Cambridge: MIT Press, 2020.</w:t>
      </w:r>
    </w:p>
    <w:p w14:paraId="07A63159">
      <w:pPr>
        <w:spacing w:before="0" w:after="0" w:line="300" w:lineRule="auto"/>
        <w:rPr>
          <w:rFonts w:ascii="宋体" w:hAnsi="宋体" w:eastAsia="宋体"/>
          <w:sz w:val="18"/>
        </w:rPr>
      </w:pPr>
      <w:r>
        <w:rPr>
          <w:rFonts w:ascii="宋体" w:hAnsi="宋体" w:eastAsia="宋体"/>
          <w:sz w:val="18"/>
        </w:rPr>
        <w:t>[13] Bishop C M. Pattern Recognition and Machine Learning[M]. New York: Springer, 2006.</w:t>
      </w:r>
    </w:p>
    <w:p w14:paraId="1B45DE3A">
      <w:pPr>
        <w:spacing w:before="0" w:after="0" w:line="300" w:lineRule="auto"/>
        <w:rPr>
          <w:rFonts w:ascii="宋体" w:hAnsi="宋体" w:eastAsia="宋体"/>
          <w:sz w:val="18"/>
        </w:rPr>
      </w:pPr>
      <w:r>
        <w:rPr>
          <w:rFonts w:ascii="宋体" w:hAnsi="宋体" w:eastAsia="宋体"/>
          <w:sz w:val="18"/>
        </w:rPr>
        <w:t>[14] Géron A. Hands-On Machine Learning with Scikit-Learn, Keras, and TensorFlow[M]. 3rd ed. Sebastopol: O'Reilly Media, 2022.</w:t>
      </w:r>
    </w:p>
    <w:p w14:paraId="5DADEB31">
      <w:pPr>
        <w:spacing w:before="0" w:after="0" w:line="300" w:lineRule="auto"/>
        <w:rPr>
          <w:rFonts w:hint="eastAsia" w:ascii="宋体" w:hAnsi="宋体" w:eastAsia="宋体"/>
          <w:sz w:val="18"/>
        </w:rPr>
      </w:pPr>
      <w:r>
        <w:rPr>
          <w:rFonts w:hint="eastAsia" w:ascii="宋体" w:hAnsi="宋体" w:eastAsia="宋体"/>
          <w:sz w:val="18"/>
        </w:rPr>
        <w:t>[15] Laboratory Manual Harmonisation Committee. Information Sheet #11: Jade and Related Materials[S/OL]. Version 5, 2025.</w:t>
      </w:r>
    </w:p>
    <w:p w14:paraId="054F580E">
      <w:pPr>
        <w:spacing w:before="0" w:after="0" w:line="300" w:lineRule="auto"/>
        <w:rPr>
          <w:rFonts w:hint="eastAsia" w:ascii="宋体" w:hAnsi="宋体" w:eastAsia="宋体"/>
          <w:sz w:val="18"/>
        </w:rPr>
      </w:pPr>
      <w:r>
        <w:rPr>
          <w:rFonts w:hint="eastAsia" w:ascii="宋体" w:hAnsi="宋体" w:eastAsia="宋体"/>
          <w:sz w:val="18"/>
        </w:rPr>
        <w:t>[16] Tarling M S, Smith S A F, Negrini M, Kuo L W, Wu W H, Cooper A F. An evolutionary model and classification scheme for nephrite jade based on veining, fabric development, and the role of dissolution–precipitation[J]. Scientific Reports, 2022, 12: 7823.</w:t>
      </w:r>
    </w:p>
    <w:p w14:paraId="1332187B">
      <w:pPr>
        <w:spacing w:before="0" w:after="0" w:line="300" w:lineRule="auto"/>
        <w:rPr>
          <w:rFonts w:hint="eastAsia" w:ascii="宋体" w:hAnsi="宋体" w:eastAsia="宋体"/>
          <w:sz w:val="18"/>
        </w:rPr>
      </w:pPr>
      <w:r>
        <w:rPr>
          <w:rFonts w:hint="eastAsia" w:ascii="宋体" w:hAnsi="宋体" w:eastAsia="宋体"/>
          <w:sz w:val="18"/>
        </w:rPr>
        <w:t>[17] Australian Museum. Nephrite jade[EB/OL]. 2022.</w:t>
      </w:r>
    </w:p>
    <w:p w14:paraId="2BC65CC6">
      <w:pPr>
        <w:spacing w:before="0" w:after="0" w:line="300" w:lineRule="auto"/>
        <w:jc w:val="both"/>
      </w:pPr>
    </w:p>
    <w:sectPr>
      <w:footerReference r:id="rId5" w:type="default"/>
      <w:pgSz w:w="12240" w:h="15840"/>
      <w:pgMar w:top="1417" w:right="141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MS Mincho">
    <w:altName w:val="SWAstr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8C952">
    <w:pPr>
      <w:pStyle w:val="24"/>
      <w:jc w:val="center"/>
    </w:pPr>
    <w:r>
      <w:rPr>
        <w:rFonts w:ascii="宋体" w:hAnsi="宋体" w:eastAsia="宋体"/>
        <w:sz w:val="18"/>
      </w:rPr>
      <w:t xml:space="preserve">— 第 </w:t>
    </w:r>
    <w:r>
      <w:rPr>
        <w:rFonts w:ascii="宋体" w:hAnsi="宋体" w:eastAsia="宋体"/>
        <w:sz w:val="18"/>
      </w:rPr>
      <w:fldChar w:fldCharType="begin"/>
    </w:r>
    <w:r>
      <w:rPr>
        <w:rFonts w:ascii="宋体" w:hAnsi="宋体" w:eastAsia="宋体"/>
        <w:sz w:val="18"/>
      </w:rPr>
      <w:instrText xml:space="preserve"> PAGE </w:instrText>
    </w:r>
    <w:r>
      <w:rPr>
        <w:rFonts w:ascii="宋体" w:hAnsi="宋体" w:eastAsia="宋体"/>
        <w:sz w:val="18"/>
      </w:rPr>
      <w:fldChar w:fldCharType="separate"/>
    </w:r>
    <w:r>
      <w:rPr>
        <w:rFonts w:ascii="宋体" w:hAnsi="宋体" w:eastAsia="宋体"/>
        <w:sz w:val="18"/>
      </w:rPr>
      <w:t>1</w:t>
    </w:r>
    <w:r>
      <w:rPr>
        <w:rFonts w:ascii="宋体" w:hAnsi="宋体" w:eastAsia="宋体"/>
        <w:sz w:val="18"/>
      </w:rPr>
      <w:fldChar w:fldCharType="end"/>
    </w:r>
    <w:r>
      <w:rPr>
        <w:rFonts w:ascii="宋体" w:hAnsi="宋体" w:eastAsia="宋体"/>
        <w:sz w:val="18"/>
      </w:rPr>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846E5"/>
    <w:rsid w:val="00FC693F"/>
    <w:rsid w:val="011C3821"/>
    <w:rsid w:val="02443B38"/>
    <w:rsid w:val="03276F2B"/>
    <w:rsid w:val="03561F09"/>
    <w:rsid w:val="039A36A3"/>
    <w:rsid w:val="04276F58"/>
    <w:rsid w:val="0490144A"/>
    <w:rsid w:val="051F459A"/>
    <w:rsid w:val="05305D25"/>
    <w:rsid w:val="06005601"/>
    <w:rsid w:val="064222D0"/>
    <w:rsid w:val="065B0766"/>
    <w:rsid w:val="07414C7E"/>
    <w:rsid w:val="08332819"/>
    <w:rsid w:val="09376339"/>
    <w:rsid w:val="09D771D4"/>
    <w:rsid w:val="0A1D5398"/>
    <w:rsid w:val="0A265DF0"/>
    <w:rsid w:val="0AF66C07"/>
    <w:rsid w:val="0B195776"/>
    <w:rsid w:val="0BE206E2"/>
    <w:rsid w:val="0C68531D"/>
    <w:rsid w:val="0C7D6E89"/>
    <w:rsid w:val="0DE243F0"/>
    <w:rsid w:val="0F783207"/>
    <w:rsid w:val="0FAE1174"/>
    <w:rsid w:val="0FD96A8B"/>
    <w:rsid w:val="0FF341F8"/>
    <w:rsid w:val="117D2D56"/>
    <w:rsid w:val="11942F96"/>
    <w:rsid w:val="11B322D4"/>
    <w:rsid w:val="12233A20"/>
    <w:rsid w:val="134612B1"/>
    <w:rsid w:val="1496200E"/>
    <w:rsid w:val="14DB1649"/>
    <w:rsid w:val="154A73F4"/>
    <w:rsid w:val="15A32550"/>
    <w:rsid w:val="177644D0"/>
    <w:rsid w:val="18A711DD"/>
    <w:rsid w:val="195A1F6E"/>
    <w:rsid w:val="1991397D"/>
    <w:rsid w:val="1A2308F8"/>
    <w:rsid w:val="1A361CF4"/>
    <w:rsid w:val="1ACE77AD"/>
    <w:rsid w:val="1AE14356"/>
    <w:rsid w:val="1B376A4D"/>
    <w:rsid w:val="1C561ED7"/>
    <w:rsid w:val="1C9B0535"/>
    <w:rsid w:val="1CBF06C7"/>
    <w:rsid w:val="1D71334C"/>
    <w:rsid w:val="1E3576CC"/>
    <w:rsid w:val="1EE64087"/>
    <w:rsid w:val="1F042D95"/>
    <w:rsid w:val="1F1437EE"/>
    <w:rsid w:val="20393331"/>
    <w:rsid w:val="20F748D2"/>
    <w:rsid w:val="225A0C09"/>
    <w:rsid w:val="22CD6F6E"/>
    <w:rsid w:val="22E1799D"/>
    <w:rsid w:val="23405992"/>
    <w:rsid w:val="257D2A53"/>
    <w:rsid w:val="25E62DFC"/>
    <w:rsid w:val="25F94A58"/>
    <w:rsid w:val="26B741BD"/>
    <w:rsid w:val="271F4CC9"/>
    <w:rsid w:val="27550449"/>
    <w:rsid w:val="27807D96"/>
    <w:rsid w:val="27A6171B"/>
    <w:rsid w:val="27F03E2A"/>
    <w:rsid w:val="2833593F"/>
    <w:rsid w:val="29207F48"/>
    <w:rsid w:val="29E7326B"/>
    <w:rsid w:val="2A1A495F"/>
    <w:rsid w:val="2A963A02"/>
    <w:rsid w:val="2AD04030"/>
    <w:rsid w:val="2AF801AF"/>
    <w:rsid w:val="2B69251F"/>
    <w:rsid w:val="2BE55328"/>
    <w:rsid w:val="2CB119DD"/>
    <w:rsid w:val="2D821298"/>
    <w:rsid w:val="2E416C9B"/>
    <w:rsid w:val="2E4C7613"/>
    <w:rsid w:val="2E870919"/>
    <w:rsid w:val="2EF4224A"/>
    <w:rsid w:val="2F560A17"/>
    <w:rsid w:val="2F661D64"/>
    <w:rsid w:val="2F7B3643"/>
    <w:rsid w:val="2F8C201F"/>
    <w:rsid w:val="31572824"/>
    <w:rsid w:val="318D76A5"/>
    <w:rsid w:val="31B20333"/>
    <w:rsid w:val="31D71662"/>
    <w:rsid w:val="31FD1C66"/>
    <w:rsid w:val="31FD7870"/>
    <w:rsid w:val="32110C25"/>
    <w:rsid w:val="335710EE"/>
    <w:rsid w:val="340C0D5A"/>
    <w:rsid w:val="35335357"/>
    <w:rsid w:val="35B2594E"/>
    <w:rsid w:val="35B45E1A"/>
    <w:rsid w:val="36050AA1"/>
    <w:rsid w:val="361A4FF4"/>
    <w:rsid w:val="377753EA"/>
    <w:rsid w:val="37F039D3"/>
    <w:rsid w:val="386D0B7F"/>
    <w:rsid w:val="39177242"/>
    <w:rsid w:val="3AC30F2B"/>
    <w:rsid w:val="3B457B92"/>
    <w:rsid w:val="3B4756B8"/>
    <w:rsid w:val="3CDE7E6E"/>
    <w:rsid w:val="3DF5589F"/>
    <w:rsid w:val="3DFF04CC"/>
    <w:rsid w:val="3DFF377D"/>
    <w:rsid w:val="3E0368E3"/>
    <w:rsid w:val="3E043B06"/>
    <w:rsid w:val="3E1F0B6E"/>
    <w:rsid w:val="3E970704"/>
    <w:rsid w:val="3FC550DD"/>
    <w:rsid w:val="3FD11A8E"/>
    <w:rsid w:val="400C5EB9"/>
    <w:rsid w:val="42142266"/>
    <w:rsid w:val="4236777C"/>
    <w:rsid w:val="425E1E2B"/>
    <w:rsid w:val="42B279CF"/>
    <w:rsid w:val="42E12896"/>
    <w:rsid w:val="4350530C"/>
    <w:rsid w:val="44801C3A"/>
    <w:rsid w:val="48CB0ECB"/>
    <w:rsid w:val="48EF055B"/>
    <w:rsid w:val="4957464A"/>
    <w:rsid w:val="49A07481"/>
    <w:rsid w:val="49FE1F7F"/>
    <w:rsid w:val="4A334A7F"/>
    <w:rsid w:val="4A5679C1"/>
    <w:rsid w:val="4B907218"/>
    <w:rsid w:val="4BB70638"/>
    <w:rsid w:val="4BBC2BA9"/>
    <w:rsid w:val="4E9524DD"/>
    <w:rsid w:val="50B74C36"/>
    <w:rsid w:val="514324CE"/>
    <w:rsid w:val="520D544A"/>
    <w:rsid w:val="526B27DD"/>
    <w:rsid w:val="550F6DEF"/>
    <w:rsid w:val="5697228A"/>
    <w:rsid w:val="58BC0A5A"/>
    <w:rsid w:val="59C16B55"/>
    <w:rsid w:val="5AC95C92"/>
    <w:rsid w:val="5C234A62"/>
    <w:rsid w:val="5C724BBE"/>
    <w:rsid w:val="5D9440E8"/>
    <w:rsid w:val="5E316028"/>
    <w:rsid w:val="5E50299B"/>
    <w:rsid w:val="5F330F86"/>
    <w:rsid w:val="6129748A"/>
    <w:rsid w:val="61B80002"/>
    <w:rsid w:val="62856942"/>
    <w:rsid w:val="62D4425D"/>
    <w:rsid w:val="62F12229"/>
    <w:rsid w:val="638C5281"/>
    <w:rsid w:val="647709AE"/>
    <w:rsid w:val="647D6AA8"/>
    <w:rsid w:val="64FF0A2F"/>
    <w:rsid w:val="6548459E"/>
    <w:rsid w:val="65587EC8"/>
    <w:rsid w:val="657333CA"/>
    <w:rsid w:val="665B59B8"/>
    <w:rsid w:val="66C51A03"/>
    <w:rsid w:val="671169F6"/>
    <w:rsid w:val="671E2DBD"/>
    <w:rsid w:val="67BF28F6"/>
    <w:rsid w:val="69016300"/>
    <w:rsid w:val="6B7678FF"/>
    <w:rsid w:val="6C5309A3"/>
    <w:rsid w:val="6C7D1B5B"/>
    <w:rsid w:val="6D765805"/>
    <w:rsid w:val="6DCD73EF"/>
    <w:rsid w:val="6EE84BCC"/>
    <w:rsid w:val="6F0B2A24"/>
    <w:rsid w:val="6F98315C"/>
    <w:rsid w:val="6FE63F4F"/>
    <w:rsid w:val="71493EAD"/>
    <w:rsid w:val="73486C63"/>
    <w:rsid w:val="741B26B0"/>
    <w:rsid w:val="74863FA7"/>
    <w:rsid w:val="778C1018"/>
    <w:rsid w:val="779C40BA"/>
    <w:rsid w:val="784D1863"/>
    <w:rsid w:val="785506C7"/>
    <w:rsid w:val="78724906"/>
    <w:rsid w:val="78D2661A"/>
    <w:rsid w:val="78D87374"/>
    <w:rsid w:val="79D72CAF"/>
    <w:rsid w:val="7A622A67"/>
    <w:rsid w:val="7BA67044"/>
    <w:rsid w:val="7E8E723F"/>
    <w:rsid w:val="7ECC04C8"/>
    <w:rsid w:val="7EFD0500"/>
    <w:rsid w:val="7F034914"/>
    <w:rsid w:val="7F7B0B07"/>
    <w:rsid w:val="7FD026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1528</Words>
  <Characters>1663</Characters>
  <Lines>0</Lines>
  <Paragraphs>0</Paragraphs>
  <TotalTime>3</TotalTime>
  <ScaleCrop>false</ScaleCrop>
  <LinksUpToDate>false</LinksUpToDate>
  <CharactersWithSpaces>1696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cp:lastModifiedBy>
  <dcterms:modified xsi:type="dcterms:W3CDTF">2026-05-24T03:58:42Z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eyJoZGlkIjoiZTE3YWMwNjFmNGQyYzAyY2Y1OThmZWNmODFmNjkyM2MiLCJ1c2VySWQiOiI0OTQzMTgwNDgifQ==</vt:lpwstr>
  </property>
  <property fmtid="{D5CDD505-2E9C-101B-9397-08002B2CF9AE}" pid="3" name="KSOProductBuildVer">
    <vt:lpwstr>2052-12.1.0.26375</vt:lpwstr>
  </property>
  <property fmtid="{D5CDD505-2E9C-101B-9397-08002B2CF9AE}" pid="4" name="ICV">
    <vt:lpwstr>1F98C6A74D224A5D9FB552699CDEEE8F_12</vt:lpwstr>
  </property>
</Properties>
</file>