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72267C">
      <w:pPr>
        <w:spacing w:after="160"/>
        <w:jc w:val="center"/>
      </w:pPr>
      <w:r>
        <w:rPr>
          <w:rFonts w:ascii="黑体" w:hAnsi="黑体" w:eastAsia="黑体"/>
          <w:b/>
          <w:sz w:val="32"/>
        </w:rPr>
        <w:t>基于有限元仿真与机器学习的玉石手镯跌落开裂风险预测研究</w:t>
      </w:r>
    </w:p>
    <w:p w14:paraId="18B3687B">
      <w:pPr>
        <w:spacing w:after="0"/>
        <w:jc w:val="center"/>
      </w:pPr>
      <w:r>
        <w:rPr>
          <w:rFonts w:ascii="宋体" w:hAnsi="宋体" w:eastAsia="宋体"/>
          <w:sz w:val="18"/>
        </w:rPr>
        <w:t>刘祥泷2451824</w:t>
      </w:r>
    </w:p>
    <w:p w14:paraId="70E91997">
      <w:pPr>
        <w:spacing w:after="0"/>
        <w:jc w:val="center"/>
      </w:pPr>
      <w:r>
        <w:rPr>
          <w:rFonts w:ascii="宋体" w:hAnsi="宋体" w:eastAsia="宋体"/>
          <w:sz w:val="18"/>
        </w:rPr>
        <w:t>同济大学</w:t>
      </w:r>
    </w:p>
    <w:p w14:paraId="6A8EDF1A">
      <w:pPr>
        <w:spacing w:before="160" w:after="0" w:line="300" w:lineRule="auto"/>
      </w:pPr>
      <w:r>
        <w:rPr>
          <w:rFonts w:ascii="黑体" w:hAnsi="黑体" w:eastAsia="黑体"/>
          <w:b/>
          <w:sz w:val="18"/>
        </w:rPr>
        <w:t>摘要：</w:t>
      </w:r>
      <w:r>
        <w:rPr>
          <w:rFonts w:ascii="宋体" w:hAnsi="宋体" w:eastAsia="宋体"/>
          <w:sz w:val="18"/>
        </w:rPr>
        <w:t xml:space="preserve">玉石手镯具有典型的环形几何形态和脆性材料特征，日常佩戴、取放和运输过程中跌落冲击是导致局部崩口、裂纹和整体断裂的重要诱因。针对真实玉石断裂参数难以获得、裂纹扩展仿真建模难度较高的问题，本文以最大主应力为开裂风险评价指标，建立玉石手镯跌落冲击的 </w:t>
      </w:r>
      <m:oMath>
        <m:r>
          <m:rPr>
            <m:sty m:val="p"/>
          </m:rPr>
          <w:rPr>
            <w:rFonts w:ascii="Cambria Math" w:hAnsi="Cambria Math" w:eastAsia="宋体" w:cstheme="minorBidi"/>
            <w:sz w:val="18"/>
            <w:szCs w:val="22"/>
            <w:lang w:val="en-US" w:bidi="ar-SA"/>
          </w:rPr>
          <m:t xml:space="preserve">Abaqus/Explicit </m:t>
        </m:r>
      </m:oMath>
      <w:r>
        <w:rPr>
          <w:rFonts w:ascii="宋体" w:hAnsi="宋体" w:eastAsia="宋体"/>
          <w:sz w:val="18"/>
        </w:rPr>
        <w:t xml:space="preserve">有限元模型，并进一步构建机器学习代理模型，实现“跌落高度—跌落角度—最大主应力峰值”的快速预测。模型将手镯简化为内径 55 mm、圆形截面直径 10 mm 的三维圆环，采用线弹性材料、刚性地面、通用接触和初速度法模拟不同高度跌落。共设置 25 组工况，高度为 </w:t>
      </w:r>
      <m:oMath>
        <m:r>
          <m:rPr>
            <m:sty m:val="p"/>
          </m:rPr>
          <w:rPr>
            <w:rFonts w:ascii="Cambria Math" w:hAnsi="Cambria Math" w:eastAsia="宋体" w:cstheme="minorBidi"/>
            <w:sz w:val="18"/>
            <w:szCs w:val="22"/>
            <w:lang w:val="en-US" w:bidi="ar-SA"/>
          </w:rPr>
          <m:t>0.2-1.0 m</m:t>
        </m:r>
      </m:oMath>
      <w:r>
        <w:rPr>
          <w:rFonts w:ascii="宋体" w:hAnsi="宋体" w:eastAsia="宋体"/>
          <w:sz w:val="18"/>
        </w:rPr>
        <w:t>，跌落角度为</w:t>
      </w:r>
      <m:oMath>
        <m:r>
          <m:rPr>
            <m:sty m:val="p"/>
          </m:rPr>
          <w:rPr>
            <w:rFonts w:ascii="Cambria Math" w:hAnsi="Cambria Math" w:eastAsia="宋体" w:cstheme="minorBidi"/>
            <w:sz w:val="18"/>
            <w:szCs w:val="22"/>
            <w:lang w:val="en-US" w:bidi="ar-SA"/>
          </w:rPr>
          <m:t xml:space="preserve"> 0°-90°</m:t>
        </m:r>
      </m:oMath>
      <w:r>
        <w:rPr>
          <w:rFonts w:ascii="宋体" w:hAnsi="宋体" w:eastAsia="宋体"/>
          <w:sz w:val="18"/>
        </w:rPr>
        <w:t>，摩擦系数取</w:t>
      </w:r>
      <m:oMath>
        <m:r>
          <m:rPr>
            <m:sty m:val="p"/>
          </m:rPr>
          <w:rPr>
            <w:rFonts w:ascii="Cambria Math" w:hAnsi="Cambria Math" w:eastAsia="宋体" w:cstheme="minorBidi"/>
            <w:sz w:val="18"/>
            <w:szCs w:val="22"/>
            <w:lang w:val="en-US" w:bidi="ar-SA"/>
          </w:rPr>
          <m:t xml:space="preserve"> 0.1</m:t>
        </m:r>
      </m:oMath>
      <w:r>
        <w:rPr>
          <w:rFonts w:ascii="宋体" w:hAnsi="宋体" w:eastAsia="宋体"/>
          <w:sz w:val="18"/>
        </w:rPr>
        <w:t>。结果表明，跌落姿态对最大主应力影响显著，</w:t>
      </w:r>
      <m:oMath>
        <m:r>
          <m:rPr>
            <m:sty m:val="p"/>
          </m:rPr>
          <w:rPr>
            <w:rFonts w:ascii="Cambria Math" w:hAnsi="Cambria Math" w:eastAsia="宋体" w:cstheme="minorBidi"/>
            <w:sz w:val="18"/>
            <w:szCs w:val="22"/>
            <w:lang w:val="en-US" w:bidi="ar-SA"/>
          </w:rPr>
          <m:t>90°</m:t>
        </m:r>
      </m:oMath>
      <w:r>
        <w:rPr>
          <w:rFonts w:ascii="宋体" w:hAnsi="宋体" w:eastAsia="宋体"/>
          <w:sz w:val="18"/>
        </w:rPr>
        <w:t>竖直跌落最危险，</w:t>
      </w:r>
      <m:oMath>
        <m:r>
          <m:rPr>
            <m:sty m:val="p"/>
          </m:rPr>
          <w:rPr>
            <w:rFonts w:ascii="Cambria Math" w:hAnsi="Cambria Math" w:eastAsia="宋体" w:cstheme="minorBidi"/>
            <w:sz w:val="18"/>
            <w:szCs w:val="22"/>
            <w:lang w:val="en-US" w:bidi="ar-SA"/>
          </w:rPr>
          <m:t>1.0 m、90°</m:t>
        </m:r>
      </m:oMath>
      <w:r>
        <w:rPr>
          <w:rFonts w:ascii="宋体" w:hAnsi="宋体" w:eastAsia="宋体"/>
          <w:sz w:val="18"/>
        </w:rPr>
        <w:t>工况最大主应力达到</w:t>
      </w:r>
      <m:oMath>
        <m:r>
          <m:rPr>
            <m:sty m:val="p"/>
          </m:rPr>
          <w:rPr>
            <w:rFonts w:hint="default" w:ascii="Cambria Math" w:hAnsi="Cambria Math" w:eastAsia="宋体"/>
            <w:sz w:val="18"/>
          </w:rPr>
          <m:t>519.33MPa</m:t>
        </m:r>
      </m:oMath>
      <w:r>
        <w:rPr>
          <w:rFonts w:ascii="宋体" w:hAnsi="宋体" w:eastAsia="宋体"/>
          <w:sz w:val="18"/>
        </w:rPr>
        <w:t>；平躺跌落整体风险最低。机器学习部分比较随机森林、极端随机树、梯度提升和支持向量回归模型，极端随机树在留一交叉验证中取得最优结果，</w:t>
      </w:r>
      <m:oMath>
        <m:r>
          <m:rPr>
            <m:sty m:val="p"/>
          </m:rPr>
          <w:rPr>
            <w:rFonts w:ascii="Cambria Math" w:hAnsi="Cambria Math" w:eastAsia="宋体" w:cstheme="minorBidi"/>
            <w:sz w:val="18"/>
            <w:szCs w:val="22"/>
            <w:lang w:val="en-US" w:bidi="ar-SA"/>
          </w:rPr>
          <m:t xml:space="preserve">R² </m:t>
        </m:r>
      </m:oMath>
      <w:r>
        <w:rPr>
          <w:rFonts w:ascii="宋体" w:hAnsi="宋体" w:eastAsia="宋体"/>
          <w:sz w:val="18"/>
        </w:rPr>
        <w:t>为</w:t>
      </w:r>
      <m:oMath>
        <m:r>
          <m:rPr>
            <m:sty m:val="p"/>
          </m:rPr>
          <w:rPr>
            <w:rFonts w:ascii="Cambria Math" w:hAnsi="Cambria Math" w:eastAsia="宋体" w:cstheme="minorBidi"/>
            <w:sz w:val="18"/>
            <w:szCs w:val="22"/>
            <w:lang w:val="en-US" w:bidi="ar-SA"/>
          </w:rPr>
          <m:t xml:space="preserve"> 0.893，RMSE </m:t>
        </m:r>
      </m:oMath>
      <w:r>
        <w:rPr>
          <w:rFonts w:ascii="宋体" w:hAnsi="宋体" w:eastAsia="宋体"/>
          <w:sz w:val="18"/>
        </w:rPr>
        <w:t>为</w:t>
      </w:r>
      <m:oMath>
        <m:r>
          <m:rPr>
            <m:sty m:val="p"/>
          </m:rPr>
          <w:rPr>
            <w:rFonts w:hint="default" w:ascii="Cambria Math" w:hAnsi="Cambria Math" w:eastAsia="宋体"/>
            <w:sz w:val="18"/>
          </w:rPr>
          <m:t>41.46MPa</m:t>
        </m:r>
      </m:oMath>
      <w:r>
        <w:rPr>
          <w:rFonts w:ascii="宋体" w:hAnsi="宋体" w:eastAsia="宋体"/>
          <w:sz w:val="18"/>
        </w:rPr>
        <w:t>。研究表明，有限元仿真与机器学习代理模型结合可用于玉石手镯跌落风险的快速评估，为玉石产品结构安全、佩戴防护和数字化设计提供参考。</w:t>
      </w:r>
    </w:p>
    <w:p w14:paraId="3214F83D">
      <w:pPr>
        <w:spacing w:before="0" w:after="0" w:line="300" w:lineRule="auto"/>
      </w:pPr>
      <w:r>
        <w:rPr>
          <w:rFonts w:ascii="黑体" w:hAnsi="黑体" w:eastAsia="黑体"/>
          <w:b/>
          <w:sz w:val="18"/>
        </w:rPr>
        <w:t>关键词：</w:t>
      </w:r>
      <w:r>
        <w:rPr>
          <w:rFonts w:ascii="宋体" w:hAnsi="宋体" w:eastAsia="宋体"/>
          <w:sz w:val="18"/>
        </w:rPr>
        <w:t>和田玉；玉石手镯；跌落冲击；</w:t>
      </w:r>
      <m:oMath>
        <m:r>
          <m:rPr>
            <m:sty m:val="p"/>
          </m:rPr>
          <w:rPr>
            <w:rFonts w:ascii="Cambria Math" w:hAnsi="Cambria Math" w:eastAsia="宋体" w:cstheme="minorBidi"/>
            <w:sz w:val="18"/>
            <w:szCs w:val="22"/>
            <w:lang w:val="en-US" w:bidi="ar-SA"/>
          </w:rPr>
          <m:t>Abaqus/Explicit</m:t>
        </m:r>
      </m:oMath>
      <w:r>
        <w:rPr>
          <w:rFonts w:ascii="宋体" w:hAnsi="宋体" w:eastAsia="宋体"/>
          <w:sz w:val="18"/>
        </w:rPr>
        <w:t>；最大主应力；机器学习代理模型</w:t>
      </w:r>
    </w:p>
    <w:p w14:paraId="01ABF538">
      <w:pPr>
        <w:spacing w:before="120" w:after="80" w:line="300" w:lineRule="auto"/>
        <w:jc w:val="left"/>
      </w:pPr>
      <w:r>
        <w:rPr>
          <w:rFonts w:ascii="黑体" w:hAnsi="黑体" w:eastAsia="黑体"/>
          <w:b/>
          <w:sz w:val="28"/>
        </w:rPr>
        <w:t>1 引言</w:t>
      </w:r>
    </w:p>
    <w:p w14:paraId="48F32B67">
      <w:pPr>
        <w:spacing w:before="0" w:after="0" w:line="300" w:lineRule="auto"/>
        <w:ind w:firstLine="420"/>
        <w:jc w:val="both"/>
      </w:pPr>
      <w:r>
        <w:rPr>
          <w:rFonts w:ascii="宋体" w:hAnsi="宋体" w:eastAsia="宋体"/>
          <w:sz w:val="21"/>
        </w:rPr>
        <w:t>玉器在中国传统文化中不仅是装饰品，也承载着礼制、审美和人格象征等多重意义。手镯作为常见玉饰之一，具有闭合环形结构、截面较细、边缘曲率较大的几何特征。在实际使用中，手镯跌落后常见的破坏形式包括局部崩缺、内外缘裂纹以及环向断裂。传统玉石加工和使用经验往往依赖工匠判断，能够概括“玉性”“韧性”和“瑕裂”等现象，但难以定量回答哪些跌落姿态更危险、跌落高度如何影响开裂风险、危险区域出现在接触点还是对侧内缘等工程问题。</w:t>
      </w:r>
    </w:p>
    <w:p w14:paraId="52C18E6A">
      <w:pPr>
        <w:spacing w:before="0" w:after="0" w:line="300" w:lineRule="auto"/>
        <w:ind w:firstLine="420"/>
        <w:jc w:val="both"/>
      </w:pPr>
      <w:r>
        <w:rPr>
          <w:rFonts w:ascii="宋体" w:hAnsi="宋体" w:eastAsia="宋体"/>
          <w:sz w:val="21"/>
        </w:rPr>
        <w:t>从力学角度看，玉石属于典型脆性或准脆性材料，其抗压能力通常高于抗拉能力，拉应力集中更容易诱发裂纹。若要直接模拟裂纹萌生和扩展，需要可靠的断裂韧度、损伤演化、缺陷分布和真实晶体织构等参数；这些参数对天然玉石而言具有明显离散性，课程论文条件下也不易完整获得。因此，本文不以裂纹扩展为直接目标，而采用最大主应力峰值作为潜在开裂风险的评价指标。该思路能够在不引入断裂损伤参数的情况下，对不同跌落工况的相对危险程度进行比较。</w:t>
      </w:r>
    </w:p>
    <w:p w14:paraId="13417A76">
      <w:pPr>
        <w:spacing w:before="0" w:after="0" w:line="300" w:lineRule="auto"/>
        <w:ind w:firstLine="420"/>
        <w:jc w:val="both"/>
      </w:pPr>
      <w:r>
        <w:rPr>
          <w:rFonts w:ascii="宋体" w:hAnsi="宋体" w:eastAsia="宋体"/>
          <w:sz w:val="21"/>
        </w:rPr>
        <w:t>有限元方法适合处理复杂几何、接触和瞬态动力学问题，但当高度、角度、摩擦等参数组合较多时，逐个运行显式动力学模型会增加计算成本。近年来，机器学习代理模型被广泛用于从有限元计算结果中学习输入参数与响应指标之间的映射关系，从而实现快速预测和参数敏感性分析。基于此，本文将</w:t>
      </w:r>
      <m:oMath>
        <m:r>
          <m:rPr>
            <m:sty m:val="p"/>
          </m:rPr>
          <w:rPr>
            <w:rFonts w:ascii="Cambria Math" w:hAnsi="Cambria Math" w:eastAsia="宋体" w:cstheme="minorBidi"/>
            <w:sz w:val="21"/>
            <w:szCs w:val="22"/>
            <w:lang w:val="en-US" w:bidi="ar-SA"/>
          </w:rPr>
          <m:t xml:space="preserve"> Abaqus </m:t>
        </m:r>
      </m:oMath>
      <w:r>
        <w:rPr>
          <w:rFonts w:ascii="宋体" w:hAnsi="宋体" w:eastAsia="宋体"/>
          <w:sz w:val="21"/>
        </w:rPr>
        <w:t>显式动力学仿真与机器学习回归模型结合，形成“有限元产生数据—AI 学习规律—快速预测风险”的研究流程。</w:t>
      </w:r>
    </w:p>
    <w:p w14:paraId="03C84CA1">
      <w:pPr>
        <w:spacing w:before="120" w:after="80" w:line="300" w:lineRule="auto"/>
        <w:jc w:val="left"/>
      </w:pPr>
      <w:r>
        <w:rPr>
          <w:rFonts w:ascii="黑体" w:hAnsi="黑体" w:eastAsia="黑体"/>
          <w:b/>
          <w:sz w:val="28"/>
        </w:rPr>
        <w:t>2 和田玉材料属性与跌落力学基础</w:t>
      </w:r>
    </w:p>
    <w:p w14:paraId="77C1F045">
      <w:pPr>
        <w:spacing w:before="120" w:after="80" w:line="300" w:lineRule="auto"/>
        <w:jc w:val="left"/>
      </w:pPr>
      <w:r>
        <w:rPr>
          <w:rFonts w:ascii="黑体" w:hAnsi="黑体" w:eastAsia="黑体"/>
          <w:b/>
          <w:sz w:val="21"/>
        </w:rPr>
        <w:t>2.1 和田玉的材料特征</w:t>
      </w:r>
    </w:p>
    <w:p w14:paraId="69079340">
      <w:pPr>
        <w:spacing w:before="0" w:after="0" w:line="300" w:lineRule="auto"/>
        <w:ind w:firstLine="420"/>
        <w:jc w:val="both"/>
      </w:pPr>
      <w:r>
        <w:rPr>
          <w:rFonts w:ascii="宋体" w:hAnsi="宋体" w:eastAsia="宋体"/>
          <w:sz w:val="21"/>
        </w:rPr>
        <w:t>和田玉通常归入软玉范畴。矿物学上，软玉并不是单一矿物，而是以透闪石—阳起石系列角闪石为主的细密纤维状集合体。文献指出，软玉的交织纤维结构是其高韧性的来源之一，这也是其能够长期用于礼器、饰品和雕刻材料的重要原因</w:t>
      </w:r>
      <w:r>
        <w:rPr>
          <w:rFonts w:ascii="宋体" w:hAnsi="宋体" w:eastAsia="宋体"/>
          <w:sz w:val="21"/>
          <w:vertAlign w:val="superscript"/>
        </w:rPr>
        <w:t>[1-3]</w:t>
      </w:r>
      <w:r>
        <w:rPr>
          <w:rFonts w:ascii="宋体" w:hAnsi="宋体" w:eastAsia="宋体"/>
          <w:sz w:val="21"/>
        </w:rPr>
        <w:t>。同时，软玉仍具有天然材料的非均质性，内部可能存在矿物颗粒差异、微裂纹、杂质和加工残余缺陷。因此，在工程仿真中使用均质各向同性线弹性模型是一种必要简化，所得结果更适合解释相对趋势，而不宜直接等同于真实断裂强度。</w:t>
      </w:r>
    </w:p>
    <w:p w14:paraId="17FC16B9">
      <w:pPr>
        <w:spacing w:before="0" w:after="0" w:line="300" w:lineRule="auto"/>
        <w:ind w:firstLine="420"/>
        <w:jc w:val="both"/>
      </w:pPr>
      <w:r>
        <w:rPr>
          <w:rFonts w:ascii="宋体" w:hAnsi="宋体" w:eastAsia="宋体"/>
          <w:sz w:val="21"/>
        </w:rPr>
        <w:t xml:space="preserve">本文参考软玉常见物性范围，将手镯材料取为线弹性玉石：弹性模量 E = 60000 MPa，泊松比 </w:t>
      </w:r>
      <m:oMath>
        <m:r>
          <m:rPr/>
          <w:rPr>
            <w:rFonts w:hint="default" w:ascii="Cambria Math" w:hAnsi="Cambria Math" w:eastAsia="宋体"/>
            <w:sz w:val="21"/>
          </w:rPr>
          <m:t>ν=0.25</m:t>
        </m:r>
      </m:oMath>
      <w:r>
        <w:rPr>
          <w:rFonts w:ascii="宋体" w:hAnsi="宋体" w:eastAsia="宋体"/>
          <w:sz w:val="21"/>
        </w:rPr>
        <w:t>，密度</w:t>
      </w:r>
      <m:oMath>
        <m:r>
          <m:rPr/>
          <w:rPr>
            <w:rFonts w:hint="default" w:ascii="Cambria Math" w:hAnsi="Cambria Math" w:eastAsia="宋体"/>
            <w:sz w:val="21"/>
          </w:rPr>
          <m:t>ρ=2.8×10⁻⁹</m:t>
        </m:r>
      </m:oMath>
      <w:r>
        <w:rPr>
          <w:rFonts w:ascii="宋体" w:hAnsi="宋体" w:eastAsia="宋体"/>
          <w:sz w:val="21"/>
        </w:rPr>
        <w:t xml:space="preserve"> tonne/mm³。该密度约对应</w:t>
      </w:r>
      <m:oMath>
        <m:r>
          <m:rPr/>
          <w:rPr>
            <w:rFonts w:hint="default" w:ascii="Cambria Math" w:hAnsi="Cambria Math" w:eastAsia="宋体"/>
            <w:sz w:val="21"/>
          </w:rPr>
          <m:t>2800kg/m³</m:t>
        </m:r>
      </m:oMath>
      <w:r>
        <w:rPr>
          <w:rFonts w:ascii="宋体" w:hAnsi="宋体" w:eastAsia="宋体"/>
          <w:sz w:val="21"/>
        </w:rPr>
        <w:t>，略低于部分文献中软玉</w:t>
      </w:r>
      <m:oMath>
        <m:r>
          <m:rPr/>
          <w:rPr>
            <w:rFonts w:hint="default" w:ascii="Cambria Math" w:hAnsi="Cambria Math" w:eastAsia="宋体"/>
            <w:sz w:val="21"/>
          </w:rPr>
          <m:t>2.9−3.1g/cm³</m:t>
        </m:r>
      </m:oMath>
      <w:r>
        <w:rPr>
          <w:rFonts w:ascii="宋体" w:hAnsi="宋体" w:eastAsia="宋体"/>
          <w:sz w:val="21"/>
        </w:rPr>
        <w:t>的鉴别范围</w:t>
      </w:r>
      <w:r>
        <w:rPr>
          <w:rFonts w:ascii="宋体" w:hAnsi="宋体" w:eastAsia="宋体"/>
          <w:sz w:val="21"/>
          <w:vertAlign w:val="superscript"/>
        </w:rPr>
        <w:t>[3]</w:t>
      </w:r>
      <w:r>
        <w:rPr>
          <w:rFonts w:ascii="宋体" w:hAnsi="宋体" w:eastAsia="宋体"/>
          <w:sz w:val="21"/>
        </w:rPr>
        <w:t>，但可作为课程仿真中的代表性参数。由于不同产地、结构和缺陷状态下的抗拉强度差异较大，本文取参考抗拉强度</w:t>
      </w:r>
      <m:oMath>
        <m:r>
          <m:rPr/>
          <w:rPr>
            <w:rFonts w:hint="default" w:ascii="Cambria Math" w:hAnsi="Cambria Math" w:eastAsia="宋体"/>
            <w:sz w:val="21"/>
          </w:rPr>
          <m:t>σₜ=30MPa</m:t>
        </m:r>
      </m:oMath>
      <w:r>
        <w:rPr>
          <w:rFonts w:ascii="宋体" w:hAnsi="宋体" w:eastAsia="宋体"/>
          <w:sz w:val="21"/>
        </w:rPr>
        <w:t>，仅用于定义相对风险指标。</w:t>
      </w:r>
    </w:p>
    <w:p w14:paraId="08B43485">
      <w:pPr>
        <w:spacing w:before="40" w:after="120"/>
        <w:jc w:val="center"/>
      </w:pPr>
      <w:r>
        <w:rPr>
          <w:rFonts w:ascii="宋体" w:hAnsi="宋体" w:eastAsia="宋体"/>
          <w:sz w:val="18"/>
        </w:rPr>
        <w:t>表 1  玉石手镯有限元模型主要参数</w:t>
      </w:r>
    </w:p>
    <w:tbl>
      <w:tblPr>
        <w:tblStyle w:val="32"/>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108" w:type="dxa"/>
          <w:bottom w:w="0" w:type="dxa"/>
          <w:right w:w="108" w:type="dxa"/>
        </w:tblCellMar>
      </w:tblPr>
      <w:tblGrid>
        <w:gridCol w:w="2309"/>
        <w:gridCol w:w="2309"/>
        <w:gridCol w:w="2309"/>
        <w:gridCol w:w="2309"/>
      </w:tblGrid>
      <w:tr w14:paraId="626E67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09" w:type="dxa"/>
            <w:vAlign w:val="center"/>
          </w:tcPr>
          <w:p w14:paraId="784FFE8A">
            <w:pPr>
              <w:jc w:val="center"/>
            </w:pPr>
            <w:r>
              <w:rPr>
                <w:rFonts w:ascii="宋体" w:hAnsi="宋体" w:eastAsia="宋体"/>
                <w:b/>
                <w:sz w:val="18"/>
              </w:rPr>
              <w:t>参数</w:t>
            </w:r>
          </w:p>
        </w:tc>
        <w:tc>
          <w:tcPr>
            <w:tcW w:w="2309" w:type="dxa"/>
            <w:vAlign w:val="center"/>
          </w:tcPr>
          <w:p w14:paraId="14CA67EF">
            <w:pPr>
              <w:jc w:val="center"/>
            </w:pPr>
            <w:r>
              <w:rPr>
                <w:rFonts w:ascii="宋体" w:hAnsi="宋体" w:eastAsia="宋体"/>
                <w:b/>
                <w:sz w:val="18"/>
              </w:rPr>
              <w:t>取值</w:t>
            </w:r>
          </w:p>
        </w:tc>
        <w:tc>
          <w:tcPr>
            <w:tcW w:w="2309" w:type="dxa"/>
            <w:vAlign w:val="center"/>
          </w:tcPr>
          <w:p w14:paraId="6F41FFCF">
            <w:pPr>
              <w:jc w:val="center"/>
            </w:pPr>
            <w:r>
              <w:rPr>
                <w:rFonts w:ascii="宋体" w:hAnsi="宋体" w:eastAsia="宋体"/>
                <w:b/>
                <w:sz w:val="18"/>
              </w:rPr>
              <w:t>单位</w:t>
            </w:r>
          </w:p>
        </w:tc>
        <w:tc>
          <w:tcPr>
            <w:tcW w:w="2309" w:type="dxa"/>
            <w:vAlign w:val="center"/>
          </w:tcPr>
          <w:p w14:paraId="57264878">
            <w:pPr>
              <w:jc w:val="center"/>
            </w:pPr>
            <w:r>
              <w:rPr>
                <w:rFonts w:ascii="宋体" w:hAnsi="宋体" w:eastAsia="宋体"/>
                <w:b/>
                <w:sz w:val="18"/>
              </w:rPr>
              <w:t>说明</w:t>
            </w:r>
          </w:p>
        </w:tc>
      </w:tr>
      <w:tr w14:paraId="0C86F80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jc w:val="center"/>
        </w:trPr>
        <w:tc>
          <w:tcPr>
            <w:tcW w:w="2309" w:type="dxa"/>
            <w:vAlign w:val="center"/>
          </w:tcPr>
          <w:p w14:paraId="3E930717">
            <w:pPr>
              <w:jc w:val="center"/>
              <w:rPr>
                <w:rFonts w:hint="eastAsia" w:eastAsia="宋体"/>
                <w:lang w:val="en-US" w:eastAsia="zh-CN"/>
              </w:rPr>
            </w:pPr>
            <w:r>
              <w:rPr>
                <w:rFonts w:ascii="宋体" w:hAnsi="宋体" w:eastAsia="宋体"/>
                <w:b w:val="0"/>
                <w:sz w:val="18"/>
              </w:rPr>
              <w:t xml:space="preserve">内径 </w:t>
            </w:r>
            <m:oMath>
              <m:sSub>
                <m:sSubPr>
                  <m:ctrlPr>
                    <w:rPr>
                      <w:rFonts w:hint="default" w:ascii="Cambria Math" w:hAnsi="Cambria Math" w:eastAsia="宋体"/>
                      <w:sz w:val="18"/>
                    </w:rPr>
                  </m:ctrlPr>
                </m:sSubPr>
                <m:e>
                  <m:r>
                    <m:rPr/>
                    <w:rPr>
                      <w:rFonts w:hint="default" w:ascii="Cambria Math" w:hAnsi="Cambria Math" w:eastAsia="宋体"/>
                      <w:sz w:val="18"/>
                    </w:rPr>
                    <m:t>D</m:t>
                  </m:r>
                  <m:ctrlPr>
                    <w:rPr>
                      <w:rFonts w:ascii="Cambria Math" w:hAnsi="Cambria Math" w:eastAsia="宋体"/>
                      <w:sz w:val="18"/>
                    </w:rPr>
                  </m:ctrlPr>
                </m:e>
                <m:sub>
                  <m:r>
                    <m:rPr/>
                    <w:rPr>
                      <w:rFonts w:hint="default" w:ascii="Cambria Math" w:hAnsi="Cambria Math" w:eastAsia="宋体"/>
                      <w:sz w:val="18"/>
                    </w:rPr>
                    <m:t>inner</m:t>
                  </m:r>
                  <m:ctrlPr>
                    <w:rPr>
                      <w:rFonts w:ascii="Cambria Math" w:hAnsi="Cambria Math" w:eastAsia="宋体"/>
                      <w:sz w:val="18"/>
                    </w:rPr>
                  </m:ctrlPr>
                </m:sub>
              </m:sSub>
            </m:oMath>
          </w:p>
        </w:tc>
        <w:tc>
          <w:tcPr>
            <w:tcW w:w="2309" w:type="dxa"/>
            <w:vAlign w:val="center"/>
          </w:tcPr>
          <w:p w14:paraId="2CE37828">
            <w:pPr>
              <w:jc w:val="center"/>
            </w:pPr>
            <w:r>
              <w:rPr>
                <w:rFonts w:ascii="宋体" w:hAnsi="宋体" w:eastAsia="宋体"/>
                <w:b w:val="0"/>
                <w:sz w:val="18"/>
              </w:rPr>
              <w:t>55</w:t>
            </w:r>
          </w:p>
        </w:tc>
        <w:tc>
          <w:tcPr>
            <w:tcW w:w="2309" w:type="dxa"/>
            <w:vAlign w:val="center"/>
          </w:tcPr>
          <w:p w14:paraId="3C4B65E8">
            <w:pPr>
              <w:jc w:val="center"/>
            </w:pPr>
            <w:r>
              <w:rPr>
                <w:rFonts w:ascii="宋体" w:hAnsi="宋体" w:eastAsia="宋体"/>
                <w:b w:val="0"/>
                <w:sz w:val="18"/>
              </w:rPr>
              <w:t>mm</w:t>
            </w:r>
          </w:p>
        </w:tc>
        <w:tc>
          <w:tcPr>
            <w:tcW w:w="2309" w:type="dxa"/>
            <w:vAlign w:val="center"/>
          </w:tcPr>
          <w:p w14:paraId="0CA3057E">
            <w:pPr>
              <w:jc w:val="center"/>
            </w:pPr>
            <w:r>
              <w:rPr>
                <w:rFonts w:ascii="宋体" w:hAnsi="宋体" w:eastAsia="宋体"/>
                <w:b w:val="0"/>
                <w:sz w:val="18"/>
              </w:rPr>
              <w:t>手镯内孔直径</w:t>
            </w:r>
          </w:p>
        </w:tc>
      </w:tr>
      <w:tr w14:paraId="0506C2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09" w:type="dxa"/>
            <w:vAlign w:val="center"/>
          </w:tcPr>
          <w:p w14:paraId="4AC31325">
            <w:pPr>
              <w:jc w:val="center"/>
            </w:pPr>
            <w:r>
              <w:rPr>
                <w:rFonts w:ascii="宋体" w:hAnsi="宋体" w:eastAsia="宋体"/>
                <w:b w:val="0"/>
                <w:sz w:val="18"/>
              </w:rPr>
              <w:t>圆环截面直径</w:t>
            </w:r>
            <m:oMath>
              <m:r>
                <m:rPr/>
                <w:rPr>
                  <w:rFonts w:hint="default" w:ascii="Cambria Math" w:hAnsi="Cambria Math" w:eastAsia="宋体"/>
                  <w:sz w:val="18"/>
                </w:rPr>
                <m:t>d</m:t>
              </m:r>
            </m:oMath>
          </w:p>
        </w:tc>
        <w:tc>
          <w:tcPr>
            <w:tcW w:w="2309" w:type="dxa"/>
            <w:vAlign w:val="center"/>
          </w:tcPr>
          <w:p w14:paraId="70EFF27E">
            <w:pPr>
              <w:jc w:val="center"/>
            </w:pPr>
            <w:r>
              <w:rPr>
                <w:rFonts w:ascii="宋体" w:hAnsi="宋体" w:eastAsia="宋体"/>
                <w:b w:val="0"/>
                <w:sz w:val="18"/>
              </w:rPr>
              <w:t>10</w:t>
            </w:r>
          </w:p>
        </w:tc>
        <w:tc>
          <w:tcPr>
            <w:tcW w:w="2309" w:type="dxa"/>
            <w:vAlign w:val="center"/>
          </w:tcPr>
          <w:p w14:paraId="2CFBDF27">
            <w:pPr>
              <w:jc w:val="center"/>
            </w:pPr>
            <w:r>
              <w:rPr>
                <w:rFonts w:ascii="宋体" w:hAnsi="宋体" w:eastAsia="宋体"/>
                <w:b w:val="0"/>
                <w:sz w:val="18"/>
              </w:rPr>
              <w:t>mm</w:t>
            </w:r>
          </w:p>
        </w:tc>
        <w:tc>
          <w:tcPr>
            <w:tcW w:w="2309" w:type="dxa"/>
            <w:vAlign w:val="center"/>
          </w:tcPr>
          <w:p w14:paraId="05BD99A0">
            <w:pPr>
              <w:jc w:val="center"/>
            </w:pPr>
            <w:r>
              <w:rPr>
                <w:rFonts w:ascii="宋体" w:hAnsi="宋体" w:eastAsia="宋体"/>
                <w:b w:val="0"/>
                <w:sz w:val="18"/>
              </w:rPr>
              <w:t>圆形截面简化</w:t>
            </w:r>
          </w:p>
        </w:tc>
      </w:tr>
      <w:tr w14:paraId="534F718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09" w:type="dxa"/>
            <w:vAlign w:val="center"/>
          </w:tcPr>
          <w:p w14:paraId="72F23365">
            <w:pPr>
              <w:jc w:val="center"/>
            </w:pPr>
            <w:r>
              <w:rPr>
                <w:rFonts w:ascii="宋体" w:hAnsi="宋体" w:eastAsia="宋体"/>
                <w:b w:val="0"/>
                <w:sz w:val="18"/>
              </w:rPr>
              <w:t>弹性模量</w:t>
            </w:r>
            <m:oMath>
              <m:r>
                <m:rPr/>
                <w:rPr>
                  <w:rFonts w:hint="default" w:ascii="Cambria Math" w:hAnsi="Cambria Math" w:eastAsia="宋体"/>
                  <w:sz w:val="18"/>
                </w:rPr>
                <m:t>E</m:t>
              </m:r>
            </m:oMath>
          </w:p>
        </w:tc>
        <w:tc>
          <w:tcPr>
            <w:tcW w:w="2309" w:type="dxa"/>
            <w:vAlign w:val="center"/>
          </w:tcPr>
          <w:p w14:paraId="7FEA6796">
            <w:pPr>
              <w:jc w:val="center"/>
            </w:pPr>
            <w:r>
              <w:rPr>
                <w:rFonts w:ascii="宋体" w:hAnsi="宋体" w:eastAsia="宋体"/>
                <w:b w:val="0"/>
                <w:sz w:val="18"/>
              </w:rPr>
              <w:t>60000</w:t>
            </w:r>
          </w:p>
        </w:tc>
        <w:tc>
          <w:tcPr>
            <w:tcW w:w="2309" w:type="dxa"/>
            <w:vAlign w:val="center"/>
          </w:tcPr>
          <w:p w14:paraId="7E0D8FB1">
            <w:pPr>
              <w:jc w:val="center"/>
            </w:pPr>
            <w:r>
              <w:rPr>
                <w:rFonts w:ascii="宋体" w:hAnsi="宋体" w:eastAsia="宋体"/>
                <w:b w:val="0"/>
                <w:sz w:val="18"/>
              </w:rPr>
              <w:t>MPa</w:t>
            </w:r>
          </w:p>
        </w:tc>
        <w:tc>
          <w:tcPr>
            <w:tcW w:w="2309" w:type="dxa"/>
            <w:vAlign w:val="center"/>
          </w:tcPr>
          <w:p w14:paraId="5AC3A928">
            <w:pPr>
              <w:jc w:val="center"/>
            </w:pPr>
            <w:r>
              <w:rPr>
                <w:rFonts w:ascii="宋体" w:hAnsi="宋体" w:eastAsia="宋体"/>
                <w:b w:val="0"/>
                <w:sz w:val="18"/>
              </w:rPr>
              <w:t>线弹性近似</w:t>
            </w:r>
          </w:p>
        </w:tc>
      </w:tr>
      <w:tr w14:paraId="1F26683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09" w:type="dxa"/>
            <w:vAlign w:val="center"/>
          </w:tcPr>
          <w:p w14:paraId="70CC3525">
            <w:pPr>
              <w:jc w:val="center"/>
            </w:pPr>
            <w:r>
              <w:rPr>
                <w:rFonts w:ascii="宋体" w:hAnsi="宋体" w:eastAsia="宋体"/>
                <w:b w:val="0"/>
                <w:sz w:val="18"/>
              </w:rPr>
              <w:t>泊松比</w:t>
            </w:r>
            <m:oMath>
              <m:r>
                <m:rPr/>
                <w:rPr>
                  <w:rFonts w:hint="default" w:ascii="Cambria Math" w:hAnsi="Cambria Math" w:eastAsia="宋体"/>
                  <w:sz w:val="18"/>
                </w:rPr>
                <m:t>ν</m:t>
              </m:r>
            </m:oMath>
          </w:p>
        </w:tc>
        <w:tc>
          <w:tcPr>
            <w:tcW w:w="2309" w:type="dxa"/>
            <w:vAlign w:val="center"/>
          </w:tcPr>
          <w:p w14:paraId="0B203A63">
            <w:pPr>
              <w:jc w:val="center"/>
            </w:pPr>
            <w:r>
              <w:rPr>
                <w:rFonts w:ascii="宋体" w:hAnsi="宋体" w:eastAsia="宋体"/>
                <w:b w:val="0"/>
                <w:sz w:val="18"/>
              </w:rPr>
              <w:t>0.25</w:t>
            </w:r>
          </w:p>
        </w:tc>
        <w:tc>
          <w:tcPr>
            <w:tcW w:w="2309" w:type="dxa"/>
            <w:vAlign w:val="center"/>
          </w:tcPr>
          <w:p w14:paraId="083AD49B">
            <w:pPr>
              <w:jc w:val="center"/>
            </w:pPr>
            <w:r>
              <w:rPr>
                <w:rFonts w:ascii="宋体" w:hAnsi="宋体" w:eastAsia="宋体"/>
                <w:b w:val="0"/>
                <w:sz w:val="18"/>
              </w:rPr>
              <w:t>-</w:t>
            </w:r>
          </w:p>
        </w:tc>
        <w:tc>
          <w:tcPr>
            <w:tcW w:w="2309" w:type="dxa"/>
            <w:vAlign w:val="center"/>
          </w:tcPr>
          <w:p w14:paraId="50B74D41">
            <w:pPr>
              <w:jc w:val="center"/>
            </w:pPr>
            <w:r>
              <w:rPr>
                <w:rFonts w:ascii="宋体" w:hAnsi="宋体" w:eastAsia="宋体"/>
                <w:b w:val="0"/>
                <w:sz w:val="18"/>
              </w:rPr>
              <w:t>各向同性近似</w:t>
            </w:r>
          </w:p>
        </w:tc>
      </w:tr>
      <w:tr w14:paraId="498C8BA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09" w:type="dxa"/>
            <w:vAlign w:val="center"/>
          </w:tcPr>
          <w:p w14:paraId="3E69962C">
            <w:pPr>
              <w:jc w:val="center"/>
            </w:pPr>
            <w:r>
              <w:rPr>
                <w:rFonts w:ascii="宋体" w:hAnsi="宋体" w:eastAsia="宋体"/>
                <w:b w:val="0"/>
                <w:sz w:val="18"/>
              </w:rPr>
              <w:t>密度</w:t>
            </w:r>
            <m:oMath>
              <m:r>
                <m:rPr/>
                <w:rPr>
                  <w:rFonts w:hint="default" w:ascii="Cambria Math" w:hAnsi="Cambria Math" w:eastAsia="宋体"/>
                  <w:sz w:val="18"/>
                </w:rPr>
                <m:t>ρ</m:t>
              </m:r>
            </m:oMath>
          </w:p>
        </w:tc>
        <w:tc>
          <w:tcPr>
            <w:tcW w:w="2309" w:type="dxa"/>
            <w:vAlign w:val="center"/>
          </w:tcPr>
          <w:p w14:paraId="3E99C318">
            <w:pPr>
              <w:jc w:val="center"/>
            </w:pPr>
            <m:oMathPara>
              <m:oMath>
                <m:r>
                  <m:rPr/>
                  <w:rPr>
                    <w:rFonts w:hint="default" w:ascii="Cambria Math" w:hAnsi="Cambria Math" w:eastAsia="宋体"/>
                    <w:sz w:val="18"/>
                  </w:rPr>
                  <m:t>2.8×10⁻⁹</m:t>
                </m:r>
              </m:oMath>
            </m:oMathPara>
          </w:p>
        </w:tc>
        <w:tc>
          <w:tcPr>
            <w:tcW w:w="2309" w:type="dxa"/>
            <w:vAlign w:val="center"/>
          </w:tcPr>
          <w:p w14:paraId="69EBC641">
            <w:pPr>
              <w:jc w:val="center"/>
            </w:pPr>
            <w:r>
              <w:rPr>
                <w:rFonts w:ascii="宋体" w:hAnsi="宋体" w:eastAsia="宋体"/>
                <w:b w:val="0"/>
                <w:sz w:val="18"/>
              </w:rPr>
              <w:t>tonne/mm³</w:t>
            </w:r>
          </w:p>
        </w:tc>
        <w:tc>
          <w:tcPr>
            <w:tcW w:w="2309" w:type="dxa"/>
            <w:vAlign w:val="center"/>
          </w:tcPr>
          <w:p w14:paraId="5ABD7D0C">
            <w:pPr>
              <w:jc w:val="center"/>
            </w:pPr>
            <w:r>
              <w:rPr>
                <w:rFonts w:ascii="宋体" w:hAnsi="宋体" w:eastAsia="宋体"/>
                <w:b w:val="0"/>
                <w:sz w:val="18"/>
              </w:rPr>
              <w:t>约 2800 kg/m³</w:t>
            </w:r>
          </w:p>
        </w:tc>
      </w:tr>
      <w:tr w14:paraId="5D91715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2309" w:type="dxa"/>
            <w:vAlign w:val="center"/>
          </w:tcPr>
          <w:p w14:paraId="68AE7BA9">
            <w:pPr>
              <w:jc w:val="center"/>
            </w:pPr>
            <w:r>
              <w:rPr>
                <w:rFonts w:ascii="宋体" w:hAnsi="宋体" w:eastAsia="宋体"/>
                <w:b w:val="0"/>
                <w:sz w:val="18"/>
              </w:rPr>
              <w:t xml:space="preserve">参考抗拉强度 </w:t>
            </w:r>
            <m:oMath>
              <m:r>
                <m:rPr/>
                <w:rPr>
                  <w:rFonts w:hint="default" w:ascii="Cambria Math" w:hAnsi="Cambria Math" w:eastAsia="宋体"/>
                  <w:sz w:val="18"/>
                </w:rPr>
                <m:t>σₜ</m:t>
              </m:r>
            </m:oMath>
          </w:p>
        </w:tc>
        <w:tc>
          <w:tcPr>
            <w:tcW w:w="2309" w:type="dxa"/>
            <w:vAlign w:val="center"/>
          </w:tcPr>
          <w:p w14:paraId="08659F16">
            <w:pPr>
              <w:jc w:val="center"/>
            </w:pPr>
            <w:r>
              <w:rPr>
                <w:rFonts w:ascii="宋体" w:hAnsi="宋体" w:eastAsia="宋体"/>
                <w:b w:val="0"/>
                <w:sz w:val="18"/>
              </w:rPr>
              <w:t>30</w:t>
            </w:r>
          </w:p>
        </w:tc>
        <w:tc>
          <w:tcPr>
            <w:tcW w:w="2309" w:type="dxa"/>
            <w:vAlign w:val="center"/>
          </w:tcPr>
          <w:p w14:paraId="50948F8C">
            <w:pPr>
              <w:jc w:val="center"/>
            </w:pPr>
            <w:r>
              <w:rPr>
                <w:rFonts w:ascii="宋体" w:hAnsi="宋体" w:eastAsia="宋体"/>
                <w:b w:val="0"/>
                <w:sz w:val="18"/>
              </w:rPr>
              <w:t>MPa</w:t>
            </w:r>
          </w:p>
        </w:tc>
        <w:tc>
          <w:tcPr>
            <w:tcW w:w="2309" w:type="dxa"/>
            <w:vAlign w:val="center"/>
          </w:tcPr>
          <w:p w14:paraId="580A864A">
            <w:pPr>
              <w:jc w:val="center"/>
            </w:pPr>
            <w:r>
              <w:rPr>
                <w:rFonts w:ascii="宋体" w:hAnsi="宋体" w:eastAsia="宋体"/>
                <w:b w:val="0"/>
                <w:sz w:val="18"/>
              </w:rPr>
              <w:t>用于风险评价</w:t>
            </w:r>
          </w:p>
        </w:tc>
      </w:tr>
    </w:tbl>
    <w:p w14:paraId="469548B1"/>
    <w:p w14:paraId="120DC7C2">
      <w:pPr>
        <w:spacing w:before="120" w:after="80" w:line="300" w:lineRule="auto"/>
        <w:jc w:val="left"/>
      </w:pPr>
      <w:r>
        <w:rPr>
          <w:rFonts w:ascii="黑体" w:hAnsi="黑体" w:eastAsia="黑体"/>
          <w:b/>
          <w:sz w:val="21"/>
        </w:rPr>
        <w:t>2.2 跌落冲击控制方程与风险指标</w:t>
      </w:r>
    </w:p>
    <w:p w14:paraId="1947C094">
      <w:pPr>
        <w:spacing w:before="0" w:after="0" w:line="300" w:lineRule="auto"/>
        <w:ind w:firstLine="420"/>
        <w:jc w:val="both"/>
      </w:pPr>
      <w:r>
        <w:rPr>
          <w:rFonts w:ascii="宋体" w:hAnsi="宋体" w:eastAsia="宋体"/>
          <w:sz w:val="21"/>
        </w:rPr>
        <w:t>跌落过程属于瞬态接触动力学问题。采用初速度法时，不必在模型中真实模拟从高处自由落体的全过程，而是根据能量守恒将跌落高度 h 转换为撞击前初速度 v₀：</w:t>
      </w:r>
    </w:p>
    <w:p w14:paraId="58EE92E5">
      <w:pPr>
        <w:spacing w:before="40" w:after="40"/>
        <w:jc w:val="center"/>
      </w:pPr>
      <m:oMath>
        <m:sSub>
          <m:sSubPr>
            <m:ctrlPr>
              <w:rPr>
                <w:rFonts w:hint="default" w:ascii="Cambria Math" w:hAnsi="Cambria Math"/>
                <w:sz w:val="21"/>
              </w:rPr>
            </m:ctrlPr>
          </m:sSubPr>
          <m:e>
            <m:r>
              <m:rPr/>
              <w:rPr>
                <w:rFonts w:hint="default" w:ascii="Cambria Math" w:hAnsi="Cambria Math"/>
                <w:sz w:val="21"/>
              </w:rPr>
              <m:t>v</m:t>
            </m:r>
            <m:ctrlPr>
              <w:rPr>
                <w:rFonts w:ascii="Cambria Math" w:hAnsi="Cambria Math"/>
                <w:sz w:val="21"/>
              </w:rPr>
            </m:ctrlPr>
          </m:e>
          <m:sub>
            <m:r>
              <m:rPr/>
              <w:rPr>
                <w:rFonts w:hint="default" w:ascii="Cambria Math" w:hAnsi="Cambria Math"/>
                <w:sz w:val="21"/>
              </w:rPr>
              <m:t>o</m:t>
            </m:r>
            <m:ctrlPr>
              <w:rPr>
                <w:rFonts w:ascii="Cambria Math" w:hAnsi="Cambria Math"/>
                <w:sz w:val="21"/>
              </w:rPr>
            </m:ctrlPr>
          </m:sub>
        </m:sSub>
        <m:r>
          <m:rPr/>
          <w:rPr>
            <w:rFonts w:hint="default" w:ascii="Cambria Math" w:hAnsi="Cambria Math"/>
            <w:sz w:val="21"/>
          </w:rPr>
          <m:t>=</m:t>
        </m:r>
        <m:rad>
          <m:radPr>
            <m:degHide m:val="1"/>
            <m:ctrlPr>
              <w:rPr>
                <w:rFonts w:hint="default" w:ascii="Cambria Math" w:hAnsi="Cambria Math"/>
                <w:sz w:val="21"/>
              </w:rPr>
            </m:ctrlPr>
          </m:radPr>
          <m:deg>
            <m:ctrlPr>
              <w:rPr>
                <w:rFonts w:ascii="Cambria Math" w:hAnsi="Cambria Math"/>
                <w:sz w:val="21"/>
              </w:rPr>
            </m:ctrlPr>
          </m:deg>
          <m:e>
            <m:r>
              <m:rPr/>
              <w:rPr>
                <w:rFonts w:hint="default" w:ascii="Cambria Math" w:hAnsi="Cambria Math"/>
                <w:sz w:val="21"/>
              </w:rPr>
              <m:t>(2gh)</m:t>
            </m:r>
            <m:ctrlPr>
              <w:rPr>
                <w:rFonts w:ascii="Cambria Math" w:hAnsi="Cambria Math"/>
                <w:sz w:val="21"/>
              </w:rPr>
            </m:ctrlPr>
          </m:e>
        </m:rad>
      </m:oMath>
      <w:r>
        <w:rPr>
          <w:rFonts w:ascii="Times New Roman" w:hAnsi="Times New Roman" w:eastAsia="宋体"/>
          <w:sz w:val="21"/>
        </w:rPr>
        <w:t>（1）</w:t>
      </w:r>
    </w:p>
    <w:p w14:paraId="15D2F52A">
      <w:pPr>
        <w:spacing w:before="0" w:after="0" w:line="300" w:lineRule="auto"/>
        <w:ind w:firstLine="420"/>
        <w:jc w:val="both"/>
      </w:pPr>
      <w:r>
        <w:rPr>
          <w:rFonts w:ascii="宋体" w:hAnsi="宋体" w:eastAsia="宋体"/>
          <w:sz w:val="21"/>
        </w:rPr>
        <w:t>其中 g = 9800 mm/s²，h 以 mm 计。显式动力学求解中，结构运动满足动量平衡关系：</w:t>
      </w:r>
    </w:p>
    <w:p w14:paraId="72765332">
      <w:pPr>
        <w:spacing w:before="40" w:after="40"/>
        <w:jc w:val="center"/>
      </w:pPr>
      <w:r>
        <w:rPr>
          <w:rFonts w:ascii="Times New Roman" w:hAnsi="Times New Roman" w:eastAsia="宋体"/>
          <w:sz w:val="21"/>
        </w:rPr>
        <w:t>ρ ü = ∇·σ + ρb     （2）</w:t>
      </w:r>
    </w:p>
    <w:p w14:paraId="05A88C84">
      <w:pPr>
        <w:spacing w:before="0" w:after="0" w:line="300" w:lineRule="auto"/>
        <w:ind w:firstLine="420"/>
        <w:jc w:val="both"/>
      </w:pPr>
      <w:r>
        <w:rPr>
          <w:rFonts w:ascii="宋体" w:hAnsi="宋体" w:eastAsia="宋体"/>
          <w:sz w:val="21"/>
        </w:rPr>
        <w:t>对于小变形线弹性近似，应力与应变满足：</w:t>
      </w:r>
    </w:p>
    <w:p w14:paraId="4DD922C1">
      <w:pPr>
        <w:spacing w:before="40" w:after="40"/>
        <w:jc w:val="center"/>
      </w:pPr>
      <m:oMath>
        <m:r>
          <m:rPr/>
          <w:rPr>
            <w:rFonts w:hint="default" w:ascii="Cambria Math" w:hAnsi="Cambria Math" w:eastAsia="宋体"/>
            <w:sz w:val="21"/>
          </w:rPr>
          <m:t>σ=Dε</m:t>
        </m:r>
      </m:oMath>
      <w:r>
        <w:rPr>
          <w:rFonts w:ascii="Times New Roman" w:hAnsi="Times New Roman" w:eastAsia="宋体"/>
          <w:sz w:val="21"/>
        </w:rPr>
        <w:t xml:space="preserve">，    </w:t>
      </w:r>
      <m:oMath>
        <m:r>
          <m:rPr/>
          <w:rPr>
            <w:rFonts w:hint="default" w:ascii="Cambria Math" w:hAnsi="Cambria Math" w:eastAsia="宋体"/>
            <w:sz w:val="21"/>
          </w:rPr>
          <m:t>ε=1/2(∇u+∇uᵀ)</m:t>
        </m:r>
      </m:oMath>
      <w:r>
        <w:rPr>
          <w:rFonts w:ascii="Times New Roman" w:hAnsi="Times New Roman" w:eastAsia="宋体"/>
          <w:sz w:val="21"/>
        </w:rPr>
        <w:t xml:space="preserve">    （3）</w:t>
      </w:r>
    </w:p>
    <w:p w14:paraId="6F952781">
      <w:pPr>
        <w:spacing w:before="0" w:after="0" w:line="300" w:lineRule="auto"/>
        <w:ind w:firstLine="420"/>
        <w:jc w:val="both"/>
      </w:pPr>
      <w:r>
        <w:rPr>
          <w:rFonts w:ascii="宋体" w:hAnsi="宋体" w:eastAsia="宋体"/>
          <w:sz w:val="21"/>
        </w:rPr>
        <w:t>玉石类脆性材料在拉应力作用下更易开裂，因此本文选择最大主应力</w:t>
      </w:r>
      <m:oMath>
        <m:sSub>
          <m:sSubPr>
            <m:ctrlPr>
              <w:rPr>
                <w:rFonts w:hint="default" w:ascii="Cambria Math" w:hAnsi="Cambria Math" w:eastAsia="宋体"/>
                <w:sz w:val="21"/>
              </w:rPr>
            </m:ctrlPr>
          </m:sSubPr>
          <m:e>
            <m:r>
              <m:rPr/>
              <w:rPr>
                <w:rFonts w:hint="default" w:ascii="Cambria Math" w:hAnsi="Cambria Math" w:eastAsia="宋体"/>
                <w:sz w:val="21"/>
              </w:rPr>
              <m:t>S</m:t>
            </m:r>
            <m:ctrlPr>
              <w:rPr>
                <w:rFonts w:ascii="Cambria Math" w:hAnsi="Cambria Math" w:eastAsia="宋体"/>
                <w:sz w:val="21"/>
              </w:rPr>
            </m:ctrlPr>
          </m:e>
          <m:sub>
            <m:r>
              <m:rPr/>
              <w:rPr>
                <w:rFonts w:hint="default" w:ascii="Cambria Math" w:hAnsi="Cambria Math" w:eastAsia="宋体"/>
                <w:sz w:val="21"/>
              </w:rPr>
              <m:t>1,max</m:t>
            </m:r>
            <m:ctrlPr>
              <w:rPr>
                <w:rFonts w:ascii="Cambria Math" w:hAnsi="Cambria Math" w:eastAsia="宋体"/>
                <w:sz w:val="21"/>
              </w:rPr>
            </m:ctrlPr>
          </m:sub>
        </m:sSub>
      </m:oMath>
      <w:r>
        <w:rPr>
          <w:rFonts w:ascii="宋体" w:hAnsi="宋体" w:eastAsia="宋体"/>
          <w:sz w:val="21"/>
        </w:rPr>
        <w:t xml:space="preserve"> 作为主要评价量。定义开裂风险系数：</w:t>
      </w:r>
    </w:p>
    <w:p w14:paraId="35927F69">
      <w:pPr>
        <w:spacing w:before="40" w:after="40"/>
        <w:jc w:val="center"/>
      </w:pPr>
      <m:oMath>
        <m:r>
          <m:rPr/>
          <w:rPr>
            <w:rFonts w:hint="default" w:ascii="Cambria Math" w:hAnsi="Cambria Math" w:eastAsia="宋体"/>
            <w:sz w:val="21"/>
          </w:rPr>
          <m:t>Rₜ=</m:t>
        </m:r>
        <m:sSub>
          <m:sSubPr>
            <m:ctrlPr>
              <w:rPr>
                <w:rFonts w:hint="default" w:ascii="Cambria Math" w:hAnsi="Cambria Math" w:eastAsia="宋体"/>
                <w:sz w:val="21"/>
              </w:rPr>
            </m:ctrlPr>
          </m:sSubPr>
          <m:e>
            <m:r>
              <m:rPr/>
              <w:rPr>
                <w:rFonts w:hint="default" w:ascii="Cambria Math" w:hAnsi="Cambria Math" w:eastAsia="宋体"/>
                <w:sz w:val="21"/>
              </w:rPr>
              <m:t>S</m:t>
            </m:r>
            <m:ctrlPr>
              <w:rPr>
                <w:rFonts w:ascii="Cambria Math" w:hAnsi="Cambria Math" w:eastAsia="宋体"/>
                <w:sz w:val="21"/>
              </w:rPr>
            </m:ctrlPr>
          </m:e>
          <m:sub>
            <m:r>
              <m:rPr/>
              <w:rPr>
                <w:rFonts w:hint="default" w:ascii="Cambria Math" w:hAnsi="Cambria Math" w:eastAsia="宋体"/>
                <w:sz w:val="21"/>
              </w:rPr>
              <m:t>1,max</m:t>
            </m:r>
            <m:ctrlPr>
              <w:rPr>
                <w:rFonts w:ascii="Cambria Math" w:hAnsi="Cambria Math" w:eastAsia="宋体"/>
                <w:sz w:val="21"/>
              </w:rPr>
            </m:ctrlPr>
          </m:sub>
        </m:sSub>
        <m:r>
          <m:rPr/>
          <w:rPr>
            <w:rFonts w:hint="default" w:ascii="Cambria Math" w:hAnsi="Cambria Math" w:eastAsia="宋体"/>
            <w:sz w:val="21"/>
          </w:rPr>
          <m:t>/σₜ</m:t>
        </m:r>
      </m:oMath>
      <w:r>
        <w:rPr>
          <w:rFonts w:ascii="Times New Roman" w:hAnsi="Times New Roman" w:eastAsia="宋体"/>
          <w:sz w:val="21"/>
        </w:rPr>
        <w:t xml:space="preserve">   （4）</w:t>
      </w:r>
    </w:p>
    <w:p w14:paraId="1A15CD81">
      <w:pPr>
        <w:spacing w:before="0" w:after="0" w:line="300" w:lineRule="auto"/>
        <w:ind w:firstLine="420"/>
        <w:jc w:val="both"/>
      </w:pPr>
      <w:r>
        <w:rPr>
          <w:rFonts w:ascii="宋体" w:hAnsi="宋体" w:eastAsia="宋体"/>
          <w:sz w:val="21"/>
        </w:rPr>
        <w:t xml:space="preserve">当 </w:t>
      </w:r>
      <m:oMath>
        <m:r>
          <m:rPr/>
          <w:rPr>
            <w:rFonts w:hint="default" w:ascii="Cambria Math" w:hAnsi="Cambria Math" w:eastAsia="宋体"/>
            <w:sz w:val="21"/>
          </w:rPr>
          <m:t>Rₜ&lt;0.5</m:t>
        </m:r>
      </m:oMath>
      <w:r>
        <w:rPr>
          <w:rFonts w:ascii="宋体" w:hAnsi="宋体" w:eastAsia="宋体"/>
          <w:sz w:val="21"/>
        </w:rPr>
        <w:t>时定义为低风险，</w:t>
      </w:r>
      <m:oMath>
        <m:r>
          <m:rPr/>
          <w:rPr>
            <w:rFonts w:hint="default" w:ascii="Cambria Math" w:hAnsi="Cambria Math" w:eastAsia="宋体"/>
            <w:sz w:val="21"/>
          </w:rPr>
          <m:t>0.5≤Rₜ&lt;1.0</m:t>
        </m:r>
      </m:oMath>
      <w:r>
        <w:rPr>
          <w:rFonts w:ascii="宋体" w:hAnsi="宋体" w:eastAsia="宋体"/>
          <w:sz w:val="21"/>
        </w:rPr>
        <w:t>为中风险，</w:t>
      </w:r>
      <m:oMath>
        <m:r>
          <m:rPr/>
          <w:rPr>
            <w:rFonts w:hint="default" w:ascii="Cambria Math" w:hAnsi="Cambria Math" w:eastAsia="宋体"/>
            <w:sz w:val="21"/>
          </w:rPr>
          <m:t>Rₜ≥1.0</m:t>
        </m:r>
      </m:oMath>
      <w:r>
        <w:rPr>
          <w:rFonts w:ascii="宋体" w:hAnsi="宋体" w:eastAsia="宋体"/>
          <w:sz w:val="21"/>
        </w:rPr>
        <w:t>为高风险。需要指出的是，该判据用于比较不同工况的相对危险性，而不是宣称模型已经真实预测裂纹扩展。</w:t>
      </w:r>
    </w:p>
    <w:p w14:paraId="5CA30FA0">
      <w:pPr>
        <w:spacing w:before="120" w:after="80" w:line="300" w:lineRule="auto"/>
        <w:jc w:val="left"/>
      </w:pPr>
      <w:r>
        <w:rPr>
          <w:rFonts w:ascii="黑体" w:hAnsi="黑体" w:eastAsia="黑体"/>
          <w:b/>
          <w:sz w:val="28"/>
        </w:rPr>
        <w:t>3 Abaqus 显式动力学模型与自动化实现</w:t>
      </w:r>
    </w:p>
    <w:p w14:paraId="5B99A254">
      <w:pPr>
        <w:spacing w:before="120" w:after="80" w:line="300" w:lineRule="auto"/>
        <w:jc w:val="left"/>
      </w:pPr>
      <w:r>
        <w:rPr>
          <w:rFonts w:ascii="黑体" w:hAnsi="黑体" w:eastAsia="黑体"/>
          <w:b/>
          <w:sz w:val="21"/>
        </w:rPr>
        <w:t>3.1 几何、装配与工况设计</w:t>
      </w:r>
    </w:p>
    <w:p w14:paraId="00D870AA">
      <w:pPr>
        <w:spacing w:before="0" w:after="0" w:line="300" w:lineRule="auto"/>
        <w:ind w:firstLine="420"/>
        <w:jc w:val="both"/>
      </w:pPr>
      <w:r>
        <w:rPr>
          <w:rFonts w:ascii="宋体" w:hAnsi="宋体" w:eastAsia="宋体"/>
          <w:sz w:val="21"/>
        </w:rPr>
        <w:t>为突出跌落姿态和高度对冲击响应的影响，本文将手镯简化为规则圆环实体，内径 55 mm，圆形截面直径 10 mm。地面设为离散刚体平面，手镯为可变形体。装配时先绕固定轴旋转手镯以获得不同跌落姿态，再根据圆环几何公式自动平移手镯，使最低点始终位于地面上方 0.1 mm，避免初始过闭合造成非物理接触力。设圆环中心线半径为 R，截面半径为 r，倾角为 θ，则旋转后最低点相对于手镯中心的高度约为</w:t>
      </w:r>
      <m:oMath>
        <m:r>
          <m:rPr/>
          <w:rPr>
            <w:rFonts w:hint="default" w:ascii="Cambria Math" w:hAnsi="Cambria Math" w:eastAsia="宋体"/>
            <w:sz w:val="21"/>
          </w:rPr>
          <m:t>−R|sinθ|−r</m:t>
        </m:r>
      </m:oMath>
      <w:r>
        <w:rPr>
          <w:rFonts w:ascii="宋体" w:hAnsi="宋体" w:eastAsia="宋体"/>
          <w:sz w:val="21"/>
        </w:rPr>
        <w:t>，因此手镯中心高度取为：</w:t>
      </w:r>
    </w:p>
    <w:p w14:paraId="6E09CADE">
      <w:pPr>
        <w:spacing w:before="40" w:after="40"/>
        <w:jc w:val="center"/>
      </w:pPr>
      <m:oMath>
        <m:sSub>
          <m:sSubPr>
            <m:ctrlPr>
              <w:rPr>
                <w:rFonts w:hint="default" w:ascii="Cambria Math" w:hAnsi="Cambria Math" w:eastAsia="宋体"/>
                <w:sz w:val="21"/>
              </w:rPr>
            </m:ctrlPr>
          </m:sSubPr>
          <m:e>
            <m:r>
              <m:rPr/>
              <w:rPr>
                <w:rFonts w:hint="default" w:ascii="Cambria Math" w:hAnsi="Cambria Math" w:eastAsia="宋体"/>
                <w:sz w:val="21"/>
              </w:rPr>
              <m:t>z</m:t>
            </m:r>
            <m:ctrlPr>
              <w:rPr>
                <w:rFonts w:ascii="Cambria Math" w:hAnsi="Cambria Math" w:eastAsia="宋体"/>
                <w:sz w:val="21"/>
              </w:rPr>
            </m:ctrlPr>
          </m:e>
          <m:sub>
            <m:r>
              <m:rPr/>
              <w:rPr>
                <w:rFonts w:hint="default" w:ascii="Cambria Math" w:hAnsi="Cambria Math" w:eastAsia="宋体"/>
                <w:sz w:val="21"/>
              </w:rPr>
              <m:t>center</m:t>
            </m:r>
            <m:ctrlPr>
              <w:rPr>
                <w:rFonts w:ascii="Cambria Math" w:hAnsi="Cambria Math" w:eastAsia="宋体"/>
                <w:sz w:val="21"/>
              </w:rPr>
            </m:ctrlPr>
          </m:sub>
        </m:sSub>
        <m:r>
          <m:rPr/>
          <w:rPr>
            <w:rFonts w:hint="default" w:ascii="Cambria Math" w:hAnsi="Cambria Math" w:eastAsia="宋体"/>
            <w:sz w:val="21"/>
          </w:rPr>
          <m:t>=gap+R|sinθ|+r</m:t>
        </m:r>
      </m:oMath>
      <w:r>
        <w:rPr>
          <w:rFonts w:ascii="Times New Roman" w:hAnsi="Times New Roman" w:eastAsia="宋体"/>
          <w:sz w:val="21"/>
        </w:rPr>
        <w:t xml:space="preserve">    （5）</w:t>
      </w:r>
    </w:p>
    <w:p w14:paraId="18E87F4F">
      <w:pPr>
        <w:spacing w:before="0" w:after="0" w:line="300" w:lineRule="auto"/>
        <w:ind w:firstLine="420"/>
        <w:jc w:val="both"/>
      </w:pPr>
      <w:r>
        <w:rPr>
          <w:rFonts w:ascii="宋体" w:hAnsi="宋体" w:eastAsia="宋体"/>
          <w:sz w:val="21"/>
        </w:rPr>
        <w:t>本文共建立 25 组有限元工况，跌落高度 h 取</w:t>
      </w:r>
      <m:oMath>
        <m:r>
          <m:rPr/>
          <w:rPr>
            <w:rFonts w:hint="default" w:ascii="Cambria Math" w:hAnsi="Cambria Math" w:eastAsia="宋体"/>
            <w:sz w:val="21"/>
          </w:rPr>
          <m:t>0.2、0.4、0.6、0.8、1.0</m:t>
        </m:r>
      </m:oMath>
      <w:r>
        <w:rPr>
          <w:rFonts w:ascii="宋体" w:hAnsi="宋体" w:eastAsia="宋体"/>
          <w:sz w:val="21"/>
        </w:rPr>
        <w:t xml:space="preserve"> m，跌落角度</w:t>
      </w:r>
      <m:oMath>
        <m:r>
          <m:rPr/>
          <w:rPr>
            <w:rFonts w:hint="default" w:ascii="Cambria Math" w:hAnsi="Cambria Math" w:eastAsia="宋体"/>
            <w:sz w:val="21"/>
          </w:rPr>
          <m:t>θ</m:t>
        </m:r>
      </m:oMath>
      <w:r>
        <w:rPr>
          <w:rFonts w:ascii="宋体" w:hAnsi="宋体" w:eastAsia="宋体"/>
          <w:sz w:val="21"/>
        </w:rPr>
        <w:t>取</w:t>
      </w:r>
      <m:oMath>
        <m:r>
          <m:rPr/>
          <w:rPr>
            <w:rFonts w:hint="default" w:ascii="Cambria Math" w:hAnsi="Cambria Math" w:eastAsia="宋体"/>
            <w:sz w:val="21"/>
          </w:rPr>
          <m:t>0°、30°、45°、60°、90°</m:t>
        </m:r>
      </m:oMath>
      <w:r>
        <w:rPr>
          <w:rFonts w:ascii="宋体" w:hAnsi="宋体" w:eastAsia="宋体"/>
          <w:sz w:val="21"/>
        </w:rPr>
        <w:t>，摩擦系数固定为</w:t>
      </w:r>
      <m:oMath>
        <m:r>
          <m:rPr/>
          <w:rPr>
            <w:rFonts w:hint="default" w:ascii="Cambria Math" w:hAnsi="Cambria Math" w:eastAsia="宋体"/>
            <w:sz w:val="21"/>
          </w:rPr>
          <m:t>μ=0.1</m:t>
        </m:r>
      </m:oMath>
      <w:r>
        <w:rPr>
          <w:rFonts w:ascii="宋体" w:hAnsi="宋体" w:eastAsia="宋体"/>
          <w:sz w:val="21"/>
        </w:rPr>
        <w:t>。角度</w:t>
      </w:r>
      <m:oMath>
        <m:r>
          <m:rPr/>
          <w:rPr>
            <w:rFonts w:hint="default" w:ascii="Cambria Math" w:hAnsi="Cambria Math" w:eastAsia="宋体"/>
            <w:sz w:val="21"/>
          </w:rPr>
          <m:t>0°</m:t>
        </m:r>
      </m:oMath>
      <w:r>
        <w:rPr>
          <w:rFonts w:ascii="宋体" w:hAnsi="宋体" w:eastAsia="宋体"/>
          <w:sz w:val="21"/>
        </w:rPr>
        <w:t>表示手镯平面近似平行地面，即平躺跌落；角度</w:t>
      </w:r>
      <m:oMath>
        <m:r>
          <m:rPr/>
          <w:rPr>
            <w:rFonts w:hint="default" w:ascii="Cambria Math" w:hAnsi="Cambria Math" w:eastAsia="宋体"/>
            <w:sz w:val="21"/>
          </w:rPr>
          <m:t>90°</m:t>
        </m:r>
      </m:oMath>
      <w:r>
        <w:rPr>
          <w:rFonts w:ascii="宋体" w:hAnsi="宋体" w:eastAsia="宋体"/>
          <w:sz w:val="21"/>
        </w:rPr>
        <w:t>表示手镯平面近似垂直地面，即竖直跌落。</w:t>
      </w:r>
    </w:p>
    <w:p w14:paraId="0C8F76D7">
      <w:pPr>
        <w:spacing w:before="40" w:after="120"/>
        <w:jc w:val="center"/>
      </w:pPr>
      <w:r>
        <w:rPr>
          <w:rFonts w:ascii="宋体" w:hAnsi="宋体" w:eastAsia="宋体"/>
          <w:sz w:val="18"/>
        </w:rPr>
        <w:t>表 2  跌落仿真工况设计</w:t>
      </w:r>
    </w:p>
    <w:tbl>
      <w:tblPr>
        <w:tblStyle w:val="32"/>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108" w:type="dxa"/>
          <w:bottom w:w="0" w:type="dxa"/>
          <w:right w:w="108" w:type="dxa"/>
        </w:tblCellMar>
      </w:tblPr>
      <w:tblGrid>
        <w:gridCol w:w="4618"/>
        <w:gridCol w:w="4618"/>
      </w:tblGrid>
      <w:tr w14:paraId="1A4674F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4618" w:type="dxa"/>
            <w:vAlign w:val="center"/>
          </w:tcPr>
          <w:p w14:paraId="4DBEB886">
            <w:pPr>
              <w:jc w:val="center"/>
            </w:pPr>
            <w:r>
              <w:rPr>
                <w:rFonts w:ascii="宋体" w:hAnsi="宋体" w:eastAsia="宋体"/>
                <w:b/>
                <w:sz w:val="18"/>
              </w:rPr>
              <w:t>项目</w:t>
            </w:r>
          </w:p>
        </w:tc>
        <w:tc>
          <w:tcPr>
            <w:tcW w:w="4618" w:type="dxa"/>
            <w:vAlign w:val="center"/>
          </w:tcPr>
          <w:p w14:paraId="5E5A2D37">
            <w:pPr>
              <w:jc w:val="center"/>
            </w:pPr>
            <w:r>
              <w:rPr>
                <w:rFonts w:ascii="宋体" w:hAnsi="宋体" w:eastAsia="宋体"/>
                <w:b/>
                <w:sz w:val="18"/>
              </w:rPr>
              <w:t>设置</w:t>
            </w:r>
          </w:p>
        </w:tc>
      </w:tr>
      <w:tr w14:paraId="4651D51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4618" w:type="dxa"/>
            <w:vAlign w:val="center"/>
          </w:tcPr>
          <w:p w14:paraId="4981CA2D">
            <w:pPr>
              <w:jc w:val="center"/>
            </w:pPr>
            <w:r>
              <w:rPr>
                <w:rFonts w:ascii="宋体" w:hAnsi="宋体" w:eastAsia="宋体"/>
                <w:b w:val="0"/>
                <w:sz w:val="18"/>
              </w:rPr>
              <w:t>跌落高度</w:t>
            </w:r>
            <m:oMath>
              <m:r>
                <m:rPr/>
                <w:rPr>
                  <w:rFonts w:hint="default" w:ascii="Cambria Math" w:hAnsi="Cambria Math" w:eastAsia="宋体"/>
                  <w:sz w:val="18"/>
                </w:rPr>
                <m:t>H/m</m:t>
              </m:r>
            </m:oMath>
          </w:p>
        </w:tc>
        <w:tc>
          <w:tcPr>
            <w:tcW w:w="4618" w:type="dxa"/>
            <w:vAlign w:val="center"/>
          </w:tcPr>
          <w:p w14:paraId="5B51A20C">
            <w:pPr>
              <w:jc w:val="center"/>
            </w:pPr>
            <m:oMathPara>
              <m:oMath>
                <m:r>
                  <m:rPr/>
                  <w:rPr>
                    <w:rFonts w:hint="default" w:ascii="Cambria Math" w:hAnsi="Cambria Math" w:eastAsia="宋体"/>
                    <w:sz w:val="18"/>
                  </w:rPr>
                  <m:t>0.2、0.4、0.6、0.8、1.0</m:t>
                </m:r>
              </m:oMath>
            </m:oMathPara>
          </w:p>
        </w:tc>
      </w:tr>
      <w:tr w14:paraId="13EECB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4618" w:type="dxa"/>
            <w:vAlign w:val="center"/>
          </w:tcPr>
          <w:p w14:paraId="5B8564F5">
            <w:pPr>
              <w:jc w:val="center"/>
            </w:pPr>
            <w:r>
              <w:rPr>
                <w:rFonts w:ascii="宋体" w:hAnsi="宋体" w:eastAsia="宋体"/>
                <w:b w:val="0"/>
                <w:sz w:val="18"/>
              </w:rPr>
              <w:t>跌落角度</w:t>
            </w:r>
            <m:oMath>
              <m:r>
                <m:rPr/>
                <w:rPr>
                  <w:rFonts w:hint="default" w:ascii="Cambria Math" w:hAnsi="Cambria Math" w:eastAsia="宋体"/>
                  <w:sz w:val="18"/>
                </w:rPr>
                <m:t>A/°</m:t>
              </m:r>
            </m:oMath>
          </w:p>
        </w:tc>
        <w:tc>
          <w:tcPr>
            <w:tcW w:w="4618" w:type="dxa"/>
            <w:vAlign w:val="center"/>
          </w:tcPr>
          <w:p w14:paraId="445278AA">
            <w:pPr>
              <w:jc w:val="center"/>
            </w:pPr>
            <m:oMathPara>
              <m:oMath>
                <m:r>
                  <m:rPr/>
                  <w:rPr>
                    <w:rFonts w:hint="default" w:ascii="Cambria Math" w:hAnsi="Cambria Math" w:eastAsia="宋体"/>
                    <w:sz w:val="18"/>
                  </w:rPr>
                  <m:t>0、30、45、60、90</m:t>
                </m:r>
              </m:oMath>
            </m:oMathPara>
          </w:p>
        </w:tc>
      </w:tr>
      <w:tr w14:paraId="43D46DA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4618" w:type="dxa"/>
            <w:vAlign w:val="center"/>
          </w:tcPr>
          <w:p w14:paraId="5C734681">
            <w:pPr>
              <w:jc w:val="center"/>
            </w:pPr>
            <w:r>
              <w:rPr>
                <w:rFonts w:ascii="宋体" w:hAnsi="宋体" w:eastAsia="宋体"/>
                <w:b w:val="0"/>
                <w:sz w:val="18"/>
              </w:rPr>
              <w:t>摩擦系数</w:t>
            </w:r>
            <m:oMath>
              <m:r>
                <m:rPr/>
                <w:rPr>
                  <w:rFonts w:hint="default" w:ascii="Cambria Math" w:hAnsi="Cambria Math" w:eastAsia="宋体"/>
                  <w:sz w:val="18"/>
                </w:rPr>
                <m:t>μ</m:t>
              </m:r>
            </m:oMath>
          </w:p>
        </w:tc>
        <w:tc>
          <w:tcPr>
            <w:tcW w:w="4618" w:type="dxa"/>
            <w:vAlign w:val="center"/>
          </w:tcPr>
          <w:p w14:paraId="391617B6">
            <w:pPr>
              <w:jc w:val="center"/>
            </w:pPr>
            <w:r>
              <w:rPr>
                <w:rFonts w:ascii="宋体" w:hAnsi="宋体" w:eastAsia="宋体"/>
                <w:b w:val="0"/>
                <w:sz w:val="18"/>
              </w:rPr>
              <w:t>0.1</w:t>
            </w:r>
          </w:p>
        </w:tc>
      </w:tr>
      <w:tr w14:paraId="027143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4618" w:type="dxa"/>
            <w:vAlign w:val="center"/>
          </w:tcPr>
          <w:p w14:paraId="27CAE1CF">
            <w:pPr>
              <w:jc w:val="center"/>
            </w:pPr>
            <w:r>
              <w:rPr>
                <w:rFonts w:ascii="宋体" w:hAnsi="宋体" w:eastAsia="宋体"/>
                <w:b w:val="0"/>
                <w:sz w:val="18"/>
              </w:rPr>
              <w:t>初速度</w:t>
            </w:r>
            <m:oMath>
              <m:r>
                <m:rPr/>
                <w:rPr>
                  <w:rFonts w:hint="default" w:ascii="Cambria Math" w:hAnsi="Cambria Math" w:eastAsia="宋体"/>
                  <w:sz w:val="18"/>
                </w:rPr>
                <m:t>v₀</m:t>
              </m:r>
            </m:oMath>
          </w:p>
        </w:tc>
        <w:tc>
          <w:tcPr>
            <w:tcW w:w="4618" w:type="dxa"/>
            <w:vAlign w:val="center"/>
          </w:tcPr>
          <w:p w14:paraId="7036E19A">
            <w:pPr>
              <w:jc w:val="center"/>
            </w:pPr>
            <w:r>
              <w:rPr>
                <w:rFonts w:ascii="宋体" w:hAnsi="宋体" w:eastAsia="宋体"/>
                <w:b w:val="0"/>
                <w:sz w:val="18"/>
              </w:rPr>
              <w:t>按</w:t>
            </w:r>
            <m:oMath>
              <m:r>
                <m:rPr>
                  <m:sty m:val="p"/>
                </m:rPr>
                <w:rPr>
                  <w:rFonts w:ascii="Cambria Math" w:hAnsi="Cambria Math" w:eastAsia="宋体" w:cstheme="minorBidi"/>
                  <w:sz w:val="18"/>
                  <w:szCs w:val="22"/>
                  <w:lang w:val="en-US" w:bidi="ar-SA"/>
                </w:rPr>
                <m:t xml:space="preserve"> </m:t>
              </m:r>
              <m:sSub>
                <m:sSubPr>
                  <m:ctrlPr>
                    <w:rPr>
                      <w:rFonts w:hint="default" w:ascii="Cambria Math" w:hAnsi="Cambria Math"/>
                      <w:sz w:val="21"/>
                    </w:rPr>
                  </m:ctrlPr>
                </m:sSubPr>
                <m:e>
                  <m:r>
                    <m:rPr/>
                    <w:rPr>
                      <w:rFonts w:hint="default" w:ascii="Cambria Math" w:hAnsi="Cambria Math"/>
                      <w:sz w:val="21"/>
                    </w:rPr>
                    <m:t>v</m:t>
                  </m:r>
                  <m:ctrlPr>
                    <w:rPr>
                      <w:rFonts w:ascii="Cambria Math" w:hAnsi="Cambria Math"/>
                      <w:sz w:val="21"/>
                    </w:rPr>
                  </m:ctrlPr>
                </m:e>
                <m:sub>
                  <m:r>
                    <m:rPr/>
                    <w:rPr>
                      <w:rFonts w:hint="default" w:ascii="Cambria Math" w:hAnsi="Cambria Math"/>
                      <w:sz w:val="21"/>
                    </w:rPr>
                    <m:t>o</m:t>
                  </m:r>
                  <m:ctrlPr>
                    <w:rPr>
                      <w:rFonts w:ascii="Cambria Math" w:hAnsi="Cambria Math"/>
                      <w:sz w:val="21"/>
                    </w:rPr>
                  </m:ctrlPr>
                </m:sub>
              </m:sSub>
              <m:r>
                <m:rPr/>
                <w:rPr>
                  <w:rFonts w:hint="default" w:ascii="Cambria Math" w:hAnsi="Cambria Math"/>
                  <w:sz w:val="21"/>
                </w:rPr>
                <m:t>=</m:t>
              </m:r>
              <m:rad>
                <m:radPr>
                  <m:degHide m:val="1"/>
                  <m:ctrlPr>
                    <w:rPr>
                      <w:rFonts w:hint="default" w:ascii="Cambria Math" w:hAnsi="Cambria Math"/>
                      <w:sz w:val="21"/>
                    </w:rPr>
                  </m:ctrlPr>
                </m:radPr>
                <m:deg>
                  <m:ctrlPr>
                    <w:rPr>
                      <w:rFonts w:ascii="Cambria Math" w:hAnsi="Cambria Math"/>
                      <w:sz w:val="21"/>
                    </w:rPr>
                  </m:ctrlPr>
                </m:deg>
                <m:e>
                  <m:r>
                    <m:rPr/>
                    <w:rPr>
                      <w:rFonts w:hint="default" w:ascii="Cambria Math" w:hAnsi="Cambria Math"/>
                      <w:sz w:val="21"/>
                    </w:rPr>
                    <m:t>(2gh)</m:t>
                  </m:r>
                  <m:ctrlPr>
                    <w:rPr>
                      <w:rFonts w:ascii="Cambria Math" w:hAnsi="Cambria Math"/>
                      <w:sz w:val="21"/>
                    </w:rPr>
                  </m:ctrlPr>
                </m:e>
              </m:rad>
            </m:oMath>
            <w:r>
              <w:rPr>
                <w:rFonts w:ascii="宋体" w:hAnsi="宋体" w:eastAsia="宋体"/>
                <w:b w:val="0"/>
                <w:sz w:val="18"/>
              </w:rPr>
              <w:t>自动计算</w:t>
            </w:r>
          </w:p>
        </w:tc>
      </w:tr>
      <w:tr w14:paraId="491F85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4618" w:type="dxa"/>
            <w:vAlign w:val="center"/>
          </w:tcPr>
          <w:p w14:paraId="38A97117">
            <w:pPr>
              <w:jc w:val="center"/>
            </w:pPr>
            <w:r>
              <w:rPr>
                <w:rFonts w:ascii="宋体" w:hAnsi="宋体" w:eastAsia="宋体"/>
                <w:b w:val="0"/>
                <w:sz w:val="18"/>
              </w:rPr>
              <w:t>分析步时间</w:t>
            </w:r>
          </w:p>
        </w:tc>
        <w:tc>
          <w:tcPr>
            <w:tcW w:w="4618" w:type="dxa"/>
            <w:vAlign w:val="center"/>
          </w:tcPr>
          <w:p w14:paraId="525D8E76">
            <w:pPr>
              <w:jc w:val="center"/>
            </w:pPr>
            <m:oMathPara>
              <m:oMath>
                <m:r>
                  <m:rPr/>
                  <w:rPr>
                    <w:rFonts w:hint="default" w:ascii="Cambria Math" w:hAnsi="Cambria Math" w:eastAsia="宋体"/>
                    <w:sz w:val="18"/>
                  </w:rPr>
                  <m:t>0.006s</m:t>
                </m:r>
              </m:oMath>
            </m:oMathPara>
          </w:p>
        </w:tc>
      </w:tr>
      <w:tr w14:paraId="4E93B42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4618" w:type="dxa"/>
            <w:vAlign w:val="center"/>
          </w:tcPr>
          <w:p w14:paraId="2F0EBFD0">
            <w:pPr>
              <w:jc w:val="center"/>
            </w:pPr>
            <w:r>
              <w:rPr>
                <w:rFonts w:ascii="宋体" w:hAnsi="宋体" w:eastAsia="宋体"/>
                <w:b w:val="0"/>
                <w:sz w:val="18"/>
              </w:rPr>
              <w:t>输出间隔</w:t>
            </w:r>
          </w:p>
        </w:tc>
        <w:tc>
          <w:tcPr>
            <w:tcW w:w="4618" w:type="dxa"/>
            <w:vAlign w:val="center"/>
          </w:tcPr>
          <w:p w14:paraId="5F7EC629">
            <w:pPr>
              <w:jc w:val="center"/>
            </w:pPr>
            <w:r>
              <w:rPr>
                <w:rFonts w:ascii="宋体" w:hAnsi="宋体" w:eastAsia="宋体"/>
                <w:b w:val="0"/>
                <w:sz w:val="18"/>
              </w:rPr>
              <w:t>150</w:t>
            </w:r>
          </w:p>
        </w:tc>
      </w:tr>
    </w:tbl>
    <w:p w14:paraId="01312059"/>
    <w:p w14:paraId="7D030822">
      <w:pPr>
        <w:spacing w:before="120" w:after="80" w:line="300" w:lineRule="auto"/>
        <w:jc w:val="left"/>
      </w:pPr>
      <w:r>
        <w:rPr>
          <w:rFonts w:ascii="黑体" w:hAnsi="黑体" w:eastAsia="黑体"/>
          <w:b/>
          <w:sz w:val="21"/>
        </w:rPr>
        <w:t>3.2 材料、接触、网格与输出设置</w:t>
      </w:r>
    </w:p>
    <w:p w14:paraId="3F0644EC">
      <w:pPr>
        <w:spacing w:before="0" w:after="0" w:line="300" w:lineRule="auto"/>
        <w:ind w:firstLine="420"/>
        <w:jc w:val="both"/>
      </w:pPr>
      <m:oMath>
        <m:r>
          <m:rPr>
            <m:sty m:val="p"/>
          </m:rPr>
          <w:rPr>
            <w:rFonts w:ascii="Cambria Math" w:hAnsi="Cambria Math" w:eastAsia="宋体" w:cstheme="minorBidi"/>
            <w:sz w:val="21"/>
            <w:szCs w:val="22"/>
            <w:lang w:val="en-US" w:bidi="ar-SA"/>
          </w:rPr>
          <m:t xml:space="preserve">Abaqus </m:t>
        </m:r>
      </m:oMath>
      <w:r>
        <w:rPr>
          <w:rFonts w:ascii="宋体" w:hAnsi="宋体" w:eastAsia="宋体"/>
          <w:sz w:val="21"/>
        </w:rPr>
        <w:t>实现采用</w:t>
      </w:r>
      <m:oMath>
        <m:r>
          <m:rPr>
            <m:sty m:val="p"/>
          </m:rPr>
          <w:rPr>
            <w:rFonts w:ascii="Cambria Math" w:hAnsi="Cambria Math" w:eastAsia="宋体" w:cstheme="minorBidi"/>
            <w:sz w:val="21"/>
            <w:szCs w:val="22"/>
            <w:lang w:val="en-US" w:bidi="ar-SA"/>
          </w:rPr>
          <m:t xml:space="preserve"> Dynamic, Explicit </m:t>
        </m:r>
      </m:oMath>
      <w:r>
        <w:rPr>
          <w:rFonts w:ascii="宋体" w:hAnsi="宋体" w:eastAsia="宋体"/>
          <w:sz w:val="21"/>
        </w:rPr>
        <w:t xml:space="preserve">分析步。手镯赋予均质实体截面和线弹性材料，地面设置为离散刚体并固定其参考点。接触采用通用接触，法向为硬接触，切向为罚函数摩擦，摩擦系数 </w:t>
      </w:r>
      <m:oMath>
        <m:r>
          <m:rPr/>
          <w:rPr>
            <w:rFonts w:hint="default" w:ascii="Cambria Math" w:hAnsi="Cambria Math" w:eastAsia="宋体"/>
            <w:sz w:val="21"/>
          </w:rPr>
          <m:t>μ=0.1</m:t>
        </m:r>
      </m:oMath>
      <w:r>
        <w:rPr>
          <w:rFonts w:ascii="宋体" w:hAnsi="宋体" w:eastAsia="宋体"/>
          <w:sz w:val="21"/>
        </w:rPr>
        <w:t>。</w:t>
      </w:r>
      <m:oMath>
        <m:r>
          <m:rPr>
            <m:sty m:val="p"/>
          </m:rPr>
          <w:rPr>
            <w:rFonts w:ascii="Cambria Math" w:hAnsi="Cambria Math" w:eastAsia="宋体" w:cstheme="minorBidi"/>
            <w:sz w:val="21"/>
            <w:szCs w:val="22"/>
            <w:lang w:val="en-US" w:bidi="ar-SA"/>
          </w:rPr>
          <m:t xml:space="preserve">Abaqus/Explicit </m:t>
        </m:r>
      </m:oMath>
      <w:r>
        <w:rPr>
          <w:rFonts w:ascii="宋体" w:hAnsi="宋体" w:eastAsia="宋体"/>
          <w:sz w:val="21"/>
        </w:rPr>
        <w:t>中有限滑移接触可处理表面间较大的相对运动和转动，因此适合本文这种跌落撞击问题</w:t>
      </w:r>
      <w:r>
        <w:rPr>
          <w:rFonts w:ascii="宋体" w:hAnsi="宋体" w:eastAsia="宋体"/>
          <w:sz w:val="21"/>
          <w:vertAlign w:val="superscript"/>
        </w:rPr>
        <w:t>[4]</w:t>
      </w:r>
      <w:r>
        <w:rPr>
          <w:rFonts w:ascii="宋体" w:hAnsi="宋体" w:eastAsia="宋体"/>
          <w:sz w:val="21"/>
        </w:rPr>
        <w:t>。手镯采用自由四面体网格并使用改进二次四面体单元</w:t>
      </w:r>
      <m:oMath>
        <m:r>
          <m:rPr>
            <m:sty m:val="p"/>
          </m:rPr>
          <w:rPr>
            <w:rFonts w:ascii="Cambria Math" w:hAnsi="Cambria Math" w:eastAsia="宋体" w:cstheme="minorBidi"/>
            <w:sz w:val="21"/>
            <w:szCs w:val="22"/>
            <w:lang w:val="en-US" w:bidi="ar-SA"/>
          </w:rPr>
          <m:t xml:space="preserve"> C3D10M</m:t>
        </m:r>
      </m:oMath>
      <w:r>
        <w:rPr>
          <w:rFonts w:ascii="宋体" w:hAnsi="宋体" w:eastAsia="宋体"/>
          <w:sz w:val="21"/>
        </w:rPr>
        <w:t>，以提高曲面圆环结构的网格适应性；地面采用刚体壳单元。</w:t>
      </w:r>
    </w:p>
    <w:p w14:paraId="6A1AD8C5">
      <w:pPr>
        <w:spacing w:before="0" w:after="0" w:line="300" w:lineRule="auto"/>
        <w:ind w:firstLine="420"/>
        <w:jc w:val="both"/>
      </w:pPr>
      <w:r>
        <w:rPr>
          <w:rFonts w:ascii="宋体" w:hAnsi="宋体" w:eastAsia="宋体"/>
          <w:sz w:val="21"/>
        </w:rPr>
        <w:t>为便于批量计算，本文使用</w:t>
      </w:r>
      <m:oMath>
        <m:r>
          <m:rPr>
            <m:sty m:val="p"/>
          </m:rPr>
          <w:rPr>
            <w:rFonts w:ascii="Cambria Math" w:hAnsi="Cambria Math" w:eastAsia="宋体" w:cstheme="minorBidi"/>
            <w:sz w:val="21"/>
            <w:szCs w:val="22"/>
            <w:lang w:val="en-US" w:bidi="ar-SA"/>
          </w:rPr>
          <m:t xml:space="preserve"> Abaqus Python </m:t>
        </m:r>
      </m:oMath>
      <w:r>
        <w:rPr>
          <w:rFonts w:ascii="宋体" w:hAnsi="宋体" w:eastAsia="宋体"/>
          <w:sz w:val="21"/>
        </w:rPr>
        <w:t>脚本实现参数化建模。脚本根据</w:t>
      </w:r>
      <m:oMath>
        <m:r>
          <m:rPr>
            <m:sty m:val="p"/>
          </m:rPr>
          <w:rPr>
            <w:rFonts w:ascii="Cambria Math" w:hAnsi="Cambria Math" w:eastAsia="宋体" w:cstheme="minorBidi"/>
            <w:sz w:val="21"/>
            <w:szCs w:val="22"/>
            <w:lang w:val="en-US" w:bidi="ar-SA"/>
          </w:rPr>
          <m:t xml:space="preserve"> H </m:t>
        </m:r>
      </m:oMath>
      <w:r>
        <w:rPr>
          <w:rFonts w:ascii="宋体" w:hAnsi="宋体" w:eastAsia="宋体"/>
          <w:sz w:val="21"/>
        </w:rPr>
        <w:t>和</w:t>
      </w:r>
      <m:oMath>
        <m:r>
          <m:rPr>
            <m:sty m:val="p"/>
          </m:rPr>
          <w:rPr>
            <w:rFonts w:ascii="Cambria Math" w:hAnsi="Cambria Math" w:eastAsia="宋体" w:cstheme="minorBidi"/>
            <w:sz w:val="21"/>
            <w:szCs w:val="22"/>
            <w:lang w:val="en-US" w:bidi="ar-SA"/>
          </w:rPr>
          <m:t xml:space="preserve"> A </m:t>
        </m:r>
      </m:oMath>
      <w:r>
        <w:rPr>
          <w:rFonts w:ascii="宋体" w:hAnsi="宋体" w:eastAsia="宋体"/>
          <w:sz w:val="21"/>
        </w:rPr>
        <w:t xml:space="preserve">自动命名 Job，例如 </w:t>
      </w:r>
      <m:oMath>
        <m:r>
          <m:rPr/>
          <w:rPr>
            <w:rFonts w:hint="default" w:ascii="Cambria Math" w:hAnsi="Cambria Math" w:eastAsia="宋体"/>
            <w:sz w:val="21"/>
          </w:rPr>
          <m:t>H1A90</m:t>
        </m:r>
      </m:oMath>
      <w:r>
        <w:rPr>
          <w:rFonts w:ascii="宋体" w:hAnsi="宋体" w:eastAsia="宋体"/>
          <w:sz w:val="21"/>
        </w:rPr>
        <w:t xml:space="preserve"> 表示</w:t>
      </w:r>
      <m:oMath>
        <m:r>
          <m:rPr/>
          <w:rPr>
            <w:rFonts w:hint="default" w:ascii="Cambria Math" w:hAnsi="Cambria Math" w:eastAsia="宋体"/>
            <w:sz w:val="21"/>
          </w:rPr>
          <m:t>1.0m、90°</m:t>
        </m:r>
      </m:oMath>
      <w:r>
        <w:rPr>
          <w:rFonts w:ascii="宋体" w:hAnsi="宋体" w:eastAsia="宋体"/>
          <w:sz w:val="21"/>
        </w:rPr>
        <w:t>工况；每个工况自动创建模型、计算初速度、完成装配定位、施加接触、重力和初速度并提交求解。后处理脚本批量扫描 ODB 文件，逐帧提取最大主应力峰值及其出现时间，同时读取最小主应力、位移和能量历史变量。</w:t>
      </w:r>
    </w:p>
    <w:p w14:paraId="37D32E6C">
      <w:pPr>
        <w:spacing w:before="0" w:after="0" w:line="300" w:lineRule="auto"/>
        <w:ind w:firstLine="420"/>
        <w:jc w:val="both"/>
      </w:pPr>
      <w:r>
        <w:rPr>
          <w:rFonts w:ascii="宋体" w:hAnsi="宋体" w:eastAsia="宋体"/>
          <w:sz w:val="21"/>
        </w:rPr>
        <w:t xml:space="preserve">输出变量包括应力 S、位移 U、速度 V、加速度 A、内能 ALLIE、动能 ALLKE、总能量 ETOTAL 和人工能量 ALLAE。后处理时以全过程最大 S₁,max 所在帧作为危险时刻，并在该帧提取 </w:t>
      </w:r>
      <m:oMath>
        <m:r>
          <m:rPr/>
          <w:rPr>
            <w:rFonts w:hint="default" w:ascii="Cambria Math" w:hAnsi="Cambria Math" w:eastAsia="宋体"/>
            <w:sz w:val="21"/>
          </w:rPr>
          <m:t>S</m:t>
        </m:r>
        <m:sSub>
          <m:sSubPr>
            <m:ctrlPr>
              <w:rPr>
                <w:rFonts w:hint="default" w:ascii="Cambria Math" w:hAnsi="Cambria Math" w:eastAsia="宋体"/>
                <w:sz w:val="21"/>
              </w:rPr>
            </m:ctrlPr>
          </m:sSubPr>
          <m:e>
            <m:r>
              <m:rPr/>
              <w:rPr>
                <w:rFonts w:hint="default" w:ascii="Cambria Math" w:hAnsi="Cambria Math" w:eastAsia="宋体"/>
                <w:sz w:val="21"/>
              </w:rPr>
              <m:t>₃</m:t>
            </m:r>
            <m:ctrlPr>
              <w:rPr>
                <w:rFonts w:ascii="Cambria Math" w:hAnsi="Cambria Math" w:eastAsia="宋体"/>
                <w:sz w:val="21"/>
              </w:rPr>
            </m:ctrlPr>
          </m:e>
          <m:sub>
            <m:r>
              <m:rPr/>
              <w:rPr>
                <w:rFonts w:hint="default" w:ascii="Cambria Math" w:hAnsi="Cambria Math" w:eastAsia="宋体"/>
                <w:sz w:val="21"/>
              </w:rPr>
              <m:t>,min</m:t>
            </m:r>
            <m:ctrlPr>
              <w:rPr>
                <w:rFonts w:ascii="Cambria Math" w:hAnsi="Cambria Math" w:eastAsia="宋体"/>
                <w:sz w:val="21"/>
              </w:rPr>
            </m:ctrlPr>
          </m:sub>
        </m:sSub>
      </m:oMath>
      <w:r>
        <w:rPr>
          <w:rFonts w:ascii="宋体" w:hAnsi="宋体" w:eastAsia="宋体"/>
          <w:sz w:val="21"/>
        </w:rPr>
        <w:t xml:space="preserve"> 与 </w:t>
      </w:r>
      <m:oMath>
        <m:sSub>
          <m:sSubPr>
            <m:ctrlPr>
              <w:rPr>
                <w:rFonts w:hint="default" w:ascii="Cambria Math" w:hAnsi="Cambria Math" w:eastAsia="宋体"/>
                <w:sz w:val="21"/>
              </w:rPr>
            </m:ctrlPr>
          </m:sSubPr>
          <m:e>
            <m:r>
              <m:rPr/>
              <w:rPr>
                <w:rFonts w:hint="default" w:ascii="Cambria Math" w:hAnsi="Cambria Math" w:eastAsia="宋体"/>
                <w:sz w:val="21"/>
              </w:rPr>
              <m:t>U</m:t>
            </m:r>
            <m:ctrlPr>
              <w:rPr>
                <w:rFonts w:ascii="Cambria Math" w:hAnsi="Cambria Math" w:eastAsia="宋体"/>
                <w:sz w:val="21"/>
              </w:rPr>
            </m:ctrlPr>
          </m:e>
          <m:sub>
            <m:r>
              <m:rPr/>
              <w:rPr>
                <w:rFonts w:hint="default" w:ascii="Cambria Math" w:hAnsi="Cambria Math" w:eastAsia="宋体"/>
                <w:sz w:val="21"/>
              </w:rPr>
              <m:t>max</m:t>
            </m:r>
            <m:ctrlPr>
              <w:rPr>
                <w:rFonts w:ascii="Cambria Math" w:hAnsi="Cambria Math" w:eastAsia="宋体"/>
                <w:sz w:val="21"/>
              </w:rPr>
            </m:ctrlPr>
          </m:sub>
        </m:sSub>
      </m:oMath>
      <w:r>
        <w:rPr>
          <w:rFonts w:ascii="宋体" w:hAnsi="宋体" w:eastAsia="宋体"/>
          <w:sz w:val="21"/>
        </w:rPr>
        <w:t>。能量曲线用于检查显式动力学计算稳定性，若总能量误差较小且人工能量占比较低，则说明仿真结果在数值上具有一定可信度。</w:t>
      </w:r>
    </w:p>
    <w:p w14:paraId="6CA26B6C">
      <w:pPr>
        <w:jc w:val="center"/>
      </w:pPr>
      <w:r>
        <w:drawing>
          <wp:inline distT="0" distB="0" distL="114300" distR="114300">
            <wp:extent cx="5327650" cy="3413125"/>
            <wp:effectExtent l="0" t="0" r="635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328000" cy="3413250"/>
                    </a:xfrm>
                    <a:prstGeom prst="rect">
                      <a:avLst/>
                    </a:prstGeom>
                  </pic:spPr>
                </pic:pic>
              </a:graphicData>
            </a:graphic>
          </wp:inline>
        </w:drawing>
      </w:r>
    </w:p>
    <w:p w14:paraId="03C80549">
      <w:pPr>
        <w:spacing w:before="40" w:after="120"/>
        <w:jc w:val="center"/>
      </w:pPr>
      <w:r>
        <w:rPr>
          <w:rFonts w:ascii="宋体" w:hAnsi="宋体" w:eastAsia="宋体"/>
          <w:sz w:val="18"/>
        </w:rPr>
        <w:t>图 1  代表性</w:t>
      </w:r>
      <m:oMath>
        <m:r>
          <m:rPr>
            <m:sty m:val="p"/>
          </m:rPr>
          <w:rPr>
            <w:rFonts w:ascii="Cambria Math" w:hAnsi="Cambria Math" w:eastAsia="宋体" w:cstheme="minorBidi"/>
            <w:sz w:val="18"/>
            <w:szCs w:val="22"/>
            <w:lang w:val="en-US" w:bidi="ar-SA"/>
          </w:rPr>
          <m:t xml:space="preserve"> Abaqus </m:t>
        </m:r>
      </m:oMath>
      <w:r>
        <w:rPr>
          <w:rFonts w:ascii="宋体" w:hAnsi="宋体" w:eastAsia="宋体"/>
          <w:sz w:val="18"/>
        </w:rPr>
        <w:t>跌落工况云图截图</w:t>
      </w:r>
    </w:p>
    <w:p w14:paraId="204B61A0">
      <w:pPr>
        <w:spacing w:before="120" w:after="80" w:line="300" w:lineRule="auto"/>
        <w:jc w:val="left"/>
      </w:pPr>
      <w:r>
        <w:rPr>
          <w:rFonts w:ascii="黑体" w:hAnsi="黑体" w:eastAsia="黑体"/>
          <w:b/>
          <w:sz w:val="28"/>
        </w:rPr>
        <w:t>4 机器学习代理模型构建</w:t>
      </w:r>
    </w:p>
    <w:p w14:paraId="59B49507">
      <w:pPr>
        <w:spacing w:before="120" w:after="80" w:line="300" w:lineRule="auto"/>
        <w:jc w:val="left"/>
      </w:pPr>
      <w:r>
        <w:rPr>
          <w:rFonts w:ascii="黑体" w:hAnsi="黑体" w:eastAsia="黑体"/>
          <w:b/>
          <w:sz w:val="21"/>
        </w:rPr>
        <w:t>4.1 数据集与输入输出变量</w:t>
      </w:r>
    </w:p>
    <w:p w14:paraId="21225A1F">
      <w:pPr>
        <w:spacing w:before="0" w:after="0" w:line="300" w:lineRule="auto"/>
        <w:ind w:firstLine="420"/>
        <w:jc w:val="both"/>
      </w:pPr>
      <w:r>
        <w:rPr>
          <w:rFonts w:ascii="宋体" w:hAnsi="宋体" w:eastAsia="宋体"/>
          <w:sz w:val="21"/>
        </w:rPr>
        <w:t xml:space="preserve">在 25 组有限元计算完成后，本文将每个工况整理为一行结构化数据。输入变量包括跌落高度 </w:t>
      </w:r>
      <m:oMath>
        <m:r>
          <m:rPr>
            <m:sty m:val="p"/>
          </m:rPr>
          <w:rPr>
            <w:rFonts w:ascii="Cambria Math" w:hAnsi="Cambria Math" w:eastAsia="宋体" w:cstheme="minorBidi"/>
            <w:sz w:val="21"/>
            <w:szCs w:val="22"/>
            <w:lang w:val="en-US" w:bidi="ar-SA"/>
          </w:rPr>
          <m:t>h</m:t>
        </m:r>
      </m:oMath>
      <w:r>
        <w:rPr>
          <w:rFonts w:ascii="宋体" w:hAnsi="宋体" w:eastAsia="宋体"/>
          <w:sz w:val="21"/>
        </w:rPr>
        <w:t>、跌落角度</w:t>
      </w:r>
      <m:oMath>
        <m:r>
          <m:rPr>
            <m:sty m:val="p"/>
          </m:rPr>
          <w:rPr>
            <w:rFonts w:ascii="Cambria Math" w:hAnsi="Cambria Math" w:eastAsia="宋体" w:cstheme="minorBidi"/>
            <w:sz w:val="21"/>
            <w:szCs w:val="22"/>
            <w:lang w:val="en-US" w:bidi="ar-SA"/>
          </w:rPr>
          <m:t xml:space="preserve"> θ</m:t>
        </m:r>
      </m:oMath>
      <w:r>
        <w:rPr>
          <w:rFonts w:ascii="宋体" w:hAnsi="宋体" w:eastAsia="宋体"/>
          <w:sz w:val="21"/>
        </w:rPr>
        <w:t>、初速度</w:t>
      </w:r>
      <m:oMath>
        <m:r>
          <m:rPr>
            <m:sty m:val="p"/>
          </m:rPr>
          <w:rPr>
            <w:rFonts w:ascii="Cambria Math" w:hAnsi="Cambria Math" w:eastAsia="宋体" w:cstheme="minorBidi"/>
            <w:sz w:val="21"/>
            <w:szCs w:val="22"/>
            <w:lang w:val="en-US" w:bidi="ar-SA"/>
          </w:rPr>
          <m:t xml:space="preserve"> v₀ </m:t>
        </m:r>
      </m:oMath>
      <w:r>
        <w:rPr>
          <w:rFonts w:ascii="宋体" w:hAnsi="宋体" w:eastAsia="宋体"/>
          <w:sz w:val="21"/>
        </w:rPr>
        <w:t>和摩擦系数</w:t>
      </w:r>
      <m:oMath>
        <m:r>
          <m:rPr>
            <m:sty m:val="p"/>
          </m:rPr>
          <w:rPr>
            <w:rFonts w:ascii="Cambria Math" w:hAnsi="Cambria Math" w:eastAsia="宋体" w:cstheme="minorBidi"/>
            <w:sz w:val="21"/>
            <w:szCs w:val="22"/>
            <w:lang w:val="en-US" w:bidi="ar-SA"/>
          </w:rPr>
          <m:t xml:space="preserve"> μ</m:t>
        </m:r>
      </m:oMath>
      <w:r>
        <w:rPr>
          <w:rFonts w:ascii="宋体" w:hAnsi="宋体" w:eastAsia="宋体"/>
          <w:sz w:val="21"/>
        </w:rPr>
        <w:t>；由于本组数据中</w:t>
      </w:r>
      <m:oMath>
        <m:r>
          <m:rPr>
            <m:sty m:val="p"/>
          </m:rPr>
          <w:rPr>
            <w:rFonts w:ascii="Cambria Math" w:hAnsi="Cambria Math" w:eastAsia="宋体" w:cstheme="minorBidi"/>
            <w:sz w:val="21"/>
            <w:szCs w:val="22"/>
            <w:lang w:val="en-US" w:bidi="ar-SA"/>
          </w:rPr>
          <m:t xml:space="preserve"> μ </m:t>
        </m:r>
      </m:oMath>
      <w:r>
        <w:rPr>
          <w:rFonts w:ascii="宋体" w:hAnsi="宋体" w:eastAsia="宋体"/>
          <w:sz w:val="21"/>
        </w:rPr>
        <w:t>恒定为 0.1，训练时该变量不具有方差，最终有效输入特征为</w:t>
      </w:r>
      <m:oMath>
        <m:r>
          <m:rPr>
            <m:sty m:val="p"/>
          </m:rPr>
          <w:rPr>
            <w:rFonts w:ascii="Cambria Math" w:hAnsi="Cambria Math" w:eastAsia="宋体" w:cstheme="minorBidi"/>
            <w:sz w:val="21"/>
            <w:szCs w:val="22"/>
            <w:lang w:val="en-US" w:bidi="ar-SA"/>
          </w:rPr>
          <m:t xml:space="preserve"> h、θ </m:t>
        </m:r>
      </m:oMath>
      <w:r>
        <w:rPr>
          <w:rFonts w:ascii="宋体" w:hAnsi="宋体" w:eastAsia="宋体"/>
          <w:sz w:val="21"/>
        </w:rPr>
        <w:t>和</w:t>
      </w:r>
      <m:oMath>
        <m:r>
          <m:rPr>
            <m:sty m:val="p"/>
          </m:rPr>
          <w:rPr>
            <w:rFonts w:ascii="Cambria Math" w:hAnsi="Cambria Math" w:eastAsia="宋体" w:cstheme="minorBidi"/>
            <w:sz w:val="21"/>
            <w:szCs w:val="22"/>
            <w:lang w:val="en-US" w:bidi="ar-SA"/>
          </w:rPr>
          <m:t xml:space="preserve"> v₀</m:t>
        </m:r>
      </m:oMath>
      <w:r>
        <w:rPr>
          <w:rFonts w:ascii="宋体" w:hAnsi="宋体" w:eastAsia="宋体"/>
          <w:sz w:val="21"/>
        </w:rPr>
        <w:t>。输出变量为最大主应力峰值</w:t>
      </w:r>
      <m:oMath>
        <m:sSub>
          <m:sSubPr>
            <m:ctrlPr>
              <w:rPr>
                <w:rFonts w:hint="default" w:ascii="Cambria Math" w:hAnsi="Cambria Math" w:eastAsia="宋体"/>
                <w:sz w:val="21"/>
              </w:rPr>
            </m:ctrlPr>
          </m:sSubPr>
          <m:e>
            <m:r>
              <m:rPr/>
              <w:rPr>
                <w:rFonts w:hint="default" w:ascii="Cambria Math" w:hAnsi="Cambria Math" w:eastAsia="宋体"/>
                <w:sz w:val="21"/>
              </w:rPr>
              <m:t>S</m:t>
            </m:r>
            <m:ctrlPr>
              <w:rPr>
                <w:rFonts w:ascii="Cambria Math" w:hAnsi="Cambria Math" w:eastAsia="宋体"/>
                <w:sz w:val="21"/>
              </w:rPr>
            </m:ctrlPr>
          </m:e>
          <m:sub>
            <m:r>
              <m:rPr/>
              <w:rPr>
                <w:rFonts w:hint="default" w:ascii="Cambria Math" w:hAnsi="Cambria Math" w:eastAsia="宋体"/>
                <w:sz w:val="21"/>
              </w:rPr>
              <m:t>1,max</m:t>
            </m:r>
            <m:ctrlPr>
              <w:rPr>
                <w:rFonts w:ascii="Cambria Math" w:hAnsi="Cambria Math" w:eastAsia="宋体"/>
                <w:sz w:val="21"/>
              </w:rPr>
            </m:ctrlPr>
          </m:sub>
        </m:sSub>
      </m:oMath>
      <w:r>
        <w:rPr>
          <w:rFonts w:ascii="宋体" w:hAnsi="宋体" w:eastAsia="宋体"/>
          <w:sz w:val="21"/>
        </w:rPr>
        <w:t>，并由式（4）进一步计算风险系数</w:t>
      </w:r>
      <m:oMath>
        <m:r>
          <m:rPr/>
          <w:rPr>
            <w:rFonts w:hint="default" w:ascii="Cambria Math" w:hAnsi="Cambria Math" w:eastAsia="宋体"/>
            <w:sz w:val="21"/>
          </w:rPr>
          <m:t>Rₜ</m:t>
        </m:r>
      </m:oMath>
      <w:r>
        <w:rPr>
          <w:rFonts w:ascii="宋体" w:hAnsi="宋体" w:eastAsia="宋体"/>
          <w:sz w:val="21"/>
        </w:rPr>
        <w:t>和风险等级。</w:t>
      </w:r>
    </w:p>
    <w:p w14:paraId="34FFE4E3">
      <w:pPr>
        <w:spacing w:before="0" w:after="0" w:line="300" w:lineRule="auto"/>
        <w:ind w:firstLine="420"/>
        <w:jc w:val="both"/>
      </w:pPr>
      <w:r>
        <w:rPr>
          <w:rFonts w:ascii="宋体" w:hAnsi="宋体" w:eastAsia="宋体"/>
          <w:sz w:val="21"/>
        </w:rPr>
        <w:t>对于小样本仿真数据，直接训练深度神经网络容易产生过拟合，因此本文采用更适合表格数据的机器学习模型，包括随机森林回归、极端随机树回归、梯度提升回归和径向基支持向量回归。随机森林由</w:t>
      </w:r>
      <m:oMath>
        <m:r>
          <m:rPr>
            <m:sty m:val="p"/>
          </m:rPr>
          <w:rPr>
            <w:rFonts w:ascii="Cambria Math" w:hAnsi="Cambria Math" w:eastAsia="宋体" w:cstheme="minorBidi"/>
            <w:sz w:val="21"/>
            <w:szCs w:val="22"/>
            <w:lang w:val="en-US" w:bidi="ar-SA"/>
          </w:rPr>
          <m:t xml:space="preserve"> Breiman </m:t>
        </m:r>
      </m:oMath>
      <w:r>
        <w:rPr>
          <w:rFonts w:ascii="宋体" w:hAnsi="宋体" w:eastAsia="宋体"/>
          <w:sz w:val="21"/>
        </w:rPr>
        <w:t>提出，能够通过集成多棵决策树降低方差并处理非线性关系</w:t>
      </w:r>
      <w:r>
        <w:rPr>
          <w:rFonts w:ascii="宋体" w:hAnsi="宋体" w:eastAsia="宋体"/>
          <w:sz w:val="21"/>
          <w:vertAlign w:val="superscript"/>
        </w:rPr>
        <w:t>[7]</w:t>
      </w:r>
      <w:r>
        <w:rPr>
          <w:rFonts w:ascii="宋体" w:hAnsi="宋体" w:eastAsia="宋体"/>
          <w:sz w:val="21"/>
        </w:rPr>
        <w:t>；极端随机树进一步增强节点划分随机性，常用于小样本非线性回归</w:t>
      </w:r>
      <w:r>
        <w:rPr>
          <w:rFonts w:ascii="宋体" w:hAnsi="宋体" w:eastAsia="宋体"/>
          <w:sz w:val="21"/>
          <w:vertAlign w:val="superscript"/>
        </w:rPr>
        <w:t>[8]</w:t>
      </w:r>
      <w:r>
        <w:rPr>
          <w:rFonts w:ascii="宋体" w:hAnsi="宋体" w:eastAsia="宋体"/>
          <w:sz w:val="21"/>
        </w:rPr>
        <w:t>；梯度提升通过逐步拟合残差提高预测能力</w:t>
      </w:r>
      <w:r>
        <w:rPr>
          <w:rFonts w:ascii="宋体" w:hAnsi="宋体" w:eastAsia="宋体"/>
          <w:sz w:val="21"/>
          <w:vertAlign w:val="superscript"/>
        </w:rPr>
        <w:t>[9]</w:t>
      </w:r>
      <w:r>
        <w:rPr>
          <w:rFonts w:ascii="宋体" w:hAnsi="宋体" w:eastAsia="宋体"/>
          <w:sz w:val="21"/>
        </w:rPr>
        <w:t>；支持向量回归则通过核函数处理非线性映射</w:t>
      </w:r>
      <w:r>
        <w:rPr>
          <w:rFonts w:ascii="宋体" w:hAnsi="宋体" w:eastAsia="宋体"/>
          <w:sz w:val="21"/>
          <w:vertAlign w:val="superscript"/>
        </w:rPr>
        <w:t>[10]</w:t>
      </w:r>
      <w:r>
        <w:rPr>
          <w:rFonts w:ascii="宋体" w:hAnsi="宋体" w:eastAsia="宋体"/>
          <w:sz w:val="21"/>
        </w:rPr>
        <w:t>。</w:t>
      </w:r>
    </w:p>
    <w:p w14:paraId="39FFDF69">
      <w:pPr>
        <w:spacing w:before="120" w:after="80" w:line="300" w:lineRule="auto"/>
        <w:jc w:val="left"/>
      </w:pPr>
      <w:r>
        <w:rPr>
          <w:rFonts w:ascii="黑体" w:hAnsi="黑体" w:eastAsia="黑体"/>
          <w:b/>
          <w:sz w:val="21"/>
        </w:rPr>
        <w:t>4.2 训练方法与评价指标</w:t>
      </w:r>
    </w:p>
    <w:p w14:paraId="1641708D">
      <w:pPr>
        <w:spacing w:before="0" w:after="0" w:line="300" w:lineRule="auto"/>
        <w:ind w:firstLine="420"/>
        <w:jc w:val="both"/>
      </w:pPr>
      <w:r>
        <w:rPr>
          <w:rFonts w:ascii="宋体" w:hAnsi="宋体" w:eastAsia="宋体"/>
          <w:sz w:val="21"/>
        </w:rPr>
        <w:t>由于样本数仅为</w:t>
      </w:r>
      <m:oMath>
        <m:r>
          <m:rPr>
            <m:sty m:val="p"/>
          </m:rPr>
          <w:rPr>
            <w:rFonts w:ascii="Cambria Math" w:hAnsi="Cambria Math" w:eastAsia="宋体" w:cstheme="minorBidi"/>
            <w:sz w:val="21"/>
            <w:szCs w:val="22"/>
            <w:lang w:val="en-US" w:bidi="ar-SA"/>
          </w:rPr>
          <m:t xml:space="preserve"> 25</m:t>
        </m:r>
      </m:oMath>
      <w:r>
        <w:rPr>
          <w:rFonts w:ascii="宋体" w:hAnsi="宋体" w:eastAsia="宋体"/>
          <w:sz w:val="21"/>
        </w:rPr>
        <w:t>，本文采用留一交叉验证评价泛化性能。每次取</w:t>
      </w:r>
      <m:oMath>
        <m:r>
          <m:rPr>
            <m:sty m:val="p"/>
          </m:rPr>
          <w:rPr>
            <w:rFonts w:ascii="Cambria Math" w:hAnsi="Cambria Math" w:eastAsia="宋体" w:cstheme="minorBidi"/>
            <w:sz w:val="21"/>
            <w:szCs w:val="22"/>
            <w:lang w:val="en-US" w:bidi="ar-SA"/>
          </w:rPr>
          <m:t xml:space="preserve"> 24 </m:t>
        </m:r>
      </m:oMath>
      <w:r>
        <w:rPr>
          <w:rFonts w:ascii="宋体" w:hAnsi="宋体" w:eastAsia="宋体"/>
          <w:sz w:val="21"/>
        </w:rPr>
        <w:t>个样本训练，剩余</w:t>
      </w:r>
      <m:oMath>
        <m:r>
          <m:rPr>
            <m:sty m:val="p"/>
          </m:rPr>
          <w:rPr>
            <w:rFonts w:ascii="Cambria Math" w:hAnsi="Cambria Math" w:eastAsia="宋体" w:cstheme="minorBidi"/>
            <w:sz w:val="21"/>
            <w:szCs w:val="22"/>
            <w:lang w:val="en-US" w:bidi="ar-SA"/>
          </w:rPr>
          <m:t xml:space="preserve"> 1 </m:t>
        </m:r>
      </m:oMath>
      <w:r>
        <w:rPr>
          <w:rFonts w:ascii="宋体" w:hAnsi="宋体" w:eastAsia="宋体"/>
          <w:sz w:val="21"/>
        </w:rPr>
        <w:t>个样本验证，循环</w:t>
      </w:r>
      <m:oMath>
        <m:r>
          <m:rPr>
            <m:sty m:val="p"/>
          </m:rPr>
          <w:rPr>
            <w:rFonts w:ascii="Cambria Math" w:hAnsi="Cambria Math" w:eastAsia="宋体" w:cstheme="minorBidi"/>
            <w:sz w:val="21"/>
            <w:szCs w:val="22"/>
            <w:lang w:val="en-US" w:bidi="ar-SA"/>
          </w:rPr>
          <m:t xml:space="preserve"> 25 </m:t>
        </m:r>
      </m:oMath>
      <w:r>
        <w:rPr>
          <w:rFonts w:ascii="宋体" w:hAnsi="宋体" w:eastAsia="宋体"/>
          <w:sz w:val="21"/>
        </w:rPr>
        <w:t>次后得到所有工况的交叉验证预测值。评价指标包括决定系数</w:t>
      </w:r>
      <m:oMath>
        <m:r>
          <m:rPr>
            <m:sty m:val="p"/>
          </m:rPr>
          <w:rPr>
            <w:rFonts w:ascii="Cambria Math" w:hAnsi="Cambria Math" w:eastAsia="宋体" w:cstheme="minorBidi"/>
            <w:sz w:val="21"/>
            <w:szCs w:val="22"/>
            <w:lang w:val="en-US" w:bidi="ar-SA"/>
          </w:rPr>
          <m:t xml:space="preserve"> R²</m:t>
        </m:r>
      </m:oMath>
      <w:r>
        <w:rPr>
          <w:rFonts w:ascii="宋体" w:hAnsi="宋体" w:eastAsia="宋体"/>
          <w:sz w:val="21"/>
        </w:rPr>
        <w:t>、平均绝对误差 MAE、均方根误差 RMSE 和最大绝对误差。其定义为：</w:t>
      </w:r>
    </w:p>
    <w:p w14:paraId="4F9335D1">
      <w:pPr>
        <w:spacing w:before="40" w:after="40"/>
        <w:jc w:val="center"/>
      </w:pPr>
      <m:oMath>
        <m:r>
          <m:rPr>
            <m:sty m:val="p"/>
          </m:rPr>
          <w:rPr>
            <w:rFonts w:hint="default" w:ascii="Cambria Math" w:hAnsi="Cambria Math" w:eastAsia="宋体"/>
            <w:sz w:val="21"/>
          </w:rPr>
          <m:t>MAE=(1/n)Σ|yᵢ−ŷᵢ|</m:t>
        </m:r>
      </m:oMath>
      <w:r>
        <w:rPr>
          <w:rFonts w:ascii="Times New Roman" w:hAnsi="Times New Roman" w:eastAsia="宋体"/>
          <w:sz w:val="21"/>
        </w:rPr>
        <w:t xml:space="preserve">    （6）</w:t>
      </w:r>
    </w:p>
    <w:p w14:paraId="3BA3A6C0">
      <w:pPr>
        <w:spacing w:before="40" w:after="40"/>
        <w:jc w:val="center"/>
      </w:pPr>
      <m:oMath>
        <m:r>
          <m:rPr>
            <m:sty m:val="p"/>
          </m:rPr>
          <w:rPr>
            <w:rFonts w:ascii="Cambria Math" w:hAnsi="Cambria Math" w:eastAsia="宋体" w:cstheme="minorBidi"/>
            <w:sz w:val="21"/>
            <w:szCs w:val="22"/>
            <w:lang w:val="en-US" w:bidi="ar-SA"/>
          </w:rPr>
          <m:t xml:space="preserve">RMSE = √[(1/n)Σ(yᵢ - ŷᵢ)²] </m:t>
        </m:r>
      </m:oMath>
      <w:r>
        <w:rPr>
          <w:rFonts w:ascii="Times New Roman" w:hAnsi="Times New Roman" w:eastAsia="宋体"/>
          <w:sz w:val="21"/>
        </w:rPr>
        <w:t xml:space="preserve">    （7）</w:t>
      </w:r>
    </w:p>
    <w:p w14:paraId="47C3AFA7">
      <w:pPr>
        <w:spacing w:before="40" w:after="40"/>
        <w:jc w:val="center"/>
      </w:pPr>
      <m:oMath>
        <m:r>
          <m:rPr>
            <m:sty m:val="p"/>
          </m:rPr>
          <w:rPr>
            <w:rFonts w:ascii="Cambria Math" w:hAnsi="Cambria Math" w:eastAsia="宋体" w:cstheme="minorBidi"/>
            <w:sz w:val="21"/>
            <w:szCs w:val="22"/>
            <w:lang w:val="en-US" w:bidi="ar-SA"/>
          </w:rPr>
          <m:t xml:space="preserve">R² = 1 - Σ(yᵢ - ŷᵢ)² / Σ(yᵢ - ȳ)² </m:t>
        </m:r>
      </m:oMath>
      <w:r>
        <w:rPr>
          <w:rFonts w:ascii="Times New Roman" w:hAnsi="Times New Roman" w:eastAsia="宋体"/>
          <w:sz w:val="21"/>
        </w:rPr>
        <w:t xml:space="preserve">    （8）</w:t>
      </w:r>
    </w:p>
    <w:p w14:paraId="0176BDEA">
      <w:pPr>
        <w:spacing w:before="0" w:after="0" w:line="300" w:lineRule="auto"/>
        <w:ind w:firstLine="420"/>
        <w:jc w:val="both"/>
      </w:pPr>
      <w:r>
        <w:rPr>
          <w:rFonts w:ascii="宋体" w:hAnsi="宋体" w:eastAsia="宋体"/>
          <w:sz w:val="21"/>
        </w:rPr>
        <w:t>训练完成后，选择</w:t>
      </w:r>
      <m:oMath>
        <m:r>
          <m:rPr>
            <m:sty m:val="p"/>
          </m:rPr>
          <w:rPr>
            <w:rFonts w:ascii="Cambria Math" w:hAnsi="Cambria Math" w:eastAsia="宋体" w:cstheme="minorBidi"/>
            <w:sz w:val="21"/>
            <w:szCs w:val="22"/>
            <w:lang w:val="en-US" w:bidi="ar-SA"/>
          </w:rPr>
          <m:t xml:space="preserve"> RMSE </m:t>
        </m:r>
      </m:oMath>
      <w:r>
        <w:rPr>
          <w:rFonts w:ascii="宋体" w:hAnsi="宋体" w:eastAsia="宋体"/>
          <w:sz w:val="21"/>
        </w:rPr>
        <w:t>最小的模型作为最优代理模型，并利用其在高度</w:t>
      </w:r>
      <m:oMath>
        <m:r>
          <m:rPr>
            <m:sty m:val="p"/>
          </m:rPr>
          <w:rPr>
            <w:rFonts w:ascii="Cambria Math" w:hAnsi="Cambria Math" w:eastAsia="宋体" w:cstheme="minorBidi"/>
            <w:sz w:val="21"/>
            <w:szCs w:val="22"/>
            <w:lang w:val="en-US" w:bidi="ar-SA"/>
          </w:rPr>
          <m:t xml:space="preserve"> 0.2-1.0 m</m:t>
        </m:r>
      </m:oMath>
      <w:r>
        <w:rPr>
          <w:rFonts w:ascii="宋体" w:hAnsi="宋体" w:eastAsia="宋体"/>
          <w:sz w:val="21"/>
        </w:rPr>
        <w:t xml:space="preserve">、角度 </w:t>
      </w:r>
      <m:oMath>
        <m:r>
          <m:rPr>
            <m:sty m:val="p"/>
          </m:rPr>
          <w:rPr>
            <w:rFonts w:ascii="Cambria Math" w:hAnsi="Cambria Math" w:eastAsia="宋体" w:cstheme="minorBidi"/>
            <w:sz w:val="21"/>
            <w:szCs w:val="22"/>
            <w:lang w:val="en-US" w:bidi="ar-SA"/>
          </w:rPr>
          <m:t>0°-90°</m:t>
        </m:r>
      </m:oMath>
      <w:r>
        <w:rPr>
          <w:rFonts w:ascii="宋体" w:hAnsi="宋体" w:eastAsia="宋体"/>
          <w:sz w:val="21"/>
        </w:rPr>
        <w:t>范围内进行加密预测，生成高度—角度风险分布图。该图不是替代有限元真实计算，而是作为快速参数筛查工具，用于识别潜在危险区域。</w:t>
      </w:r>
    </w:p>
    <w:p w14:paraId="3F3316AF">
      <w:pPr>
        <w:spacing w:before="40" w:after="120"/>
        <w:jc w:val="center"/>
      </w:pPr>
      <w:r>
        <w:rPr>
          <w:rFonts w:ascii="宋体" w:hAnsi="宋体" w:eastAsia="宋体"/>
          <w:sz w:val="18"/>
        </w:rPr>
        <w:t>表 3  不同机器学习模型的留一交叉验证结果</w:t>
      </w:r>
    </w:p>
    <w:tbl>
      <w:tblPr>
        <w:tblStyle w:val="32"/>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108" w:type="dxa"/>
          <w:bottom w:w="0" w:type="dxa"/>
          <w:right w:w="108" w:type="dxa"/>
        </w:tblCellMar>
      </w:tblPr>
      <w:tblGrid>
        <w:gridCol w:w="1847"/>
        <w:gridCol w:w="1847"/>
        <w:gridCol w:w="1847"/>
        <w:gridCol w:w="1847"/>
        <w:gridCol w:w="1847"/>
      </w:tblGrid>
      <w:tr w14:paraId="7F5A3A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847" w:type="dxa"/>
            <w:vAlign w:val="center"/>
          </w:tcPr>
          <w:p w14:paraId="19C986DC">
            <w:pPr>
              <w:jc w:val="center"/>
            </w:pPr>
            <w:r>
              <w:rPr>
                <w:rFonts w:ascii="宋体" w:hAnsi="宋体" w:eastAsia="宋体"/>
                <w:b/>
                <w:sz w:val="18"/>
              </w:rPr>
              <w:t>模型</w:t>
            </w:r>
          </w:p>
        </w:tc>
        <w:tc>
          <w:tcPr>
            <w:tcW w:w="1847" w:type="dxa"/>
            <w:vAlign w:val="center"/>
          </w:tcPr>
          <w:p w14:paraId="230B1B40">
            <w:pPr>
              <w:jc w:val="center"/>
            </w:pPr>
            <w:r>
              <w:rPr>
                <w:rFonts w:ascii="宋体" w:hAnsi="宋体" w:eastAsia="宋体"/>
                <w:b/>
                <w:sz w:val="18"/>
              </w:rPr>
              <w:t>R²</w:t>
            </w:r>
          </w:p>
        </w:tc>
        <w:tc>
          <w:tcPr>
            <w:tcW w:w="1847" w:type="dxa"/>
            <w:vAlign w:val="center"/>
          </w:tcPr>
          <w:p w14:paraId="7529FA1D">
            <w:pPr>
              <w:jc w:val="center"/>
            </w:pPr>
            <m:oMathPara>
              <m:oMath>
                <m:r>
                  <m:rPr>
                    <m:sty m:val="b"/>
                  </m:rPr>
                  <w:rPr>
                    <w:rFonts w:ascii="Cambria Math" w:hAnsi="Cambria Math" w:cstheme="minorBidi"/>
                    <w:sz w:val="18"/>
                    <w:szCs w:val="22"/>
                    <w:lang w:val="en-US" w:bidi="ar-SA"/>
                  </w:rPr>
                  <m:t>MAE/MPa</m:t>
                </m:r>
              </m:oMath>
            </m:oMathPara>
          </w:p>
        </w:tc>
        <w:tc>
          <w:tcPr>
            <w:tcW w:w="1847" w:type="dxa"/>
            <w:vAlign w:val="center"/>
          </w:tcPr>
          <w:p w14:paraId="1AA91C42">
            <w:pPr>
              <w:jc w:val="center"/>
            </w:pPr>
            <m:oMathPara>
              <m:oMath>
                <m:r>
                  <m:rPr>
                    <m:sty m:val="b"/>
                  </m:rPr>
                  <w:rPr>
                    <w:rFonts w:ascii="Cambria Math" w:hAnsi="Cambria Math" w:cstheme="minorBidi"/>
                    <w:sz w:val="18"/>
                    <w:szCs w:val="22"/>
                    <w:lang w:val="en-US" w:bidi="ar-SA"/>
                  </w:rPr>
                  <m:t>RMSE/MPa</m:t>
                </m:r>
              </m:oMath>
            </m:oMathPara>
          </w:p>
        </w:tc>
        <w:tc>
          <w:tcPr>
            <w:tcW w:w="1847" w:type="dxa"/>
            <w:vAlign w:val="center"/>
          </w:tcPr>
          <w:p w14:paraId="036BF1B0">
            <w:pPr>
              <w:jc w:val="center"/>
            </w:pPr>
            <m:oMathPara>
              <m:oMath>
                <m:r>
                  <m:rPr>
                    <m:sty m:val="b"/>
                  </m:rPr>
                  <w:rPr>
                    <w:rFonts w:ascii="Cambria Math" w:hAnsi="Cambria Math" w:cstheme="minorBidi"/>
                    <w:sz w:val="18"/>
                    <w:szCs w:val="22"/>
                    <w:lang w:val="en-US" w:bidi="ar-SA"/>
                  </w:rPr>
                  <m:t>最大误差/MPa</m:t>
                </m:r>
              </m:oMath>
            </m:oMathPara>
          </w:p>
        </w:tc>
      </w:tr>
      <w:tr w14:paraId="3A8E42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847" w:type="dxa"/>
            <w:vAlign w:val="center"/>
          </w:tcPr>
          <w:p w14:paraId="17CE77D0">
            <w:pPr>
              <w:jc w:val="center"/>
            </w:pPr>
            <m:oMathPara>
              <m:oMath>
                <m:r>
                  <m:rPr>
                    <m:sty m:val="p"/>
                  </m:rPr>
                  <w:rPr>
                    <w:rFonts w:ascii="Cambria Math" w:hAnsi="Cambria Math" w:eastAsia="宋体" w:cstheme="minorBidi"/>
                    <w:sz w:val="18"/>
                    <w:szCs w:val="22"/>
                    <w:lang w:val="en-US" w:bidi="ar-SA"/>
                  </w:rPr>
                  <m:t>ExtraTrees</m:t>
                </m:r>
              </m:oMath>
            </m:oMathPara>
          </w:p>
        </w:tc>
        <w:tc>
          <w:tcPr>
            <w:tcW w:w="1847" w:type="dxa"/>
            <w:vAlign w:val="center"/>
          </w:tcPr>
          <w:p w14:paraId="28C24059">
            <w:pPr>
              <w:jc w:val="center"/>
            </w:pPr>
            <w:r>
              <w:rPr>
                <w:rFonts w:ascii="宋体" w:hAnsi="宋体" w:eastAsia="宋体"/>
                <w:b w:val="0"/>
                <w:sz w:val="18"/>
              </w:rPr>
              <w:t>0.893</w:t>
            </w:r>
          </w:p>
        </w:tc>
        <w:tc>
          <w:tcPr>
            <w:tcW w:w="1847" w:type="dxa"/>
            <w:vAlign w:val="center"/>
          </w:tcPr>
          <w:p w14:paraId="078E6949">
            <w:pPr>
              <w:jc w:val="center"/>
            </w:pPr>
            <w:r>
              <w:rPr>
                <w:rFonts w:ascii="宋体" w:hAnsi="宋体" w:eastAsia="宋体"/>
                <w:b w:val="0"/>
                <w:sz w:val="18"/>
              </w:rPr>
              <w:t>32.725</w:t>
            </w:r>
          </w:p>
        </w:tc>
        <w:tc>
          <w:tcPr>
            <w:tcW w:w="1847" w:type="dxa"/>
            <w:vAlign w:val="center"/>
          </w:tcPr>
          <w:p w14:paraId="30DA98A5">
            <w:pPr>
              <w:jc w:val="center"/>
            </w:pPr>
            <w:r>
              <w:rPr>
                <w:rFonts w:ascii="宋体" w:hAnsi="宋体" w:eastAsia="宋体"/>
                <w:b w:val="0"/>
                <w:sz w:val="18"/>
              </w:rPr>
              <w:t>41.462</w:t>
            </w:r>
          </w:p>
        </w:tc>
        <w:tc>
          <w:tcPr>
            <w:tcW w:w="1847" w:type="dxa"/>
            <w:vAlign w:val="center"/>
          </w:tcPr>
          <w:p w14:paraId="4B220C23">
            <w:pPr>
              <w:jc w:val="center"/>
            </w:pPr>
            <w:r>
              <w:rPr>
                <w:rFonts w:ascii="宋体" w:hAnsi="宋体" w:eastAsia="宋体"/>
                <w:b w:val="0"/>
                <w:sz w:val="18"/>
              </w:rPr>
              <w:t>95.307</w:t>
            </w:r>
          </w:p>
        </w:tc>
      </w:tr>
      <w:tr w14:paraId="12B004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847" w:type="dxa"/>
            <w:vAlign w:val="center"/>
          </w:tcPr>
          <w:p w14:paraId="7121701A">
            <w:pPr>
              <w:jc w:val="center"/>
            </w:pPr>
            <m:oMathPara>
              <m:oMath>
                <m:r>
                  <m:rPr>
                    <m:sty m:val="p"/>
                  </m:rPr>
                  <w:rPr>
                    <w:rFonts w:ascii="Cambria Math" w:hAnsi="Cambria Math" w:eastAsia="宋体" w:cstheme="minorBidi"/>
                    <w:sz w:val="18"/>
                    <w:szCs w:val="22"/>
                    <w:lang w:val="en-US" w:bidi="ar-SA"/>
                  </w:rPr>
                  <m:t>GradientBoosting</m:t>
                </m:r>
              </m:oMath>
            </m:oMathPara>
          </w:p>
        </w:tc>
        <w:tc>
          <w:tcPr>
            <w:tcW w:w="1847" w:type="dxa"/>
            <w:vAlign w:val="center"/>
          </w:tcPr>
          <w:p w14:paraId="5DFE26A1">
            <w:pPr>
              <w:jc w:val="center"/>
            </w:pPr>
            <w:r>
              <w:rPr>
                <w:rFonts w:ascii="宋体" w:hAnsi="宋体" w:eastAsia="宋体"/>
                <w:b w:val="0"/>
                <w:sz w:val="18"/>
              </w:rPr>
              <w:t>0.863</w:t>
            </w:r>
          </w:p>
        </w:tc>
        <w:tc>
          <w:tcPr>
            <w:tcW w:w="1847" w:type="dxa"/>
            <w:vAlign w:val="center"/>
          </w:tcPr>
          <w:p w14:paraId="40E1F6BD">
            <w:pPr>
              <w:jc w:val="center"/>
            </w:pPr>
            <w:r>
              <w:rPr>
                <w:rFonts w:ascii="宋体" w:hAnsi="宋体" w:eastAsia="宋体"/>
                <w:b w:val="0"/>
                <w:sz w:val="18"/>
              </w:rPr>
              <w:t>37.343</w:t>
            </w:r>
          </w:p>
        </w:tc>
        <w:tc>
          <w:tcPr>
            <w:tcW w:w="1847" w:type="dxa"/>
            <w:vAlign w:val="center"/>
          </w:tcPr>
          <w:p w14:paraId="68ED42A4">
            <w:pPr>
              <w:jc w:val="center"/>
            </w:pPr>
            <w:r>
              <w:rPr>
                <w:rFonts w:ascii="宋体" w:hAnsi="宋体" w:eastAsia="宋体"/>
                <w:b w:val="0"/>
                <w:sz w:val="18"/>
              </w:rPr>
              <w:t>46.997</w:t>
            </w:r>
          </w:p>
        </w:tc>
        <w:tc>
          <w:tcPr>
            <w:tcW w:w="1847" w:type="dxa"/>
            <w:vAlign w:val="center"/>
          </w:tcPr>
          <w:p w14:paraId="368E0CBB">
            <w:pPr>
              <w:jc w:val="center"/>
            </w:pPr>
            <w:r>
              <w:rPr>
                <w:rFonts w:ascii="宋体" w:hAnsi="宋体" w:eastAsia="宋体"/>
                <w:b w:val="0"/>
                <w:sz w:val="18"/>
              </w:rPr>
              <w:t>125.125</w:t>
            </w:r>
          </w:p>
        </w:tc>
      </w:tr>
      <w:tr w14:paraId="33315E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847" w:type="dxa"/>
            <w:vAlign w:val="center"/>
          </w:tcPr>
          <w:p w14:paraId="445EF326">
            <w:pPr>
              <w:jc w:val="center"/>
            </w:pPr>
            <m:oMathPara>
              <m:oMath>
                <m:r>
                  <m:rPr>
                    <m:sty m:val="p"/>
                  </m:rPr>
                  <w:rPr>
                    <w:rFonts w:ascii="Cambria Math" w:hAnsi="Cambria Math" w:eastAsia="宋体" w:cstheme="minorBidi"/>
                    <w:sz w:val="18"/>
                    <w:szCs w:val="22"/>
                    <w:lang w:val="en-US" w:bidi="ar-SA"/>
                  </w:rPr>
                  <m:t>RandomForest</m:t>
                </m:r>
              </m:oMath>
            </m:oMathPara>
          </w:p>
        </w:tc>
        <w:tc>
          <w:tcPr>
            <w:tcW w:w="1847" w:type="dxa"/>
            <w:vAlign w:val="center"/>
          </w:tcPr>
          <w:p w14:paraId="696EE6C0">
            <w:pPr>
              <w:jc w:val="center"/>
            </w:pPr>
            <w:r>
              <w:rPr>
                <w:rFonts w:ascii="宋体" w:hAnsi="宋体" w:eastAsia="宋体"/>
                <w:b w:val="0"/>
                <w:sz w:val="18"/>
              </w:rPr>
              <w:t>0.863</w:t>
            </w:r>
          </w:p>
        </w:tc>
        <w:tc>
          <w:tcPr>
            <w:tcW w:w="1847" w:type="dxa"/>
            <w:vAlign w:val="center"/>
          </w:tcPr>
          <w:p w14:paraId="3B72EBBD">
            <w:pPr>
              <w:jc w:val="center"/>
            </w:pPr>
            <w:r>
              <w:rPr>
                <w:rFonts w:ascii="宋体" w:hAnsi="宋体" w:eastAsia="宋体"/>
                <w:b w:val="0"/>
                <w:sz w:val="18"/>
              </w:rPr>
              <w:t>36.487</w:t>
            </w:r>
          </w:p>
        </w:tc>
        <w:tc>
          <w:tcPr>
            <w:tcW w:w="1847" w:type="dxa"/>
            <w:vAlign w:val="center"/>
          </w:tcPr>
          <w:p w14:paraId="3A5544D2">
            <w:pPr>
              <w:jc w:val="center"/>
            </w:pPr>
            <w:r>
              <w:rPr>
                <w:rFonts w:ascii="宋体" w:hAnsi="宋体" w:eastAsia="宋体"/>
                <w:b w:val="0"/>
                <w:sz w:val="18"/>
              </w:rPr>
              <w:t>47.065</w:t>
            </w:r>
          </w:p>
        </w:tc>
        <w:tc>
          <w:tcPr>
            <w:tcW w:w="1847" w:type="dxa"/>
            <w:vAlign w:val="center"/>
          </w:tcPr>
          <w:p w14:paraId="6ABA0F4C">
            <w:pPr>
              <w:jc w:val="center"/>
            </w:pPr>
            <w:r>
              <w:rPr>
                <w:rFonts w:ascii="宋体" w:hAnsi="宋体" w:eastAsia="宋体"/>
                <w:b w:val="0"/>
                <w:sz w:val="18"/>
              </w:rPr>
              <w:t>111.491</w:t>
            </w:r>
          </w:p>
        </w:tc>
      </w:tr>
      <w:tr w14:paraId="6A50021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847" w:type="dxa"/>
            <w:vAlign w:val="center"/>
          </w:tcPr>
          <w:p w14:paraId="4243BDDE">
            <w:pPr>
              <w:jc w:val="center"/>
            </w:pPr>
            <m:oMathPara>
              <m:oMath>
                <m:r>
                  <m:rPr>
                    <m:sty m:val="p"/>
                  </m:rPr>
                  <w:rPr>
                    <w:rFonts w:ascii="Cambria Math" w:hAnsi="Cambria Math" w:eastAsia="宋体" w:cstheme="minorBidi"/>
                    <w:sz w:val="18"/>
                    <w:szCs w:val="22"/>
                    <w:lang w:val="en-US" w:bidi="ar-SA"/>
                  </w:rPr>
                  <m:t>SVR_RBF</m:t>
                </m:r>
              </m:oMath>
            </m:oMathPara>
          </w:p>
        </w:tc>
        <w:tc>
          <w:tcPr>
            <w:tcW w:w="1847" w:type="dxa"/>
            <w:vAlign w:val="center"/>
          </w:tcPr>
          <w:p w14:paraId="598E327A">
            <w:pPr>
              <w:jc w:val="center"/>
            </w:pPr>
            <w:r>
              <w:rPr>
                <w:rFonts w:ascii="宋体" w:hAnsi="宋体" w:eastAsia="宋体"/>
                <w:b w:val="0"/>
                <w:sz w:val="18"/>
              </w:rPr>
              <w:t>0.222</w:t>
            </w:r>
          </w:p>
        </w:tc>
        <w:tc>
          <w:tcPr>
            <w:tcW w:w="1847" w:type="dxa"/>
            <w:vAlign w:val="center"/>
          </w:tcPr>
          <w:p w14:paraId="32705858">
            <w:pPr>
              <w:jc w:val="center"/>
            </w:pPr>
            <w:r>
              <w:rPr>
                <w:rFonts w:ascii="宋体" w:hAnsi="宋体" w:eastAsia="宋体"/>
                <w:b w:val="0"/>
                <w:sz w:val="18"/>
              </w:rPr>
              <w:t>90.793</w:t>
            </w:r>
          </w:p>
        </w:tc>
        <w:tc>
          <w:tcPr>
            <w:tcW w:w="1847" w:type="dxa"/>
            <w:vAlign w:val="center"/>
          </w:tcPr>
          <w:p w14:paraId="14C7C5DA">
            <w:pPr>
              <w:jc w:val="center"/>
            </w:pPr>
            <w:r>
              <w:rPr>
                <w:rFonts w:ascii="宋体" w:hAnsi="宋体" w:eastAsia="宋体"/>
                <w:b w:val="0"/>
                <w:sz w:val="18"/>
              </w:rPr>
              <w:t>112.022</w:t>
            </w:r>
          </w:p>
        </w:tc>
        <w:tc>
          <w:tcPr>
            <w:tcW w:w="1847" w:type="dxa"/>
            <w:vAlign w:val="center"/>
          </w:tcPr>
          <w:p w14:paraId="28A4F62B">
            <w:pPr>
              <w:jc w:val="center"/>
            </w:pPr>
            <w:r>
              <w:rPr>
                <w:rFonts w:ascii="宋体" w:hAnsi="宋体" w:eastAsia="宋体"/>
                <w:b w:val="0"/>
                <w:sz w:val="18"/>
              </w:rPr>
              <w:t>311.876</w:t>
            </w:r>
          </w:p>
        </w:tc>
      </w:tr>
    </w:tbl>
    <w:p w14:paraId="0896587B"/>
    <w:p w14:paraId="46B1618E">
      <w:pPr>
        <w:spacing w:before="120" w:after="80" w:line="300" w:lineRule="auto"/>
        <w:jc w:val="left"/>
      </w:pPr>
      <w:r>
        <w:rPr>
          <w:rFonts w:ascii="黑体" w:hAnsi="黑体" w:eastAsia="黑体"/>
          <w:b/>
          <w:sz w:val="28"/>
        </w:rPr>
        <w:t>5 结果与讨论</w:t>
      </w:r>
    </w:p>
    <w:p w14:paraId="01860AAC">
      <w:pPr>
        <w:spacing w:before="120" w:after="80" w:line="300" w:lineRule="auto"/>
        <w:jc w:val="left"/>
      </w:pPr>
      <w:r>
        <w:rPr>
          <w:rFonts w:ascii="黑体" w:hAnsi="黑体" w:eastAsia="黑体"/>
          <w:b/>
          <w:sz w:val="21"/>
        </w:rPr>
        <w:t>5.1 最大主应力响应规律</w:t>
      </w:r>
    </w:p>
    <w:p w14:paraId="590DA39C">
      <w:pPr>
        <w:spacing w:before="0" w:after="0" w:line="300" w:lineRule="auto"/>
        <w:ind w:firstLine="420"/>
        <w:jc w:val="both"/>
      </w:pPr>
      <w:r>
        <w:rPr>
          <w:rFonts w:ascii="宋体" w:hAnsi="宋体" w:eastAsia="宋体"/>
          <w:sz w:val="21"/>
        </w:rPr>
        <w:t>表 4 给出了 25 组工况的最大主应力矩阵。整体上，平躺跌落</w:t>
      </w:r>
      <m:oMath>
        <m:r>
          <m:rPr>
            <m:sty m:val="p"/>
          </m:rPr>
          <w:rPr>
            <w:rFonts w:ascii="Cambria Math" w:hAnsi="Cambria Math" w:eastAsia="宋体" w:cstheme="minorBidi"/>
            <w:sz w:val="21"/>
            <w:szCs w:val="22"/>
            <w:lang w:val="en-US" w:bidi="ar-SA"/>
          </w:rPr>
          <m:t xml:space="preserve"> A = 0° </m:t>
        </m:r>
      </m:oMath>
      <w:r>
        <w:rPr>
          <w:rFonts w:ascii="宋体" w:hAnsi="宋体" w:eastAsia="宋体"/>
          <w:sz w:val="21"/>
        </w:rPr>
        <w:t>时最大主应力最低，大部分工况小于</w:t>
      </w:r>
      <m:oMath>
        <m:r>
          <m:rPr/>
          <w:rPr>
            <w:rFonts w:hint="default" w:ascii="Cambria Math" w:hAnsi="Cambria Math" w:eastAsia="宋体"/>
            <w:sz w:val="21"/>
          </w:rPr>
          <m:t>30MPa</m:t>
        </m:r>
      </m:oMath>
      <w:r>
        <w:rPr>
          <w:rFonts w:ascii="宋体" w:hAnsi="宋体" w:eastAsia="宋体"/>
          <w:sz w:val="21"/>
        </w:rPr>
        <w:t>；竖直跌落</w:t>
      </w:r>
      <m:oMath>
        <m:r>
          <m:rPr>
            <m:sty m:val="p"/>
          </m:rPr>
          <w:rPr>
            <w:rFonts w:ascii="Cambria Math" w:hAnsi="Cambria Math" w:eastAsia="宋体" w:cstheme="minorBidi"/>
            <w:sz w:val="21"/>
            <w:szCs w:val="22"/>
            <w:lang w:val="en-US" w:bidi="ar-SA"/>
          </w:rPr>
          <m:t xml:space="preserve"> A = 90° </m:t>
        </m:r>
      </m:oMath>
      <w:r>
        <w:rPr>
          <w:rFonts w:ascii="宋体" w:hAnsi="宋体" w:eastAsia="宋体"/>
          <w:sz w:val="21"/>
        </w:rPr>
        <w:t>时最大主应力显著升高，且随高度增加总体上升。最危险工况为</w:t>
      </w:r>
      <m:oMath>
        <m:r>
          <m:rPr/>
          <w:rPr>
            <w:rFonts w:hint="default" w:ascii="Cambria Math" w:hAnsi="Cambria Math" w:eastAsia="宋体"/>
            <w:sz w:val="21"/>
          </w:rPr>
          <m:t>H=1.0m、A=90°，</m:t>
        </m:r>
        <m:sSub>
          <m:sSubPr>
            <m:ctrlPr>
              <w:rPr>
                <w:rFonts w:hint="default" w:ascii="Cambria Math" w:hAnsi="Cambria Math" w:eastAsia="宋体"/>
                <w:sz w:val="21"/>
              </w:rPr>
            </m:ctrlPr>
          </m:sSubPr>
          <m:e>
            <m:r>
              <m:rPr/>
              <w:rPr>
                <w:rFonts w:hint="default" w:ascii="Cambria Math" w:hAnsi="Cambria Math" w:eastAsia="宋体"/>
                <w:sz w:val="21"/>
              </w:rPr>
              <m:t>S</m:t>
            </m:r>
            <m:ctrlPr>
              <w:rPr>
                <w:rFonts w:ascii="Cambria Math" w:hAnsi="Cambria Math" w:eastAsia="宋体"/>
                <w:sz w:val="21"/>
              </w:rPr>
            </m:ctrlPr>
          </m:e>
          <m:sub>
            <m:r>
              <m:rPr/>
              <w:rPr>
                <w:rFonts w:hint="default" w:ascii="Cambria Math" w:hAnsi="Cambria Math" w:eastAsia="宋体"/>
                <w:sz w:val="21"/>
              </w:rPr>
              <m:t>1,max</m:t>
            </m:r>
            <m:ctrlPr>
              <w:rPr>
                <w:rFonts w:ascii="Cambria Math" w:hAnsi="Cambria Math" w:eastAsia="宋体"/>
                <w:sz w:val="21"/>
              </w:rPr>
            </m:ctrlPr>
          </m:sub>
        </m:sSub>
        <m:r>
          <m:rPr/>
          <w:rPr>
            <w:rFonts w:hint="default" w:ascii="Cambria Math" w:hAnsi="Cambria Math" w:eastAsia="宋体"/>
            <w:sz w:val="21"/>
          </w:rPr>
          <m:t>=519.33MPa</m:t>
        </m:r>
      </m:oMath>
      <w:r>
        <w:rPr>
          <w:rFonts w:ascii="宋体" w:hAnsi="宋体" w:eastAsia="宋体"/>
          <w:sz w:val="21"/>
        </w:rPr>
        <w:t>；最安全工况为</w:t>
      </w:r>
      <m:oMath>
        <m:r>
          <m:rPr/>
          <w:rPr>
            <w:rFonts w:hint="default" w:ascii="Cambria Math" w:hAnsi="Cambria Math" w:eastAsia="宋体"/>
            <w:sz w:val="21"/>
          </w:rPr>
          <m:t>H=0.2m、A=0°，</m:t>
        </m:r>
        <m:sSub>
          <m:sSubPr>
            <m:ctrlPr>
              <w:rPr>
                <w:rFonts w:hint="default" w:ascii="Cambria Math" w:hAnsi="Cambria Math" w:eastAsia="宋体"/>
                <w:sz w:val="21"/>
              </w:rPr>
            </m:ctrlPr>
          </m:sSubPr>
          <m:e>
            <m:r>
              <m:rPr/>
              <w:rPr>
                <w:rFonts w:hint="default" w:ascii="Cambria Math" w:hAnsi="Cambria Math" w:eastAsia="宋体"/>
                <w:sz w:val="21"/>
              </w:rPr>
              <m:t>S</m:t>
            </m:r>
            <m:ctrlPr>
              <w:rPr>
                <w:rFonts w:ascii="Cambria Math" w:hAnsi="Cambria Math" w:eastAsia="宋体"/>
                <w:sz w:val="21"/>
              </w:rPr>
            </m:ctrlPr>
          </m:e>
          <m:sub>
            <m:r>
              <m:rPr/>
              <w:rPr>
                <w:rFonts w:hint="default" w:ascii="Cambria Math" w:hAnsi="Cambria Math" w:eastAsia="宋体"/>
                <w:sz w:val="21"/>
              </w:rPr>
              <m:t>1,max</m:t>
            </m:r>
            <m:ctrlPr>
              <w:rPr>
                <w:rFonts w:ascii="Cambria Math" w:hAnsi="Cambria Math" w:eastAsia="宋体"/>
                <w:sz w:val="21"/>
              </w:rPr>
            </m:ctrlPr>
          </m:sub>
        </m:sSub>
        <m:r>
          <m:rPr/>
          <w:rPr>
            <w:rFonts w:hint="default" w:ascii="Cambria Math" w:hAnsi="Cambria Math" w:eastAsia="宋体"/>
            <w:sz w:val="21"/>
          </w:rPr>
          <m:t>=9.33MPa</m:t>
        </m:r>
      </m:oMath>
      <w:r>
        <w:rPr>
          <w:rFonts w:ascii="宋体" w:hAnsi="宋体" w:eastAsia="宋体"/>
          <w:sz w:val="21"/>
        </w:rPr>
        <w:t>。</w:t>
      </w:r>
    </w:p>
    <w:p w14:paraId="33224435">
      <w:pPr>
        <w:spacing w:before="40" w:after="120"/>
        <w:jc w:val="center"/>
      </w:pPr>
      <w:r>
        <w:rPr>
          <w:rFonts w:ascii="宋体" w:hAnsi="宋体" w:eastAsia="宋体"/>
          <w:sz w:val="18"/>
        </w:rPr>
        <w:t xml:space="preserve">表 4  不同高度和角度下最大主应力 </w:t>
      </w:r>
      <m:oMath>
        <m:sSub>
          <m:sSubPr>
            <m:ctrlPr>
              <w:rPr>
                <w:rFonts w:hint="default" w:ascii="Cambria Math" w:hAnsi="Cambria Math" w:eastAsia="宋体"/>
                <w:sz w:val="18"/>
              </w:rPr>
            </m:ctrlPr>
          </m:sSubPr>
          <m:e>
            <m:r>
              <m:rPr/>
              <w:rPr>
                <w:rFonts w:hint="default" w:ascii="Cambria Math" w:hAnsi="Cambria Math" w:eastAsia="宋体"/>
                <w:sz w:val="18"/>
              </w:rPr>
              <m:t>S</m:t>
            </m:r>
            <m:ctrlPr>
              <w:rPr>
                <w:rFonts w:ascii="Cambria Math" w:hAnsi="Cambria Math" w:eastAsia="宋体"/>
                <w:sz w:val="18"/>
              </w:rPr>
            </m:ctrlPr>
          </m:e>
          <m:sub>
            <m:r>
              <m:rPr/>
              <w:rPr>
                <w:rFonts w:hint="default" w:ascii="Cambria Math" w:hAnsi="Cambria Math" w:eastAsia="宋体"/>
                <w:sz w:val="18"/>
              </w:rPr>
              <m:t>1,max</m:t>
            </m:r>
            <m:ctrlPr>
              <w:rPr>
                <w:rFonts w:ascii="Cambria Math" w:hAnsi="Cambria Math" w:eastAsia="宋体"/>
                <w:sz w:val="18"/>
              </w:rPr>
            </m:ctrlPr>
          </m:sub>
        </m:sSub>
        <m:r>
          <m:rPr/>
          <w:rPr>
            <w:rFonts w:hint="default" w:ascii="Cambria Math" w:hAnsi="Cambria Math" w:eastAsia="宋体"/>
            <w:sz w:val="18"/>
          </w:rPr>
          <m:t>（MPa）</m:t>
        </m:r>
      </m:oMath>
    </w:p>
    <w:tbl>
      <w:tblPr>
        <w:tblStyle w:val="32"/>
        <w:tblW w:w="0" w:type="auto"/>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autofit"/>
        <w:tblCellMar>
          <w:top w:w="0" w:type="dxa"/>
          <w:left w:w="108" w:type="dxa"/>
          <w:bottom w:w="0" w:type="dxa"/>
          <w:right w:w="108" w:type="dxa"/>
        </w:tblCellMar>
      </w:tblPr>
      <w:tblGrid>
        <w:gridCol w:w="1539"/>
        <w:gridCol w:w="1539"/>
        <w:gridCol w:w="1539"/>
        <w:gridCol w:w="1539"/>
        <w:gridCol w:w="1539"/>
        <w:gridCol w:w="1539"/>
      </w:tblGrid>
      <w:tr w14:paraId="0F30AA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jc w:val="center"/>
        </w:trPr>
        <w:tc>
          <w:tcPr>
            <w:tcW w:w="1539" w:type="dxa"/>
            <w:vAlign w:val="center"/>
          </w:tcPr>
          <w:p w14:paraId="6B672F41">
            <w:pPr>
              <w:jc w:val="center"/>
            </w:pPr>
            <w:r>
              <w:rPr>
                <w:rFonts w:ascii="宋体" w:hAnsi="宋体" w:eastAsia="宋体"/>
                <w:b/>
                <w:sz w:val="18"/>
              </w:rPr>
              <w:t>H/m</w:t>
            </w:r>
          </w:p>
        </w:tc>
        <w:tc>
          <w:tcPr>
            <w:tcW w:w="1539" w:type="dxa"/>
            <w:vAlign w:val="center"/>
          </w:tcPr>
          <w:p w14:paraId="12A3B5D5">
            <w:pPr>
              <w:jc w:val="center"/>
            </w:pPr>
            <w:r>
              <w:rPr>
                <w:rFonts w:ascii="宋体" w:hAnsi="宋体" w:eastAsia="宋体"/>
                <w:b/>
                <w:sz w:val="18"/>
              </w:rPr>
              <w:t>A=0°</w:t>
            </w:r>
          </w:p>
        </w:tc>
        <w:tc>
          <w:tcPr>
            <w:tcW w:w="1539" w:type="dxa"/>
            <w:vAlign w:val="center"/>
          </w:tcPr>
          <w:p w14:paraId="74D85363">
            <w:pPr>
              <w:jc w:val="center"/>
            </w:pPr>
            <w:r>
              <w:rPr>
                <w:rFonts w:ascii="宋体" w:hAnsi="宋体" w:eastAsia="宋体"/>
                <w:b/>
                <w:sz w:val="18"/>
              </w:rPr>
              <w:t>A=30°</w:t>
            </w:r>
          </w:p>
        </w:tc>
        <w:tc>
          <w:tcPr>
            <w:tcW w:w="1539" w:type="dxa"/>
            <w:vAlign w:val="center"/>
          </w:tcPr>
          <w:p w14:paraId="2F6FEA8D">
            <w:pPr>
              <w:jc w:val="center"/>
            </w:pPr>
            <w:r>
              <w:rPr>
                <w:rFonts w:ascii="宋体" w:hAnsi="宋体" w:eastAsia="宋体"/>
                <w:b/>
                <w:sz w:val="18"/>
              </w:rPr>
              <w:t>A=45°</w:t>
            </w:r>
          </w:p>
        </w:tc>
        <w:tc>
          <w:tcPr>
            <w:tcW w:w="1539" w:type="dxa"/>
            <w:vAlign w:val="center"/>
          </w:tcPr>
          <w:p w14:paraId="2A3BF1EA">
            <w:pPr>
              <w:jc w:val="center"/>
            </w:pPr>
            <w:r>
              <w:rPr>
                <w:rFonts w:ascii="宋体" w:hAnsi="宋体" w:eastAsia="宋体"/>
                <w:b/>
                <w:sz w:val="18"/>
              </w:rPr>
              <w:t>A=60°</w:t>
            </w:r>
          </w:p>
        </w:tc>
        <w:tc>
          <w:tcPr>
            <w:tcW w:w="1539" w:type="dxa"/>
            <w:vAlign w:val="center"/>
          </w:tcPr>
          <w:p w14:paraId="11E51EBA">
            <w:pPr>
              <w:jc w:val="center"/>
            </w:pPr>
            <w:r>
              <w:rPr>
                <w:rFonts w:ascii="宋体" w:hAnsi="宋体" w:eastAsia="宋体"/>
                <w:b/>
                <w:sz w:val="18"/>
              </w:rPr>
              <w:t>A=90°</w:t>
            </w:r>
          </w:p>
        </w:tc>
      </w:tr>
      <w:tr w14:paraId="0B863C8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9" w:type="dxa"/>
            <w:vAlign w:val="center"/>
          </w:tcPr>
          <w:p w14:paraId="1CC3F670">
            <w:pPr>
              <w:jc w:val="center"/>
            </w:pPr>
            <w:r>
              <w:rPr>
                <w:rFonts w:ascii="宋体" w:hAnsi="宋体" w:eastAsia="宋体"/>
                <w:b w:val="0"/>
                <w:sz w:val="18"/>
              </w:rPr>
              <w:t>0.200</w:t>
            </w:r>
          </w:p>
        </w:tc>
        <w:tc>
          <w:tcPr>
            <w:tcW w:w="1539" w:type="dxa"/>
            <w:vAlign w:val="center"/>
          </w:tcPr>
          <w:p w14:paraId="620C982D">
            <w:pPr>
              <w:jc w:val="center"/>
            </w:pPr>
            <w:r>
              <w:rPr>
                <w:rFonts w:ascii="宋体" w:hAnsi="宋体" w:eastAsia="宋体"/>
                <w:b w:val="0"/>
                <w:sz w:val="18"/>
              </w:rPr>
              <w:t>9.330</w:t>
            </w:r>
          </w:p>
        </w:tc>
        <w:tc>
          <w:tcPr>
            <w:tcW w:w="1539" w:type="dxa"/>
            <w:vAlign w:val="center"/>
          </w:tcPr>
          <w:p w14:paraId="7EF55EBC">
            <w:pPr>
              <w:jc w:val="center"/>
            </w:pPr>
            <w:r>
              <w:rPr>
                <w:rFonts w:ascii="宋体" w:hAnsi="宋体" w:eastAsia="宋体"/>
                <w:b w:val="0"/>
                <w:sz w:val="18"/>
              </w:rPr>
              <w:t>58.158</w:t>
            </w:r>
          </w:p>
        </w:tc>
        <w:tc>
          <w:tcPr>
            <w:tcW w:w="1539" w:type="dxa"/>
            <w:vAlign w:val="center"/>
          </w:tcPr>
          <w:p w14:paraId="26BB9FCD">
            <w:pPr>
              <w:jc w:val="center"/>
            </w:pPr>
            <w:r>
              <w:rPr>
                <w:rFonts w:ascii="宋体" w:hAnsi="宋体" w:eastAsia="宋体"/>
                <w:b w:val="0"/>
                <w:sz w:val="18"/>
              </w:rPr>
              <w:t>204.515</w:t>
            </w:r>
          </w:p>
        </w:tc>
        <w:tc>
          <w:tcPr>
            <w:tcW w:w="1539" w:type="dxa"/>
            <w:vAlign w:val="center"/>
          </w:tcPr>
          <w:p w14:paraId="5FD9621D">
            <w:pPr>
              <w:jc w:val="center"/>
            </w:pPr>
            <w:r>
              <w:rPr>
                <w:rFonts w:ascii="宋体" w:hAnsi="宋体" w:eastAsia="宋体"/>
                <w:b w:val="0"/>
                <w:sz w:val="18"/>
              </w:rPr>
              <w:t>148.459</w:t>
            </w:r>
          </w:p>
        </w:tc>
        <w:tc>
          <w:tcPr>
            <w:tcW w:w="1539" w:type="dxa"/>
            <w:vAlign w:val="center"/>
          </w:tcPr>
          <w:p w14:paraId="7F967928">
            <w:pPr>
              <w:jc w:val="center"/>
            </w:pPr>
            <w:r>
              <w:rPr>
                <w:rFonts w:ascii="宋体" w:hAnsi="宋体" w:eastAsia="宋体"/>
                <w:b w:val="0"/>
                <w:sz w:val="18"/>
              </w:rPr>
              <w:t>260.356</w:t>
            </w:r>
          </w:p>
        </w:tc>
      </w:tr>
      <w:tr w14:paraId="322239F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9" w:type="dxa"/>
            <w:vAlign w:val="center"/>
          </w:tcPr>
          <w:p w14:paraId="4373F211">
            <w:pPr>
              <w:jc w:val="center"/>
            </w:pPr>
            <w:r>
              <w:rPr>
                <w:rFonts w:ascii="宋体" w:hAnsi="宋体" w:eastAsia="宋体"/>
                <w:b w:val="0"/>
                <w:sz w:val="18"/>
              </w:rPr>
              <w:t>0.400</w:t>
            </w:r>
          </w:p>
        </w:tc>
        <w:tc>
          <w:tcPr>
            <w:tcW w:w="1539" w:type="dxa"/>
            <w:vAlign w:val="center"/>
          </w:tcPr>
          <w:p w14:paraId="5B9FE942">
            <w:pPr>
              <w:jc w:val="center"/>
            </w:pPr>
            <w:r>
              <w:rPr>
                <w:rFonts w:ascii="宋体" w:hAnsi="宋体" w:eastAsia="宋体"/>
                <w:b w:val="0"/>
                <w:sz w:val="18"/>
              </w:rPr>
              <w:t>13.157</w:t>
            </w:r>
          </w:p>
        </w:tc>
        <w:tc>
          <w:tcPr>
            <w:tcW w:w="1539" w:type="dxa"/>
            <w:vAlign w:val="center"/>
          </w:tcPr>
          <w:p w14:paraId="31B5E490">
            <w:pPr>
              <w:jc w:val="center"/>
            </w:pPr>
            <w:r>
              <w:rPr>
                <w:rFonts w:ascii="宋体" w:hAnsi="宋体" w:eastAsia="宋体"/>
                <w:b w:val="0"/>
                <w:sz w:val="18"/>
              </w:rPr>
              <w:t>146.309</w:t>
            </w:r>
          </w:p>
        </w:tc>
        <w:tc>
          <w:tcPr>
            <w:tcW w:w="1539" w:type="dxa"/>
            <w:vAlign w:val="center"/>
          </w:tcPr>
          <w:p w14:paraId="472150E8">
            <w:pPr>
              <w:jc w:val="center"/>
            </w:pPr>
            <w:r>
              <w:rPr>
                <w:rFonts w:ascii="宋体" w:hAnsi="宋体" w:eastAsia="宋体"/>
                <w:b w:val="0"/>
                <w:sz w:val="18"/>
              </w:rPr>
              <w:t>201.228</w:t>
            </w:r>
          </w:p>
        </w:tc>
        <w:tc>
          <w:tcPr>
            <w:tcW w:w="1539" w:type="dxa"/>
            <w:vAlign w:val="center"/>
          </w:tcPr>
          <w:p w14:paraId="14246D75">
            <w:pPr>
              <w:jc w:val="center"/>
            </w:pPr>
            <w:r>
              <w:rPr>
                <w:rFonts w:ascii="宋体" w:hAnsi="宋体" w:eastAsia="宋体"/>
                <w:b w:val="0"/>
                <w:sz w:val="18"/>
              </w:rPr>
              <w:t>144.765</w:t>
            </w:r>
          </w:p>
        </w:tc>
        <w:tc>
          <w:tcPr>
            <w:tcW w:w="1539" w:type="dxa"/>
            <w:vAlign w:val="center"/>
          </w:tcPr>
          <w:p w14:paraId="0EC54B1F">
            <w:pPr>
              <w:jc w:val="center"/>
            </w:pPr>
            <w:r>
              <w:rPr>
                <w:rFonts w:ascii="宋体" w:hAnsi="宋体" w:eastAsia="宋体"/>
                <w:b w:val="0"/>
                <w:sz w:val="18"/>
              </w:rPr>
              <w:t>224.482</w:t>
            </w:r>
          </w:p>
        </w:tc>
      </w:tr>
      <w:tr w14:paraId="766C5A3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9" w:type="dxa"/>
            <w:vAlign w:val="center"/>
          </w:tcPr>
          <w:p w14:paraId="1DF42B8C">
            <w:pPr>
              <w:jc w:val="center"/>
            </w:pPr>
            <w:r>
              <w:rPr>
                <w:rFonts w:ascii="宋体" w:hAnsi="宋体" w:eastAsia="宋体"/>
                <w:b w:val="0"/>
                <w:sz w:val="18"/>
              </w:rPr>
              <w:t>0.600</w:t>
            </w:r>
          </w:p>
        </w:tc>
        <w:tc>
          <w:tcPr>
            <w:tcW w:w="1539" w:type="dxa"/>
            <w:vAlign w:val="center"/>
          </w:tcPr>
          <w:p w14:paraId="027C724E">
            <w:pPr>
              <w:jc w:val="center"/>
            </w:pPr>
            <w:r>
              <w:rPr>
                <w:rFonts w:ascii="宋体" w:hAnsi="宋体" w:eastAsia="宋体"/>
                <w:b w:val="0"/>
                <w:sz w:val="18"/>
              </w:rPr>
              <w:t>64.195</w:t>
            </w:r>
          </w:p>
        </w:tc>
        <w:tc>
          <w:tcPr>
            <w:tcW w:w="1539" w:type="dxa"/>
            <w:vAlign w:val="center"/>
          </w:tcPr>
          <w:p w14:paraId="2D4B28E1">
            <w:pPr>
              <w:jc w:val="center"/>
            </w:pPr>
            <w:r>
              <w:rPr>
                <w:rFonts w:ascii="宋体" w:hAnsi="宋体" w:eastAsia="宋体"/>
                <w:b w:val="0"/>
                <w:sz w:val="18"/>
              </w:rPr>
              <w:t>105.439</w:t>
            </w:r>
          </w:p>
        </w:tc>
        <w:tc>
          <w:tcPr>
            <w:tcW w:w="1539" w:type="dxa"/>
            <w:vAlign w:val="center"/>
          </w:tcPr>
          <w:p w14:paraId="76832C66">
            <w:pPr>
              <w:jc w:val="center"/>
            </w:pPr>
            <w:r>
              <w:rPr>
                <w:rFonts w:ascii="宋体" w:hAnsi="宋体" w:eastAsia="宋体"/>
                <w:b w:val="0"/>
                <w:sz w:val="18"/>
              </w:rPr>
              <w:t>185.539</w:t>
            </w:r>
          </w:p>
        </w:tc>
        <w:tc>
          <w:tcPr>
            <w:tcW w:w="1539" w:type="dxa"/>
            <w:vAlign w:val="center"/>
          </w:tcPr>
          <w:p w14:paraId="7AB91A66">
            <w:pPr>
              <w:jc w:val="center"/>
            </w:pPr>
            <w:r>
              <w:rPr>
                <w:rFonts w:ascii="宋体" w:hAnsi="宋体" w:eastAsia="宋体"/>
                <w:b w:val="0"/>
                <w:sz w:val="18"/>
              </w:rPr>
              <w:t>149.671</w:t>
            </w:r>
          </w:p>
        </w:tc>
        <w:tc>
          <w:tcPr>
            <w:tcW w:w="1539" w:type="dxa"/>
            <w:vAlign w:val="center"/>
          </w:tcPr>
          <w:p w14:paraId="2AD7D8FB">
            <w:pPr>
              <w:jc w:val="center"/>
            </w:pPr>
            <w:r>
              <w:rPr>
                <w:rFonts w:ascii="宋体" w:hAnsi="宋体" w:eastAsia="宋体"/>
                <w:b w:val="0"/>
                <w:sz w:val="18"/>
              </w:rPr>
              <w:t>378.693</w:t>
            </w:r>
          </w:p>
        </w:tc>
      </w:tr>
      <w:tr w14:paraId="2274E3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9" w:type="dxa"/>
            <w:vAlign w:val="center"/>
          </w:tcPr>
          <w:p w14:paraId="7561258F">
            <w:pPr>
              <w:jc w:val="center"/>
            </w:pPr>
            <w:r>
              <w:rPr>
                <w:rFonts w:ascii="宋体" w:hAnsi="宋体" w:eastAsia="宋体"/>
                <w:b w:val="0"/>
                <w:sz w:val="18"/>
              </w:rPr>
              <w:t>0.800</w:t>
            </w:r>
          </w:p>
        </w:tc>
        <w:tc>
          <w:tcPr>
            <w:tcW w:w="1539" w:type="dxa"/>
            <w:vAlign w:val="center"/>
          </w:tcPr>
          <w:p w14:paraId="0ACBDAAB">
            <w:pPr>
              <w:jc w:val="center"/>
            </w:pPr>
            <w:r>
              <w:rPr>
                <w:rFonts w:ascii="宋体" w:hAnsi="宋体" w:eastAsia="宋体"/>
                <w:b w:val="0"/>
                <w:sz w:val="18"/>
              </w:rPr>
              <w:t>20.708</w:t>
            </w:r>
          </w:p>
        </w:tc>
        <w:tc>
          <w:tcPr>
            <w:tcW w:w="1539" w:type="dxa"/>
            <w:vAlign w:val="center"/>
          </w:tcPr>
          <w:p w14:paraId="1C40D418">
            <w:pPr>
              <w:jc w:val="center"/>
            </w:pPr>
            <w:r>
              <w:rPr>
                <w:rFonts w:ascii="宋体" w:hAnsi="宋体" w:eastAsia="宋体"/>
                <w:b w:val="0"/>
                <w:sz w:val="18"/>
              </w:rPr>
              <w:t>217.350</w:t>
            </w:r>
          </w:p>
        </w:tc>
        <w:tc>
          <w:tcPr>
            <w:tcW w:w="1539" w:type="dxa"/>
            <w:vAlign w:val="center"/>
          </w:tcPr>
          <w:p w14:paraId="59D9701C">
            <w:pPr>
              <w:jc w:val="center"/>
            </w:pPr>
            <w:r>
              <w:rPr>
                <w:rFonts w:ascii="宋体" w:hAnsi="宋体" w:eastAsia="宋体"/>
                <w:b w:val="0"/>
                <w:sz w:val="18"/>
              </w:rPr>
              <w:t>228.762</w:t>
            </w:r>
          </w:p>
        </w:tc>
        <w:tc>
          <w:tcPr>
            <w:tcW w:w="1539" w:type="dxa"/>
            <w:vAlign w:val="center"/>
          </w:tcPr>
          <w:p w14:paraId="0C1076D9">
            <w:pPr>
              <w:jc w:val="center"/>
            </w:pPr>
            <w:r>
              <w:rPr>
                <w:rFonts w:ascii="宋体" w:hAnsi="宋体" w:eastAsia="宋体"/>
                <w:b w:val="0"/>
                <w:sz w:val="18"/>
              </w:rPr>
              <w:t>162.286</w:t>
            </w:r>
          </w:p>
        </w:tc>
        <w:tc>
          <w:tcPr>
            <w:tcW w:w="1539" w:type="dxa"/>
            <w:vAlign w:val="center"/>
          </w:tcPr>
          <w:p w14:paraId="77490D2C">
            <w:pPr>
              <w:jc w:val="center"/>
            </w:pPr>
            <w:r>
              <w:rPr>
                <w:rFonts w:ascii="宋体" w:hAnsi="宋体" w:eastAsia="宋体"/>
                <w:b w:val="0"/>
                <w:sz w:val="18"/>
              </w:rPr>
              <w:t>471.069</w:t>
            </w:r>
          </w:p>
        </w:tc>
      </w:tr>
      <w:tr w14:paraId="1BB53FD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jc w:val="center"/>
        </w:trPr>
        <w:tc>
          <w:tcPr>
            <w:tcW w:w="1539" w:type="dxa"/>
            <w:vAlign w:val="center"/>
          </w:tcPr>
          <w:p w14:paraId="3BC4D062">
            <w:pPr>
              <w:jc w:val="center"/>
            </w:pPr>
            <w:r>
              <w:rPr>
                <w:rFonts w:ascii="宋体" w:hAnsi="宋体" w:eastAsia="宋体"/>
                <w:b w:val="0"/>
                <w:sz w:val="18"/>
              </w:rPr>
              <w:t>1.000</w:t>
            </w:r>
          </w:p>
        </w:tc>
        <w:tc>
          <w:tcPr>
            <w:tcW w:w="1539" w:type="dxa"/>
            <w:vAlign w:val="center"/>
          </w:tcPr>
          <w:p w14:paraId="32D42C44">
            <w:pPr>
              <w:jc w:val="center"/>
            </w:pPr>
            <w:r>
              <w:rPr>
                <w:rFonts w:ascii="宋体" w:hAnsi="宋体" w:eastAsia="宋体"/>
                <w:b w:val="0"/>
                <w:sz w:val="18"/>
              </w:rPr>
              <w:t>26.014</w:t>
            </w:r>
          </w:p>
        </w:tc>
        <w:tc>
          <w:tcPr>
            <w:tcW w:w="1539" w:type="dxa"/>
            <w:vAlign w:val="center"/>
          </w:tcPr>
          <w:p w14:paraId="0099D6D9">
            <w:pPr>
              <w:jc w:val="center"/>
            </w:pPr>
            <w:r>
              <w:rPr>
                <w:rFonts w:ascii="宋体" w:hAnsi="宋体" w:eastAsia="宋体"/>
                <w:b w:val="0"/>
                <w:sz w:val="18"/>
              </w:rPr>
              <w:t>196.149</w:t>
            </w:r>
          </w:p>
        </w:tc>
        <w:tc>
          <w:tcPr>
            <w:tcW w:w="1539" w:type="dxa"/>
            <w:vAlign w:val="center"/>
          </w:tcPr>
          <w:p w14:paraId="481AD886">
            <w:pPr>
              <w:jc w:val="center"/>
            </w:pPr>
            <w:r>
              <w:rPr>
                <w:rFonts w:ascii="宋体" w:hAnsi="宋体" w:eastAsia="宋体"/>
                <w:b w:val="0"/>
                <w:sz w:val="18"/>
              </w:rPr>
              <w:t>255.614</w:t>
            </w:r>
          </w:p>
        </w:tc>
        <w:tc>
          <w:tcPr>
            <w:tcW w:w="1539" w:type="dxa"/>
            <w:vAlign w:val="center"/>
          </w:tcPr>
          <w:p w14:paraId="7CBE0202">
            <w:pPr>
              <w:jc w:val="center"/>
            </w:pPr>
            <w:r>
              <w:rPr>
                <w:rFonts w:ascii="宋体" w:hAnsi="宋体" w:eastAsia="宋体"/>
                <w:b w:val="0"/>
                <w:sz w:val="18"/>
              </w:rPr>
              <w:t>168.562</w:t>
            </w:r>
          </w:p>
        </w:tc>
        <w:tc>
          <w:tcPr>
            <w:tcW w:w="1539" w:type="dxa"/>
            <w:vAlign w:val="center"/>
          </w:tcPr>
          <w:p w14:paraId="7F49B48F">
            <w:pPr>
              <w:jc w:val="center"/>
            </w:pPr>
            <w:r>
              <w:rPr>
                <w:rFonts w:ascii="宋体" w:hAnsi="宋体" w:eastAsia="宋体"/>
                <w:b w:val="0"/>
                <w:sz w:val="18"/>
              </w:rPr>
              <w:t>519.327</w:t>
            </w:r>
          </w:p>
        </w:tc>
      </w:tr>
    </w:tbl>
    <w:p w14:paraId="31EA5A43"/>
    <w:p w14:paraId="1DC074CC">
      <w:pPr>
        <w:jc w:val="center"/>
      </w:pPr>
      <w:r>
        <w:drawing>
          <wp:inline distT="0" distB="0" distL="114300" distR="114300">
            <wp:extent cx="5219700" cy="3397885"/>
            <wp:effectExtent l="0" t="0" r="0"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220000" cy="3397990"/>
                    </a:xfrm>
                    <a:prstGeom prst="rect">
                      <a:avLst/>
                    </a:prstGeom>
                  </pic:spPr>
                </pic:pic>
              </a:graphicData>
            </a:graphic>
          </wp:inline>
        </w:drawing>
      </w:r>
    </w:p>
    <w:p w14:paraId="1D4B44C6">
      <w:pPr>
        <w:spacing w:before="40" w:after="120"/>
        <w:jc w:val="center"/>
      </w:pPr>
      <w:r>
        <w:rPr>
          <w:rFonts w:ascii="宋体" w:hAnsi="宋体" w:eastAsia="宋体"/>
          <w:sz w:val="18"/>
        </w:rPr>
        <w:t xml:space="preserve">图 2  </w:t>
      </w:r>
      <m:oMath>
        <m:r>
          <m:rPr>
            <m:sty m:val="p"/>
          </m:rPr>
          <w:rPr>
            <w:rFonts w:hint="default" w:ascii="Cambria Math" w:hAnsi="Cambria Math" w:eastAsia="宋体"/>
            <w:sz w:val="18"/>
          </w:rPr>
          <m:t>Abaqus</m:t>
        </m:r>
      </m:oMath>
      <w:r>
        <w:rPr>
          <w:rFonts w:ascii="宋体" w:hAnsi="宋体" w:eastAsia="宋体"/>
          <w:sz w:val="18"/>
        </w:rPr>
        <w:t xml:space="preserve"> 结果：高度-角度最大主应力热力图</w:t>
      </w:r>
    </w:p>
    <w:p w14:paraId="42C15E14">
      <w:pPr>
        <w:jc w:val="center"/>
      </w:pPr>
      <w:r>
        <w:drawing>
          <wp:inline distT="0" distB="0" distL="114300" distR="114300">
            <wp:extent cx="5219700" cy="3228340"/>
            <wp:effectExtent l="0" t="0" r="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220000" cy="3228593"/>
                    </a:xfrm>
                    <a:prstGeom prst="rect">
                      <a:avLst/>
                    </a:prstGeom>
                  </pic:spPr>
                </pic:pic>
              </a:graphicData>
            </a:graphic>
          </wp:inline>
        </w:drawing>
      </w:r>
    </w:p>
    <w:p w14:paraId="2F51D14C">
      <w:pPr>
        <w:spacing w:before="40" w:after="120"/>
        <w:jc w:val="center"/>
      </w:pPr>
      <w:r>
        <w:rPr>
          <w:rFonts w:ascii="宋体" w:hAnsi="宋体" w:eastAsia="宋体"/>
          <w:sz w:val="18"/>
        </w:rPr>
        <w:t>图 3  不同角度下最大主应力随高度变化曲线</w:t>
      </w:r>
    </w:p>
    <w:p w14:paraId="1F11303E">
      <w:pPr>
        <w:spacing w:before="0" w:after="0" w:line="300" w:lineRule="auto"/>
        <w:ind w:firstLine="420"/>
        <w:jc w:val="both"/>
      </w:pPr>
      <w:r>
        <w:rPr>
          <w:rFonts w:ascii="宋体" w:hAnsi="宋体" w:eastAsia="宋体"/>
          <w:sz w:val="21"/>
        </w:rPr>
        <w:t>从图 2 和图 3 可见，角度影响比高度影响更为突出。</w:t>
      </w:r>
      <m:oMath>
        <m:r>
          <m:rPr>
            <m:sty m:val="p"/>
          </m:rPr>
          <w:rPr>
            <w:rFonts w:ascii="Cambria Math" w:hAnsi="Cambria Math" w:eastAsia="宋体" w:cstheme="minorBidi"/>
            <w:sz w:val="21"/>
            <w:szCs w:val="22"/>
            <w:lang w:val="en-US" w:bidi="ar-SA"/>
          </w:rPr>
          <m:t xml:space="preserve">A = 90° </m:t>
        </m:r>
      </m:oMath>
      <w:r>
        <w:rPr>
          <w:rFonts w:ascii="宋体" w:hAnsi="宋体" w:eastAsia="宋体"/>
          <w:sz w:val="21"/>
        </w:rPr>
        <w:t>时接触面积小、局部曲率大，撞击后接触区附近形成高压缩区，同时环形结构产生弯曲拉伸，导致最大主应力明显升高。</w:t>
      </w:r>
      <m:oMath>
        <m:r>
          <m:rPr>
            <m:sty m:val="p"/>
          </m:rPr>
          <w:rPr>
            <w:rFonts w:ascii="Cambria Math" w:hAnsi="Cambria Math" w:eastAsia="宋体" w:cstheme="minorBidi"/>
            <w:sz w:val="21"/>
            <w:szCs w:val="22"/>
            <w:lang w:val="en-US" w:bidi="ar-SA"/>
          </w:rPr>
          <m:t xml:space="preserve">A = 45° </m:t>
        </m:r>
      </m:oMath>
      <w:r>
        <w:rPr>
          <w:rFonts w:ascii="宋体" w:hAnsi="宋体" w:eastAsia="宋体"/>
          <w:sz w:val="21"/>
        </w:rPr>
        <w:t>也表现出较高风险，这是因为倾斜接触会引入偏心冲击，使手镯发生局部弯曲和扭转。相比之下，</w:t>
      </w:r>
      <m:oMath>
        <m:r>
          <m:rPr>
            <m:sty m:val="p"/>
          </m:rPr>
          <w:rPr>
            <w:rFonts w:ascii="Cambria Math" w:hAnsi="Cambria Math" w:eastAsia="宋体" w:cstheme="minorBidi"/>
            <w:sz w:val="21"/>
            <w:szCs w:val="22"/>
            <w:lang w:val="en-US" w:bidi="ar-SA"/>
          </w:rPr>
          <m:t xml:space="preserve">A = 0° </m:t>
        </m:r>
      </m:oMath>
      <w:r>
        <w:rPr>
          <w:rFonts w:ascii="宋体" w:hAnsi="宋体" w:eastAsia="宋体"/>
          <w:sz w:val="21"/>
        </w:rPr>
        <w:t>平躺跌落接触区域相对分散，局部应力集中较弱，因此整体风险最低。</w:t>
      </w:r>
    </w:p>
    <w:p w14:paraId="1724CE88">
      <w:pPr>
        <w:spacing w:before="0" w:after="0" w:line="300" w:lineRule="auto"/>
        <w:ind w:firstLine="420"/>
        <w:jc w:val="both"/>
      </w:pPr>
      <w:r>
        <w:rPr>
          <w:rFonts w:ascii="宋体" w:hAnsi="宋体" w:eastAsia="宋体"/>
          <w:sz w:val="21"/>
        </w:rPr>
        <w:t>需要注意的是，个别工况并不呈现严格单调变化，例如</w:t>
      </w:r>
      <m:oMath>
        <m:r>
          <m:rPr>
            <m:sty m:val="p"/>
          </m:rPr>
          <w:rPr>
            <w:rFonts w:ascii="Cambria Math" w:hAnsi="Cambria Math" w:eastAsia="宋体" w:cstheme="minorBidi"/>
            <w:sz w:val="21"/>
            <w:szCs w:val="22"/>
            <w:lang w:val="en-US" w:bidi="ar-SA"/>
          </w:rPr>
          <m:t xml:space="preserve"> A = 30° </m:t>
        </m:r>
      </m:oMath>
      <w:r>
        <w:rPr>
          <w:rFonts w:ascii="宋体" w:hAnsi="宋体" w:eastAsia="宋体"/>
          <w:sz w:val="21"/>
        </w:rPr>
        <w:t>工况中</w:t>
      </w:r>
      <m:oMath>
        <m:r>
          <m:rPr>
            <m:sty m:val="p"/>
          </m:rPr>
          <w:rPr>
            <w:rFonts w:ascii="Cambria Math" w:hAnsi="Cambria Math" w:eastAsia="宋体" w:cstheme="minorBidi"/>
            <w:sz w:val="21"/>
            <w:szCs w:val="22"/>
            <w:lang w:val="en-US" w:bidi="ar-SA"/>
          </w:rPr>
          <m:t xml:space="preserve"> H = 0.8 m </m:t>
        </m:r>
      </m:oMath>
      <w:r>
        <w:rPr>
          <w:rFonts w:ascii="宋体" w:hAnsi="宋体" w:eastAsia="宋体"/>
          <w:sz w:val="21"/>
        </w:rPr>
        <w:t>的峰值较高，且峰值时刻出现在仿真末期。这说明跌落响应受到初次接触、回弹、二次碰撞和结构振动共同影响，不能简单用线性关系描述。这也为机器学习代理模型提供了应用空间，即通过数据学习复杂非线性映射。</w:t>
      </w:r>
    </w:p>
    <w:p w14:paraId="13A885E0">
      <w:pPr>
        <w:spacing w:before="120" w:after="80" w:line="300" w:lineRule="auto"/>
        <w:jc w:val="left"/>
      </w:pPr>
      <w:r>
        <w:rPr>
          <w:rFonts w:ascii="黑体" w:hAnsi="黑体" w:eastAsia="黑体"/>
          <w:b/>
          <w:sz w:val="21"/>
        </w:rPr>
        <w:t>5.2 能量稳定性与风险等级</w:t>
      </w:r>
    </w:p>
    <w:p w14:paraId="37BE4A41">
      <w:pPr>
        <w:spacing w:before="0" w:after="0" w:line="300" w:lineRule="auto"/>
        <w:ind w:firstLine="420"/>
        <w:jc w:val="both"/>
      </w:pPr>
      <w:r>
        <w:rPr>
          <w:rFonts w:ascii="宋体" w:hAnsi="宋体" w:eastAsia="宋体"/>
          <w:sz w:val="21"/>
        </w:rPr>
        <w:t>从后处理数据看，</w:t>
      </w:r>
      <m:oMath>
        <m:r>
          <m:rPr>
            <m:sty m:val="p"/>
          </m:rPr>
          <w:rPr>
            <w:rFonts w:ascii="Cambria Math" w:hAnsi="Cambria Math" w:eastAsia="宋体" w:cstheme="minorBidi"/>
            <w:sz w:val="21"/>
            <w:szCs w:val="22"/>
            <w:lang w:val="en-US" w:bidi="ar-SA"/>
          </w:rPr>
          <m:t xml:space="preserve">25 </m:t>
        </m:r>
      </m:oMath>
      <w:r>
        <w:rPr>
          <w:rFonts w:ascii="宋体" w:hAnsi="宋体" w:eastAsia="宋体"/>
          <w:sz w:val="21"/>
        </w:rPr>
        <w:t>组工况的总能量相对误差均很小，最大</w:t>
      </w:r>
      <m:oMath>
        <m:r>
          <m:rPr>
            <m:sty m:val="p"/>
          </m:rPr>
          <w:rPr>
            <w:rFonts w:ascii="Cambria Math" w:hAnsi="Cambria Math" w:eastAsia="宋体" w:cstheme="minorBidi"/>
            <w:sz w:val="21"/>
            <w:szCs w:val="22"/>
            <w:lang w:val="en-US" w:bidi="ar-SA"/>
          </w:rPr>
          <m:t xml:space="preserve"> ETOTAL_error_pct </m:t>
        </m:r>
      </m:oMath>
      <w:r>
        <w:rPr>
          <w:rFonts w:ascii="宋体" w:hAnsi="宋体" w:eastAsia="宋体"/>
          <w:sz w:val="21"/>
        </w:rPr>
        <w:t xml:space="preserve">约为 </w:t>
      </w:r>
      <m:oMath>
        <m:r>
          <m:rPr>
            <m:sty m:val="p"/>
          </m:rPr>
          <w:rPr>
            <w:rFonts w:ascii="Cambria Math" w:hAnsi="Cambria Math" w:eastAsia="宋体" w:cstheme="minorBidi"/>
            <w:sz w:val="21"/>
            <w:szCs w:val="22"/>
            <w:lang w:val="en-US" w:bidi="ar-SA"/>
          </w:rPr>
          <m:t>0.00584%</m:t>
        </m:r>
      </m:oMath>
      <w:r>
        <w:rPr>
          <w:rFonts w:ascii="宋体" w:hAnsi="宋体" w:eastAsia="宋体"/>
          <w:sz w:val="21"/>
        </w:rPr>
        <w:t>，人工能量 ALLAE 占内能比例为 0。这说明当前显式动力学模型没有明显的沙漏能量异常，能量平衡较好。基于参考抗拉强度</w:t>
      </w:r>
      <m:oMath>
        <m:r>
          <m:rPr>
            <m:sty m:val="p"/>
          </m:rPr>
          <w:rPr>
            <w:rFonts w:ascii="Cambria Math" w:hAnsi="Cambria Math" w:eastAsia="宋体" w:cstheme="minorBidi"/>
            <w:sz w:val="21"/>
            <w:szCs w:val="22"/>
            <w:lang w:val="en-US" w:bidi="ar-SA"/>
          </w:rPr>
          <m:t xml:space="preserve"> σₜ = 30 MPa </m:t>
        </m:r>
      </m:oMath>
      <w:r>
        <w:rPr>
          <w:rFonts w:ascii="宋体" w:hAnsi="宋体" w:eastAsia="宋体"/>
          <w:sz w:val="21"/>
        </w:rPr>
        <w:t>计算风险等级后，25 组工况中</w:t>
      </w:r>
      <m:oMath>
        <m:r>
          <m:rPr>
            <m:sty m:val="p"/>
          </m:rPr>
          <w:rPr>
            <w:rFonts w:ascii="Cambria Math" w:hAnsi="Cambria Math" w:eastAsia="宋体" w:cstheme="minorBidi"/>
            <w:sz w:val="21"/>
            <w:szCs w:val="22"/>
            <w:lang w:val="en-US" w:bidi="ar-SA"/>
          </w:rPr>
          <m:t xml:space="preserve"> High </m:t>
        </m:r>
      </m:oMath>
      <w:r>
        <w:rPr>
          <w:rFonts w:ascii="宋体" w:hAnsi="宋体" w:eastAsia="宋体"/>
          <w:sz w:val="21"/>
        </w:rPr>
        <w:t>共 21 组，</w:t>
      </w:r>
      <m:oMath>
        <m:r>
          <m:rPr>
            <m:sty m:val="p"/>
          </m:rPr>
          <w:rPr>
            <w:rFonts w:ascii="Cambria Math" w:hAnsi="Cambria Math" w:eastAsia="宋体" w:cstheme="minorBidi"/>
            <w:sz w:val="21"/>
            <w:szCs w:val="22"/>
            <w:lang w:val="en-US" w:bidi="ar-SA"/>
          </w:rPr>
          <m:t xml:space="preserve">Medium </m:t>
        </m:r>
      </m:oMath>
      <w:r>
        <w:rPr>
          <w:rFonts w:ascii="宋体" w:hAnsi="宋体" w:eastAsia="宋体"/>
          <w:sz w:val="21"/>
        </w:rPr>
        <w:t>共 2 组，</w:t>
      </w:r>
      <m:oMath>
        <m:r>
          <m:rPr>
            <m:sty m:val="p"/>
          </m:rPr>
          <w:rPr>
            <w:rFonts w:ascii="Cambria Math" w:hAnsi="Cambria Math" w:eastAsia="宋体" w:cstheme="minorBidi"/>
            <w:sz w:val="21"/>
            <w:szCs w:val="22"/>
            <w:lang w:val="en-US" w:bidi="ar-SA"/>
          </w:rPr>
          <m:t xml:space="preserve">Low </m:t>
        </m:r>
      </m:oMath>
      <w:r>
        <w:rPr>
          <w:rFonts w:ascii="宋体" w:hAnsi="宋体" w:eastAsia="宋体"/>
          <w:sz w:val="21"/>
        </w:rPr>
        <w:t>共 2 组。由于</w:t>
      </w:r>
      <m:oMath>
        <m:r>
          <m:rPr>
            <m:sty m:val="p"/>
          </m:rPr>
          <w:rPr>
            <w:rFonts w:ascii="Cambria Math" w:hAnsi="Cambria Math" w:eastAsia="宋体" w:cstheme="minorBidi"/>
            <w:sz w:val="21"/>
            <w:szCs w:val="22"/>
            <w:lang w:val="en-US" w:bidi="ar-SA"/>
          </w:rPr>
          <m:t xml:space="preserve"> σₜ</m:t>
        </m:r>
      </m:oMath>
      <w:r>
        <w:rPr>
          <w:rFonts w:ascii="宋体" w:hAnsi="宋体" w:eastAsia="宋体"/>
          <w:sz w:val="21"/>
        </w:rPr>
        <w:t xml:space="preserve"> 取值偏保守，风险等级主要用于相对排序；若真实玉石抗拉强度更高或存在较少缺陷，绝对断裂判定需要结合实验修正。</w:t>
      </w:r>
    </w:p>
    <w:p w14:paraId="205CD8F8">
      <w:pPr>
        <w:jc w:val="center"/>
      </w:pPr>
      <w:r>
        <w:drawing>
          <wp:inline distT="0" distB="0" distL="114300" distR="114300">
            <wp:extent cx="5219700" cy="3228340"/>
            <wp:effectExtent l="0" t="0" r="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220000" cy="3228593"/>
                    </a:xfrm>
                    <a:prstGeom prst="rect">
                      <a:avLst/>
                    </a:prstGeom>
                  </pic:spPr>
                </pic:pic>
              </a:graphicData>
            </a:graphic>
          </wp:inline>
        </w:drawing>
      </w:r>
    </w:p>
    <w:p w14:paraId="472A25A6">
      <w:pPr>
        <w:spacing w:before="40" w:after="120"/>
        <w:jc w:val="center"/>
      </w:pPr>
      <w:r>
        <w:rPr>
          <w:rFonts w:ascii="宋体" w:hAnsi="宋体" w:eastAsia="宋体"/>
          <w:sz w:val="18"/>
        </w:rPr>
        <w:t>图 4  不同跌落角度下最大主应力统计</w:t>
      </w:r>
    </w:p>
    <w:p w14:paraId="110A0AFA">
      <w:pPr>
        <w:jc w:val="center"/>
      </w:pPr>
      <w:r>
        <w:drawing>
          <wp:inline distT="0" distB="0" distL="114300" distR="114300">
            <wp:extent cx="5219700" cy="34639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220000" cy="3464225"/>
                    </a:xfrm>
                    <a:prstGeom prst="rect">
                      <a:avLst/>
                    </a:prstGeom>
                  </pic:spPr>
                </pic:pic>
              </a:graphicData>
            </a:graphic>
          </wp:inline>
        </w:drawing>
      </w:r>
    </w:p>
    <w:p w14:paraId="29738A50">
      <w:pPr>
        <w:spacing w:before="40" w:after="120"/>
        <w:jc w:val="center"/>
      </w:pPr>
      <w:r>
        <w:rPr>
          <w:rFonts w:ascii="宋体" w:hAnsi="宋体" w:eastAsia="宋体"/>
          <w:sz w:val="18"/>
        </w:rPr>
        <w:t>图 5  最大主应力峰值时刻分布</w:t>
      </w:r>
    </w:p>
    <w:p w14:paraId="609AD8CA">
      <w:pPr>
        <w:spacing w:before="120" w:after="80" w:line="300" w:lineRule="auto"/>
        <w:jc w:val="left"/>
      </w:pPr>
      <w:r>
        <w:rPr>
          <w:rFonts w:ascii="黑体" w:hAnsi="黑体" w:eastAsia="黑体"/>
          <w:b/>
          <w:sz w:val="21"/>
        </w:rPr>
        <w:t>5.3 AI 预测结果与参数重要性</w:t>
      </w:r>
    </w:p>
    <w:p w14:paraId="5836DBAE">
      <w:pPr>
        <w:spacing w:before="0" w:after="0" w:line="300" w:lineRule="auto"/>
        <w:ind w:firstLine="420"/>
        <w:jc w:val="both"/>
      </w:pPr>
      <w:r>
        <w:rPr>
          <w:rFonts w:ascii="宋体" w:hAnsi="宋体" w:eastAsia="宋体"/>
          <w:sz w:val="21"/>
        </w:rPr>
        <w:t>表 3 显示，极端随机树模型取得最优预测性能，留一交叉验证</w:t>
      </w:r>
      <m:oMath>
        <m:r>
          <m:rPr>
            <m:sty m:val="p"/>
          </m:rPr>
          <w:rPr>
            <w:rFonts w:hint="default" w:ascii="Cambria Math" w:hAnsi="Cambria Math" w:eastAsia="宋体"/>
            <w:sz w:val="21"/>
          </w:rPr>
          <m:t>R²=0.893，MAE=32.72MPa，RMSE=41.46MPa</m:t>
        </m:r>
      </m:oMath>
      <w:r>
        <w:rPr>
          <w:rFonts w:ascii="宋体" w:hAnsi="宋体" w:eastAsia="宋体"/>
          <w:sz w:val="21"/>
        </w:rPr>
        <w:t>，最大绝对误差约</w:t>
      </w:r>
      <m:oMath>
        <m:r>
          <m:rPr>
            <m:sty m:val="p"/>
          </m:rPr>
          <w:rPr>
            <w:rFonts w:hint="default" w:ascii="Cambria Math" w:hAnsi="Cambria Math" w:eastAsia="宋体"/>
            <w:sz w:val="21"/>
          </w:rPr>
          <m:t>95.31MPa</m:t>
        </m:r>
      </m:oMath>
      <w:r>
        <w:rPr>
          <w:rFonts w:ascii="宋体" w:hAnsi="宋体" w:eastAsia="宋体"/>
          <w:sz w:val="21"/>
        </w:rPr>
        <w:t>。随机森林和梯度提升模型的 RMSE 分别为</w:t>
      </w:r>
      <m:oMath>
        <m:r>
          <m:rPr>
            <m:sty m:val="p"/>
          </m:rPr>
          <w:rPr>
            <w:rFonts w:hint="default" w:ascii="Cambria Math" w:hAnsi="Cambria Math" w:eastAsia="宋体" w:cstheme="minorBidi"/>
            <w:sz w:val="21"/>
            <w:szCs w:val="22"/>
            <w:lang w:val="en-US" w:bidi="ar-SA"/>
          </w:rPr>
          <m:t xml:space="preserve"> 47.07 MPa </m:t>
        </m:r>
      </m:oMath>
      <w:r>
        <w:rPr>
          <w:rFonts w:ascii="宋体" w:hAnsi="宋体" w:eastAsia="宋体"/>
          <w:sz w:val="21"/>
        </w:rPr>
        <w:t>和</w:t>
      </w:r>
      <m:oMath>
        <m:r>
          <m:rPr>
            <m:sty m:val="p"/>
          </m:rPr>
          <w:rPr>
            <w:rFonts w:hint="default" w:ascii="Cambria Math" w:hAnsi="Cambria Math" w:eastAsia="宋体"/>
            <w:sz w:val="21"/>
          </w:rPr>
          <m:t>47.00MPa</m:t>
        </m:r>
      </m:oMath>
      <w:r>
        <w:rPr>
          <w:rFonts w:ascii="宋体" w:hAnsi="宋体" w:eastAsia="宋体"/>
          <w:sz w:val="21"/>
        </w:rPr>
        <w:t>，性能接近；SVR_RBF 误差较大，说明在当前样本规模和变量分布下，树模型更适合描述跌落工况与最大主应力之间的非线性关系。</w:t>
      </w:r>
    </w:p>
    <w:p w14:paraId="4C7C3126">
      <w:pPr>
        <w:spacing w:before="0" w:after="0" w:line="300" w:lineRule="auto"/>
        <w:ind w:firstLine="420"/>
        <w:jc w:val="both"/>
      </w:pPr>
      <w:r>
        <w:rPr>
          <w:rFonts w:ascii="宋体" w:hAnsi="宋体" w:eastAsia="宋体"/>
          <w:sz w:val="21"/>
        </w:rPr>
        <w:t>图 6 给出了最优模型预测值与</w:t>
      </w:r>
      <m:oMath>
        <m:r>
          <m:rPr>
            <m:sty m:val="p"/>
          </m:rPr>
          <w:rPr>
            <w:rFonts w:ascii="Cambria Math" w:hAnsi="Cambria Math" w:eastAsia="宋体" w:cstheme="minorBidi"/>
            <w:sz w:val="21"/>
            <w:szCs w:val="22"/>
            <w:lang w:val="en-US" w:bidi="ar-SA"/>
          </w:rPr>
          <m:t xml:space="preserve"> Abaqus </m:t>
        </m:r>
      </m:oMath>
      <w:r>
        <w:rPr>
          <w:rFonts w:ascii="宋体" w:hAnsi="宋体" w:eastAsia="宋体"/>
          <w:sz w:val="21"/>
        </w:rPr>
        <w:t>计算值的对比。多数样本分布在</w:t>
      </w:r>
      <m:oMath>
        <m:r>
          <m:rPr>
            <m:sty m:val="p"/>
          </m:rPr>
          <w:rPr>
            <w:rFonts w:ascii="Cambria Math" w:hAnsi="Cambria Math" w:eastAsia="宋体" w:cstheme="minorBidi"/>
            <w:sz w:val="21"/>
            <w:szCs w:val="22"/>
            <w:lang w:val="en-US" w:bidi="ar-SA"/>
          </w:rPr>
          <m:t xml:space="preserve"> y = x </m:t>
        </m:r>
      </m:oMath>
      <w:r>
        <w:rPr>
          <w:rFonts w:ascii="宋体" w:hAnsi="宋体" w:eastAsia="宋体"/>
          <w:sz w:val="21"/>
        </w:rPr>
        <w:t>附近，说明代理模型能够较好捕捉整体趋势。图 7 的特征重要性表明，跌落角度重要性约为</w:t>
      </w:r>
      <m:oMath>
        <m:r>
          <m:rPr>
            <m:sty m:val="p"/>
          </m:rPr>
          <w:rPr>
            <w:rFonts w:ascii="Cambria Math" w:hAnsi="Cambria Math" w:eastAsia="宋体" w:cstheme="minorBidi"/>
            <w:sz w:val="21"/>
            <w:szCs w:val="22"/>
            <w:lang w:val="en-US" w:bidi="ar-SA"/>
          </w:rPr>
          <m:t xml:space="preserve"> 0.795</m:t>
        </m:r>
      </m:oMath>
      <w:r>
        <w:rPr>
          <w:rFonts w:ascii="宋体" w:hAnsi="宋体" w:eastAsia="宋体"/>
          <w:sz w:val="21"/>
        </w:rPr>
        <w:t>，明显高于高度和速度；高度与速度分别约为 0.104 和 0.102。由于速度由高度通过</w:t>
      </w:r>
      <m:oMath>
        <m:sSub>
          <m:sSubPr>
            <m:ctrlPr>
              <w:rPr>
                <w:rFonts w:hint="default" w:ascii="Cambria Math" w:hAnsi="Cambria Math"/>
                <w:sz w:val="21"/>
              </w:rPr>
            </m:ctrlPr>
          </m:sSubPr>
          <m:e>
            <m:r>
              <m:rPr/>
              <w:rPr>
                <w:rFonts w:hint="default" w:ascii="Cambria Math" w:hAnsi="Cambria Math"/>
                <w:sz w:val="21"/>
              </w:rPr>
              <m:t>v</m:t>
            </m:r>
            <m:ctrlPr>
              <w:rPr>
                <w:rFonts w:ascii="Cambria Math" w:hAnsi="Cambria Math"/>
                <w:sz w:val="21"/>
              </w:rPr>
            </m:ctrlPr>
          </m:e>
          <m:sub>
            <m:r>
              <m:rPr/>
              <w:rPr>
                <w:rFonts w:hint="default" w:ascii="Cambria Math" w:hAnsi="Cambria Math"/>
                <w:sz w:val="21"/>
              </w:rPr>
              <m:t>0</m:t>
            </m:r>
            <m:ctrlPr>
              <w:rPr>
                <w:rFonts w:ascii="Cambria Math" w:hAnsi="Cambria Math"/>
                <w:sz w:val="21"/>
              </w:rPr>
            </m:ctrlPr>
          </m:sub>
        </m:sSub>
        <m:r>
          <m:rPr/>
          <w:rPr>
            <w:rFonts w:hint="default" w:ascii="Cambria Math" w:hAnsi="Cambria Math"/>
            <w:sz w:val="21"/>
          </w:rPr>
          <m:t>=</m:t>
        </m:r>
        <m:rad>
          <m:radPr>
            <m:degHide m:val="1"/>
            <m:ctrlPr>
              <w:rPr>
                <w:rFonts w:hint="default" w:ascii="Cambria Math" w:hAnsi="Cambria Math"/>
                <w:sz w:val="21"/>
              </w:rPr>
            </m:ctrlPr>
          </m:radPr>
          <m:deg>
            <m:ctrlPr>
              <w:rPr>
                <w:rFonts w:ascii="Cambria Math" w:hAnsi="Cambria Math"/>
                <w:sz w:val="21"/>
              </w:rPr>
            </m:ctrlPr>
          </m:deg>
          <m:e>
            <m:r>
              <m:rPr/>
              <w:rPr>
                <w:rFonts w:hint="default" w:ascii="Cambria Math" w:hAnsi="Cambria Math"/>
                <w:sz w:val="21"/>
              </w:rPr>
              <m:t>(2gh)</m:t>
            </m:r>
            <m:ctrlPr>
              <w:rPr>
                <w:rFonts w:ascii="Cambria Math" w:hAnsi="Cambria Math"/>
                <w:sz w:val="21"/>
              </w:rPr>
            </m:ctrlPr>
          </m:e>
        </m:rad>
      </m:oMath>
      <w:r>
        <w:rPr>
          <w:rFonts w:ascii="宋体" w:hAnsi="宋体" w:eastAsia="宋体"/>
          <w:sz w:val="21"/>
        </w:rPr>
        <w:t>计算得到，二者存在强相关性，因此可将二者共同理解为“跌落能量输入”的影响。综合来看，姿态改变带来的接触面积和弯曲形式变化，是主应力峰值差异的首要原因。</w:t>
      </w:r>
    </w:p>
    <w:p w14:paraId="064064E0">
      <w:pPr>
        <w:jc w:val="center"/>
      </w:pPr>
      <w:r>
        <w:drawing>
          <wp:inline distT="0" distB="0" distL="114300" distR="114300">
            <wp:extent cx="4319905" cy="4312285"/>
            <wp:effectExtent l="0" t="0" r="4445" b="1206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4320000" cy="4312666"/>
                    </a:xfrm>
                    <a:prstGeom prst="rect">
                      <a:avLst/>
                    </a:prstGeom>
                  </pic:spPr>
                </pic:pic>
              </a:graphicData>
            </a:graphic>
          </wp:inline>
        </w:drawing>
      </w:r>
    </w:p>
    <w:p w14:paraId="7A78355F">
      <w:pPr>
        <w:spacing w:before="40" w:after="120"/>
        <w:jc w:val="center"/>
      </w:pPr>
      <w:r>
        <w:rPr>
          <w:rFonts w:ascii="宋体" w:hAnsi="宋体" w:eastAsia="宋体"/>
          <w:sz w:val="18"/>
        </w:rPr>
        <w:t>图 6  AI 预测值与</w:t>
      </w:r>
      <m:oMath>
        <m:r>
          <m:rPr>
            <m:sty m:val="p"/>
          </m:rPr>
          <w:rPr>
            <w:rFonts w:ascii="Cambria Math" w:hAnsi="Cambria Math" w:eastAsia="宋体" w:cstheme="minorBidi"/>
            <w:sz w:val="18"/>
            <w:szCs w:val="22"/>
            <w:lang w:val="en-US" w:bidi="ar-SA"/>
          </w:rPr>
          <m:t xml:space="preserve"> Abaqus 结</m:t>
        </m:r>
      </m:oMath>
      <w:r>
        <w:rPr>
          <w:rFonts w:ascii="宋体" w:hAnsi="宋体" w:eastAsia="宋体"/>
          <w:sz w:val="18"/>
        </w:rPr>
        <w:t>果对比</w:t>
      </w:r>
    </w:p>
    <w:p w14:paraId="28D69646">
      <w:pPr>
        <w:jc w:val="center"/>
      </w:pPr>
      <w:r>
        <w:drawing>
          <wp:inline distT="0" distB="0" distL="114300" distR="114300">
            <wp:extent cx="4319905" cy="3060700"/>
            <wp:effectExtent l="0" t="0" r="444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4320000" cy="3060957"/>
                    </a:xfrm>
                    <a:prstGeom prst="rect">
                      <a:avLst/>
                    </a:prstGeom>
                  </pic:spPr>
                </pic:pic>
              </a:graphicData>
            </a:graphic>
          </wp:inline>
        </w:drawing>
      </w:r>
    </w:p>
    <w:p w14:paraId="0C184432">
      <w:pPr>
        <w:spacing w:before="40" w:after="120"/>
        <w:jc w:val="center"/>
      </w:pPr>
      <w:r>
        <w:rPr>
          <w:rFonts w:ascii="宋体" w:hAnsi="宋体" w:eastAsia="宋体"/>
          <w:sz w:val="18"/>
        </w:rPr>
        <w:t>图 7  输入参数重要性分析</w:t>
      </w:r>
    </w:p>
    <w:p w14:paraId="0328686B">
      <w:pPr>
        <w:jc w:val="center"/>
      </w:pPr>
      <w:r>
        <w:drawing>
          <wp:inline distT="0" distB="0" distL="114300" distR="114300">
            <wp:extent cx="5219700" cy="3051810"/>
            <wp:effectExtent l="0" t="0" r="0" b="152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220000" cy="3051949"/>
                    </a:xfrm>
                    <a:prstGeom prst="rect">
                      <a:avLst/>
                    </a:prstGeom>
                  </pic:spPr>
                </pic:pic>
              </a:graphicData>
            </a:graphic>
          </wp:inline>
        </w:drawing>
      </w:r>
    </w:p>
    <w:p w14:paraId="079F0A93">
      <w:pPr>
        <w:spacing w:before="40" w:after="120"/>
        <w:jc w:val="center"/>
      </w:pPr>
      <w:r>
        <w:rPr>
          <w:rFonts w:ascii="宋体" w:hAnsi="宋体" w:eastAsia="宋体"/>
          <w:sz w:val="18"/>
        </w:rPr>
        <w:t>图 8  AI 预测高度-角度最大主应力风险分布图</w:t>
      </w:r>
    </w:p>
    <w:p w14:paraId="3AAE14A5">
      <w:pPr>
        <w:jc w:val="center"/>
      </w:pPr>
      <w:r>
        <w:drawing>
          <wp:inline distT="0" distB="0" distL="114300" distR="114300">
            <wp:extent cx="3959860" cy="3208020"/>
            <wp:effectExtent l="0" t="0" r="2540" b="114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3960000" cy="3208073"/>
                    </a:xfrm>
                    <a:prstGeom prst="rect">
                      <a:avLst/>
                    </a:prstGeom>
                  </pic:spPr>
                </pic:pic>
              </a:graphicData>
            </a:graphic>
          </wp:inline>
        </w:drawing>
      </w:r>
    </w:p>
    <w:p w14:paraId="4C59D358">
      <w:pPr>
        <w:spacing w:before="40" w:after="120"/>
        <w:jc w:val="center"/>
      </w:pPr>
      <w:r>
        <w:rPr>
          <w:rFonts w:ascii="宋体" w:hAnsi="宋体" w:eastAsia="宋体"/>
          <w:sz w:val="18"/>
        </w:rPr>
        <w:t>图 9  风险等级预测混淆矩阵</w:t>
      </w:r>
    </w:p>
    <w:p w14:paraId="70153FFB">
      <w:pPr>
        <w:spacing w:before="0" w:after="0" w:line="300" w:lineRule="auto"/>
        <w:ind w:firstLine="420"/>
        <w:jc w:val="both"/>
        <w:rPr>
          <w:rFonts w:ascii="宋体" w:hAnsi="宋体" w:eastAsia="宋体"/>
          <w:sz w:val="21"/>
        </w:rPr>
      </w:pPr>
      <w:r>
        <w:rPr>
          <w:rFonts w:ascii="宋体" w:hAnsi="宋体" w:eastAsia="宋体"/>
          <w:sz w:val="21"/>
        </w:rPr>
        <w:t>图 8 展示了代理模型在更密集高度—角度网格上的预测结果。可以看出，高风险区域主要集中在大角度跌落区域，尤其是接近</w:t>
      </w:r>
      <m:oMath>
        <m:r>
          <m:rPr>
            <m:sty m:val="p"/>
          </m:rPr>
          <w:rPr>
            <w:rFonts w:ascii="Cambria Math" w:hAnsi="Cambria Math" w:eastAsia="宋体" w:cstheme="minorBidi"/>
            <w:sz w:val="21"/>
            <w:szCs w:val="22"/>
            <w:lang w:val="en-US" w:bidi="ar-SA"/>
          </w:rPr>
          <m:t xml:space="preserve"> 90° </m:t>
        </m:r>
      </m:oMath>
      <w:r>
        <w:rPr>
          <w:rFonts w:ascii="宋体" w:hAnsi="宋体" w:eastAsia="宋体"/>
          <w:sz w:val="21"/>
        </w:rPr>
        <w:t>的竖直跌落工况；低风险区域主要位于较低高度和平躺跌落附近。该结果与有限元热力图具有一致性，说明机器学习模型不仅能拟合已有数据，还能在参数空间中形成连续的风险分布表达。对实际应用而言，这种代理模型可用于快速筛选危险跌落姿态，而不必每次都重新运行显式动力学计算。</w:t>
      </w:r>
    </w:p>
    <w:p w14:paraId="427EB30B">
      <w:pPr>
        <w:pStyle w:val="3"/>
      </w:pPr>
      <w:r>
        <w:rPr>
          <w:rFonts w:ascii="黑体" w:hAnsi="黑体" w:eastAsia="黑体"/>
          <w:b/>
          <w:color w:val="000000"/>
        </w:rPr>
        <w:t>6 面向现实生活的 AI 辅助风险评估讨论</w:t>
      </w:r>
    </w:p>
    <w:p w14:paraId="346B6AD5">
      <w:pPr>
        <w:ind w:firstLine="420" w:firstLineChars="200"/>
        <w:jc w:val="both"/>
        <w:rPr>
          <w:rFonts w:ascii="宋体" w:hAnsi="宋体" w:eastAsia="宋体"/>
          <w:b/>
          <w:bCs/>
          <w:color w:val="000000"/>
        </w:rPr>
      </w:pPr>
      <w:r>
        <w:rPr>
          <w:rFonts w:ascii="宋体" w:hAnsi="宋体" w:eastAsia="宋体"/>
          <w:color w:val="000000"/>
        </w:rPr>
        <w:t>前文基于 Abaqus 显式动力学模型和 25 组跌落工况数据，建立了机器学习代理模型，实现了跌落高度、跌落角度与最大主应力峰值之间的快速预测。若仅从算法角度看，AI 模型的作用是回归预测 S1,max；但从玉石手镯的实际使用场景看，其更重要的意义在于把复杂的有限元应力结果转化为普通用户能够理解的风险判断。现实生活中，用户最关心的问题往往不是应力云图本身，而是“手镯摔了一下后是否还可以继续佩戴”“是否可能存在肉眼难以发现的隐裂”“是否需要交给专业机构检测”。因此，本节进一步从日常佩戴、跌落后判断、商家包装运输和收纳保护等角度讨论有限元—AI 方法的现实应用价值。</w:t>
      </w:r>
    </w:p>
    <w:p w14:paraId="60D67656">
      <w:pPr>
        <w:pStyle w:val="4"/>
      </w:pPr>
      <w:r>
        <w:rPr>
          <w:rFonts w:ascii="黑体" w:hAnsi="黑体" w:eastAsia="黑体"/>
          <w:b/>
          <w:color w:val="000000"/>
        </w:rPr>
        <w:t>6.1 跌落后“要不要担心”的 AI 辅助判断思路</w:t>
      </w:r>
    </w:p>
    <w:p w14:paraId="0695AB3A">
      <w:pPr>
        <w:ind w:firstLine="420" w:firstLineChars="200"/>
        <w:jc w:val="both"/>
      </w:pPr>
      <w:r>
        <w:rPr>
          <w:rFonts w:ascii="宋体" w:hAnsi="宋体" w:eastAsia="宋体"/>
          <w:color w:val="000000"/>
        </w:rPr>
        <w:t>玉石手镯跌落后是否发生可见裂纹，与落地高度、落地姿态、地面硬度、手镯自身材料强度以及原有绺裂等因素有关。传统判断多依赖肉眼观察、强光照射和敲击声音等经验方法，这些方法对明显裂纹较有效，但对内部隐裂、微小裂纹或局部高应力损伤并不总是敏感。本文提出的有限元—AI 代理模型并不直接判断“手镯已经断裂”或“手镯一定安全”，而是根据跌落场景预测该次冲击中可能出现的最大主应力峰值，并将其与玉石参考抗拉强度进行比较，从而给出相对风险等级。</w:t>
      </w:r>
    </w:p>
    <w:p w14:paraId="2AE2E3FD">
      <w:pPr>
        <w:ind w:firstLine="420" w:firstLineChars="200"/>
        <w:jc w:val="both"/>
      </w:pPr>
      <w:r>
        <w:rPr>
          <w:rFonts w:ascii="宋体" w:hAnsi="宋体" w:eastAsia="宋体"/>
          <w:color w:val="000000"/>
        </w:rPr>
        <w:t>该判断过程可以概括为：首先把生活化描述转换为模型参数，例如“从洗手台滑落”可对应较高跌落高度，“边缘先撞地”可对应较大落地角度，“瓷砖或水泥地面”可对应较硬接触条件；其次由机器学习代理模型预测最大主应力峰值 S1,max；最后根据风险系数 Rt 对跌落事件进行低风险、中风险或高风险分类。其基本关系为：</w:t>
      </w:r>
    </w:p>
    <w:p w14:paraId="4AC9469D">
      <w:pPr>
        <w:ind w:firstLine="0"/>
        <w:jc w:val="center"/>
      </w:pPr>
      <w:r>
        <w:rPr>
          <w:rFonts w:ascii="Times New Roman" w:hAnsi="Times New Roman" w:eastAsia="宋体"/>
          <w:color w:val="000000"/>
          <w:sz w:val="21"/>
        </w:rPr>
        <w:t>h, θ, v0, μ  →  S1,max  →  Rt  →  风险等级</w:t>
      </w:r>
    </w:p>
    <w:p w14:paraId="550D6732">
      <w:pPr>
        <w:ind w:firstLine="0"/>
        <w:jc w:val="center"/>
      </w:pPr>
      <w:r>
        <w:rPr>
          <w:rFonts w:ascii="Times New Roman" w:hAnsi="Times New Roman" w:eastAsia="宋体"/>
          <w:color w:val="000000"/>
          <w:sz w:val="21"/>
        </w:rPr>
        <w:t>Rt = S1,max / σt</w:t>
      </w:r>
    </w:p>
    <w:p w14:paraId="76365D3F">
      <w:pPr>
        <w:ind w:firstLine="420" w:firstLineChars="200"/>
        <w:jc w:val="both"/>
      </w:pPr>
      <w:r>
        <w:rPr>
          <w:rFonts w:ascii="宋体" w:hAnsi="宋体" w:eastAsia="宋体"/>
          <w:color w:val="000000"/>
        </w:rPr>
        <w:t>其中 h 为跌落高度，θ 为落地姿态角，v0 为撞击前初速度，μ 为接触摩擦系数，σt 为玉石参考抗拉强度。需要强调的是，Rt 并不是严格断裂判据，而是面向不同跌落场景的相对风险指标。对于天然玉石而言，微裂纹、纹理方向、加工残余应力和矿物颗粒结构都会影响真实强度，因此模型输出更适合作为跌落后的初步风险提示，而不应替代专业鉴定。</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35"/>
        <w:gridCol w:w="3135"/>
        <w:gridCol w:w="3135"/>
      </w:tblGrid>
      <w:tr w14:paraId="7AFFEF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135" w:type="dxa"/>
            <w:vAlign w:val="center"/>
          </w:tcPr>
          <w:p w14:paraId="5657749C">
            <w:pPr>
              <w:jc w:val="center"/>
            </w:pPr>
            <w:r>
              <w:rPr>
                <w:rFonts w:ascii="宋体" w:hAnsi="宋体" w:eastAsia="宋体"/>
                <w:b/>
                <w:sz w:val="19"/>
              </w:rPr>
              <w:t>生活描述</w:t>
            </w:r>
          </w:p>
        </w:tc>
        <w:tc>
          <w:tcPr>
            <w:tcW w:w="3135" w:type="dxa"/>
            <w:vAlign w:val="center"/>
          </w:tcPr>
          <w:p w14:paraId="497A2E67">
            <w:pPr>
              <w:jc w:val="center"/>
            </w:pPr>
            <w:r>
              <w:rPr>
                <w:rFonts w:ascii="宋体" w:hAnsi="宋体" w:eastAsia="宋体"/>
                <w:b/>
                <w:sz w:val="19"/>
              </w:rPr>
              <w:t>模型参数映射</w:t>
            </w:r>
          </w:p>
        </w:tc>
        <w:tc>
          <w:tcPr>
            <w:tcW w:w="3135" w:type="dxa"/>
            <w:vAlign w:val="center"/>
          </w:tcPr>
          <w:p w14:paraId="70BFA358">
            <w:pPr>
              <w:jc w:val="center"/>
            </w:pPr>
            <w:r>
              <w:rPr>
                <w:rFonts w:ascii="宋体" w:hAnsi="宋体" w:eastAsia="宋体"/>
                <w:b/>
                <w:sz w:val="19"/>
              </w:rPr>
              <w:t>力学含义</w:t>
            </w:r>
          </w:p>
        </w:tc>
      </w:tr>
      <w:tr w14:paraId="3F8C28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135" w:type="dxa"/>
            <w:vAlign w:val="center"/>
          </w:tcPr>
          <w:p w14:paraId="637713BE">
            <w:pPr>
              <w:jc w:val="left"/>
            </w:pPr>
            <w:r>
              <w:rPr>
                <w:rFonts w:ascii="宋体" w:hAnsi="宋体" w:eastAsia="宋体"/>
                <w:b w:val="0"/>
                <w:sz w:val="19"/>
              </w:rPr>
              <w:t>从床边或沙发边掉落</w:t>
            </w:r>
          </w:p>
        </w:tc>
        <w:tc>
          <w:tcPr>
            <w:tcW w:w="3135" w:type="dxa"/>
            <w:vAlign w:val="center"/>
          </w:tcPr>
          <w:p w14:paraId="43F19936">
            <w:pPr>
              <w:jc w:val="left"/>
            </w:pPr>
            <w:r>
              <w:rPr>
                <w:rFonts w:ascii="宋体" w:hAnsi="宋体" w:eastAsia="宋体"/>
                <w:b w:val="0"/>
                <w:sz w:val="19"/>
              </w:rPr>
              <w:t>h 较低，接触可能较软</w:t>
            </w:r>
          </w:p>
        </w:tc>
        <w:tc>
          <w:tcPr>
            <w:tcW w:w="3135" w:type="dxa"/>
            <w:vAlign w:val="center"/>
          </w:tcPr>
          <w:p w14:paraId="4C26A14D">
            <w:pPr>
              <w:jc w:val="left"/>
            </w:pPr>
            <w:r>
              <w:rPr>
                <w:rFonts w:ascii="宋体" w:hAnsi="宋体" w:eastAsia="宋体"/>
                <w:b w:val="0"/>
                <w:sz w:val="19"/>
              </w:rPr>
              <w:t>冲击能量较小，通常属于相对低风险场景</w:t>
            </w:r>
          </w:p>
        </w:tc>
      </w:tr>
      <w:tr w14:paraId="2F658C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135" w:type="dxa"/>
            <w:vAlign w:val="center"/>
          </w:tcPr>
          <w:p w14:paraId="7312E0E2">
            <w:pPr>
              <w:jc w:val="left"/>
            </w:pPr>
            <w:r>
              <w:rPr>
                <w:rFonts w:ascii="宋体" w:hAnsi="宋体" w:eastAsia="宋体"/>
                <w:b w:val="0"/>
                <w:sz w:val="19"/>
              </w:rPr>
              <w:t>从桌面或洗手台掉落</w:t>
            </w:r>
          </w:p>
        </w:tc>
        <w:tc>
          <w:tcPr>
            <w:tcW w:w="3135" w:type="dxa"/>
            <w:vAlign w:val="center"/>
          </w:tcPr>
          <w:p w14:paraId="7615CC14">
            <w:pPr>
              <w:jc w:val="left"/>
            </w:pPr>
            <w:r>
              <w:rPr>
                <w:rFonts w:ascii="宋体" w:hAnsi="宋体" w:eastAsia="宋体"/>
                <w:b w:val="0"/>
                <w:sz w:val="19"/>
              </w:rPr>
              <w:t>h 较高，v0 较大</w:t>
            </w:r>
          </w:p>
        </w:tc>
        <w:tc>
          <w:tcPr>
            <w:tcW w:w="3135" w:type="dxa"/>
            <w:vAlign w:val="center"/>
          </w:tcPr>
          <w:p w14:paraId="3F5CA190">
            <w:pPr>
              <w:jc w:val="left"/>
            </w:pPr>
            <w:r>
              <w:rPr>
                <w:rFonts w:ascii="宋体" w:hAnsi="宋体" w:eastAsia="宋体"/>
                <w:b w:val="0"/>
                <w:sz w:val="19"/>
              </w:rPr>
              <w:t>输入动能增大，局部应力峰值可能明显升高</w:t>
            </w:r>
          </w:p>
        </w:tc>
      </w:tr>
      <w:tr w14:paraId="0ECEFD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135" w:type="dxa"/>
            <w:vAlign w:val="center"/>
          </w:tcPr>
          <w:p w14:paraId="6076EAB6">
            <w:pPr>
              <w:jc w:val="left"/>
            </w:pPr>
            <w:r>
              <w:rPr>
                <w:rFonts w:ascii="宋体" w:hAnsi="宋体" w:eastAsia="宋体"/>
                <w:b w:val="0"/>
                <w:sz w:val="19"/>
              </w:rPr>
              <w:t>平着拍到地面</w:t>
            </w:r>
          </w:p>
        </w:tc>
        <w:tc>
          <w:tcPr>
            <w:tcW w:w="3135" w:type="dxa"/>
            <w:vAlign w:val="center"/>
          </w:tcPr>
          <w:p w14:paraId="6EF4A463">
            <w:pPr>
              <w:jc w:val="left"/>
            </w:pPr>
            <w:r>
              <w:rPr>
                <w:rFonts w:ascii="宋体" w:hAnsi="宋体" w:eastAsia="宋体"/>
                <w:b w:val="0"/>
                <w:sz w:val="19"/>
              </w:rPr>
              <w:t>θ 接近 0°</w:t>
            </w:r>
          </w:p>
        </w:tc>
        <w:tc>
          <w:tcPr>
            <w:tcW w:w="3135" w:type="dxa"/>
            <w:vAlign w:val="center"/>
          </w:tcPr>
          <w:p w14:paraId="13F90A60">
            <w:pPr>
              <w:jc w:val="left"/>
            </w:pPr>
            <w:r>
              <w:rPr>
                <w:rFonts w:ascii="宋体" w:hAnsi="宋体" w:eastAsia="宋体"/>
                <w:b w:val="0"/>
                <w:sz w:val="19"/>
              </w:rPr>
              <w:t>接触区域较分散，局部应力集中相对较弱</w:t>
            </w:r>
          </w:p>
        </w:tc>
      </w:tr>
      <w:tr w14:paraId="74775C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135" w:type="dxa"/>
            <w:vAlign w:val="center"/>
          </w:tcPr>
          <w:p w14:paraId="5E31F66E">
            <w:pPr>
              <w:jc w:val="left"/>
            </w:pPr>
            <w:r>
              <w:rPr>
                <w:rFonts w:ascii="宋体" w:hAnsi="宋体" w:eastAsia="宋体"/>
                <w:b w:val="0"/>
                <w:sz w:val="19"/>
              </w:rPr>
              <w:t>斜着撞击地面</w:t>
            </w:r>
          </w:p>
        </w:tc>
        <w:tc>
          <w:tcPr>
            <w:tcW w:w="3135" w:type="dxa"/>
            <w:vAlign w:val="center"/>
          </w:tcPr>
          <w:p w14:paraId="58F3A33D">
            <w:pPr>
              <w:jc w:val="left"/>
            </w:pPr>
            <w:r>
              <w:rPr>
                <w:rFonts w:ascii="宋体" w:hAnsi="宋体" w:eastAsia="宋体"/>
                <w:b w:val="0"/>
                <w:sz w:val="19"/>
              </w:rPr>
              <w:t>θ 约 30°—60°</w:t>
            </w:r>
          </w:p>
        </w:tc>
        <w:tc>
          <w:tcPr>
            <w:tcW w:w="3135" w:type="dxa"/>
            <w:vAlign w:val="center"/>
          </w:tcPr>
          <w:p w14:paraId="454C5CDF">
            <w:pPr>
              <w:jc w:val="left"/>
            </w:pPr>
            <w:r>
              <w:rPr>
                <w:rFonts w:ascii="宋体" w:hAnsi="宋体" w:eastAsia="宋体"/>
                <w:b w:val="0"/>
                <w:sz w:val="19"/>
              </w:rPr>
              <w:t>偏心冲击引起局部弯曲和扭转，风险升高</w:t>
            </w:r>
          </w:p>
        </w:tc>
      </w:tr>
      <w:tr w14:paraId="315DA2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135" w:type="dxa"/>
            <w:vAlign w:val="center"/>
          </w:tcPr>
          <w:p w14:paraId="55A33B0F">
            <w:pPr>
              <w:jc w:val="left"/>
            </w:pPr>
            <w:r>
              <w:rPr>
                <w:rFonts w:ascii="宋体" w:hAnsi="宋体" w:eastAsia="宋体"/>
                <w:b w:val="0"/>
                <w:sz w:val="19"/>
              </w:rPr>
              <w:t>边缘先撞硬地面</w:t>
            </w:r>
          </w:p>
        </w:tc>
        <w:tc>
          <w:tcPr>
            <w:tcW w:w="3135" w:type="dxa"/>
            <w:vAlign w:val="center"/>
          </w:tcPr>
          <w:p w14:paraId="2945E0B1">
            <w:pPr>
              <w:jc w:val="left"/>
            </w:pPr>
            <w:r>
              <w:rPr>
                <w:rFonts w:ascii="宋体" w:hAnsi="宋体" w:eastAsia="宋体"/>
                <w:b w:val="0"/>
                <w:sz w:val="19"/>
              </w:rPr>
              <w:t>θ 接近 90°</w:t>
            </w:r>
          </w:p>
        </w:tc>
        <w:tc>
          <w:tcPr>
            <w:tcW w:w="3135" w:type="dxa"/>
            <w:vAlign w:val="center"/>
          </w:tcPr>
          <w:p w14:paraId="54F333E3">
            <w:pPr>
              <w:jc w:val="left"/>
            </w:pPr>
            <w:r>
              <w:rPr>
                <w:rFonts w:ascii="宋体" w:hAnsi="宋体" w:eastAsia="宋体"/>
                <w:b w:val="0"/>
                <w:sz w:val="19"/>
              </w:rPr>
              <w:t>接触面积小，应力集中最明显，是高风险姿态</w:t>
            </w:r>
          </w:p>
        </w:tc>
      </w:tr>
      <w:tr w14:paraId="369BF9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135" w:type="dxa"/>
            <w:vAlign w:val="center"/>
          </w:tcPr>
          <w:p w14:paraId="5923B7AE">
            <w:pPr>
              <w:jc w:val="left"/>
            </w:pPr>
            <w:r>
              <w:rPr>
                <w:rFonts w:ascii="宋体" w:hAnsi="宋体" w:eastAsia="宋体"/>
                <w:b w:val="0"/>
                <w:sz w:val="19"/>
              </w:rPr>
              <w:t>已有石纹、暗裂或修复痕迹</w:t>
            </w:r>
          </w:p>
        </w:tc>
        <w:tc>
          <w:tcPr>
            <w:tcW w:w="3135" w:type="dxa"/>
            <w:vAlign w:val="center"/>
          </w:tcPr>
          <w:p w14:paraId="07BFC738">
            <w:pPr>
              <w:jc w:val="left"/>
            </w:pPr>
            <w:r>
              <w:rPr>
                <w:rFonts w:ascii="宋体" w:hAnsi="宋体" w:eastAsia="宋体"/>
                <w:b w:val="0"/>
                <w:sz w:val="19"/>
              </w:rPr>
              <w:t>有效强度</w:t>
            </w:r>
            <m:oMath>
              <m:r>
                <m:rPr/>
                <w:rPr>
                  <w:rFonts w:hint="default" w:ascii="Cambria Math" w:hAnsi="Cambria Math" w:eastAsia="宋体"/>
                  <w:sz w:val="19"/>
                </w:rPr>
                <m:t>σt</m:t>
              </m:r>
            </m:oMath>
            <w:r>
              <w:rPr>
                <w:rFonts w:ascii="宋体" w:hAnsi="宋体" w:eastAsia="宋体"/>
                <w:b w:val="0"/>
                <w:sz w:val="19"/>
              </w:rPr>
              <w:t>需要折减</w:t>
            </w:r>
          </w:p>
        </w:tc>
        <w:tc>
          <w:tcPr>
            <w:tcW w:w="3135" w:type="dxa"/>
            <w:vAlign w:val="center"/>
          </w:tcPr>
          <w:p w14:paraId="6669C215">
            <w:pPr>
              <w:jc w:val="left"/>
            </w:pPr>
            <w:r>
              <w:rPr>
                <w:rFonts w:ascii="宋体" w:hAnsi="宋体" w:eastAsia="宋体"/>
                <w:b w:val="0"/>
                <w:sz w:val="19"/>
              </w:rPr>
              <w:t>相同冲击下风险系数 Rt 增大</w:t>
            </w:r>
          </w:p>
        </w:tc>
      </w:tr>
    </w:tbl>
    <w:p w14:paraId="36E8092D">
      <w:pPr>
        <w:ind w:firstLine="420" w:firstLineChars="200"/>
        <w:jc w:val="both"/>
      </w:pPr>
      <w:r>
        <w:rPr>
          <w:rFonts w:ascii="宋体" w:hAnsi="宋体" w:eastAsia="宋体"/>
          <w:color w:val="000000"/>
        </w:rPr>
        <w:t>在实际应用中，可以将风险等级转化为生活化建议。若 AI 预测结果为低风险，说明该次跌落对应的最大主应力明显低于参考强度，用户可继续观察，但仍应避免短时间内再次碰撞；若为中风险，说明局部区域可能经历了较高拉应力，建议使用强光重点检查手镯内外缘、色线附近和原有纹理区域；若为高风险，则说明该次跌落产生的局部拉应力可能超过参考强度，虽然表面未必立即出现明显裂纹，但仍可能存在隐裂或后续扩展风险，建议暂停佩戴并交由专业机构检测。</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51"/>
        <w:gridCol w:w="2351"/>
        <w:gridCol w:w="2351"/>
        <w:gridCol w:w="2351"/>
      </w:tblGrid>
      <w:tr w14:paraId="769712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51" w:type="dxa"/>
            <w:vAlign w:val="center"/>
          </w:tcPr>
          <w:p w14:paraId="68A7EB9E">
            <w:pPr>
              <w:jc w:val="center"/>
            </w:pPr>
            <w:r>
              <w:rPr>
                <w:rFonts w:ascii="宋体" w:hAnsi="宋体" w:eastAsia="宋体"/>
                <w:b/>
                <w:sz w:val="19"/>
              </w:rPr>
              <w:t>风险等级</w:t>
            </w:r>
          </w:p>
        </w:tc>
        <w:tc>
          <w:tcPr>
            <w:tcW w:w="2351" w:type="dxa"/>
            <w:vAlign w:val="center"/>
          </w:tcPr>
          <w:p w14:paraId="06A1BA7E">
            <w:pPr>
              <w:jc w:val="center"/>
            </w:pPr>
            <w:r>
              <w:rPr>
                <w:rFonts w:ascii="宋体" w:hAnsi="宋体" w:eastAsia="宋体"/>
                <w:b/>
                <w:sz w:val="19"/>
              </w:rPr>
              <w:t>力学判断</w:t>
            </w:r>
          </w:p>
        </w:tc>
        <w:tc>
          <w:tcPr>
            <w:tcW w:w="2351" w:type="dxa"/>
            <w:vAlign w:val="center"/>
          </w:tcPr>
          <w:p w14:paraId="6FED0A76">
            <w:pPr>
              <w:jc w:val="center"/>
            </w:pPr>
            <w:r>
              <w:rPr>
                <w:rFonts w:ascii="宋体" w:hAnsi="宋体" w:eastAsia="宋体"/>
                <w:b/>
                <w:sz w:val="19"/>
              </w:rPr>
              <w:t>生活化解释</w:t>
            </w:r>
          </w:p>
        </w:tc>
        <w:tc>
          <w:tcPr>
            <w:tcW w:w="2351" w:type="dxa"/>
            <w:vAlign w:val="center"/>
          </w:tcPr>
          <w:p w14:paraId="286E810E">
            <w:pPr>
              <w:jc w:val="center"/>
            </w:pPr>
            <w:r>
              <w:rPr>
                <w:rFonts w:ascii="宋体" w:hAnsi="宋体" w:eastAsia="宋体"/>
                <w:b/>
                <w:sz w:val="19"/>
              </w:rPr>
              <w:t>建议处理方式</w:t>
            </w:r>
          </w:p>
        </w:tc>
      </w:tr>
      <w:tr w14:paraId="60013A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51" w:type="dxa"/>
            <w:vAlign w:val="center"/>
          </w:tcPr>
          <w:p w14:paraId="469BD191">
            <w:pPr>
              <w:jc w:val="left"/>
            </w:pPr>
            <w:r>
              <w:rPr>
                <w:rFonts w:ascii="宋体" w:hAnsi="宋体" w:eastAsia="宋体"/>
                <w:b w:val="0"/>
                <w:sz w:val="19"/>
              </w:rPr>
              <w:t>低风险</w:t>
            </w:r>
          </w:p>
        </w:tc>
        <w:tc>
          <w:tcPr>
            <w:tcW w:w="2351" w:type="dxa"/>
            <w:vAlign w:val="center"/>
          </w:tcPr>
          <w:p w14:paraId="0E4D7654">
            <w:pPr>
              <w:jc w:val="left"/>
            </w:pPr>
            <w:r>
              <w:rPr>
                <w:rFonts w:ascii="宋体" w:hAnsi="宋体" w:eastAsia="宋体"/>
                <w:b w:val="0"/>
                <w:sz w:val="19"/>
              </w:rPr>
              <w:t>Rt &lt; 0.5</w:t>
            </w:r>
          </w:p>
        </w:tc>
        <w:tc>
          <w:tcPr>
            <w:tcW w:w="2351" w:type="dxa"/>
            <w:vAlign w:val="center"/>
          </w:tcPr>
          <w:p w14:paraId="37B03DC8">
            <w:pPr>
              <w:jc w:val="left"/>
            </w:pPr>
            <w:r>
              <w:rPr>
                <w:rFonts w:ascii="宋体" w:hAnsi="宋体" w:eastAsia="宋体"/>
                <w:b w:val="0"/>
                <w:sz w:val="19"/>
              </w:rPr>
              <w:t>跌落冲击产生的拉应力相对较低</w:t>
            </w:r>
          </w:p>
        </w:tc>
        <w:tc>
          <w:tcPr>
            <w:tcW w:w="2351" w:type="dxa"/>
            <w:vAlign w:val="center"/>
          </w:tcPr>
          <w:p w14:paraId="6B63EA8C">
            <w:pPr>
              <w:jc w:val="left"/>
            </w:pPr>
            <w:r>
              <w:rPr>
                <w:rFonts w:ascii="宋体" w:hAnsi="宋体" w:eastAsia="宋体"/>
                <w:b w:val="0"/>
                <w:sz w:val="19"/>
              </w:rPr>
              <w:t>可继续观察，避免再次碰撞</w:t>
            </w:r>
          </w:p>
        </w:tc>
      </w:tr>
      <w:tr w14:paraId="24BA01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51" w:type="dxa"/>
            <w:vAlign w:val="center"/>
          </w:tcPr>
          <w:p w14:paraId="5C27482E">
            <w:pPr>
              <w:jc w:val="left"/>
            </w:pPr>
            <w:r>
              <w:rPr>
                <w:rFonts w:ascii="宋体" w:hAnsi="宋体" w:eastAsia="宋体"/>
                <w:b w:val="0"/>
                <w:sz w:val="19"/>
              </w:rPr>
              <w:t>中风险</w:t>
            </w:r>
          </w:p>
        </w:tc>
        <w:tc>
          <w:tcPr>
            <w:tcW w:w="2351" w:type="dxa"/>
            <w:vAlign w:val="center"/>
          </w:tcPr>
          <w:p w14:paraId="57D5C704">
            <w:pPr>
              <w:jc w:val="left"/>
            </w:pPr>
            <w:r>
              <w:rPr>
                <w:rFonts w:ascii="宋体" w:hAnsi="宋体" w:eastAsia="宋体"/>
                <w:b w:val="0"/>
                <w:sz w:val="19"/>
              </w:rPr>
              <w:t>0.5 ≤ Rt &lt; 1.0</w:t>
            </w:r>
          </w:p>
        </w:tc>
        <w:tc>
          <w:tcPr>
            <w:tcW w:w="2351" w:type="dxa"/>
            <w:vAlign w:val="center"/>
          </w:tcPr>
          <w:p w14:paraId="15406A84">
            <w:pPr>
              <w:jc w:val="left"/>
            </w:pPr>
            <w:r>
              <w:rPr>
                <w:rFonts w:ascii="宋体" w:hAnsi="宋体" w:eastAsia="宋体"/>
                <w:b w:val="0"/>
                <w:sz w:val="19"/>
              </w:rPr>
              <w:t>局部区域可能经历较高拉应力</w:t>
            </w:r>
          </w:p>
        </w:tc>
        <w:tc>
          <w:tcPr>
            <w:tcW w:w="2351" w:type="dxa"/>
            <w:vAlign w:val="center"/>
          </w:tcPr>
          <w:p w14:paraId="270883DC">
            <w:pPr>
              <w:jc w:val="left"/>
            </w:pPr>
            <w:r>
              <w:rPr>
                <w:rFonts w:ascii="宋体" w:hAnsi="宋体" w:eastAsia="宋体"/>
                <w:b w:val="0"/>
                <w:sz w:val="19"/>
              </w:rPr>
              <w:t>建议强光检查内外缘和暗纹区域</w:t>
            </w:r>
          </w:p>
        </w:tc>
      </w:tr>
      <w:tr w14:paraId="61112C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51" w:type="dxa"/>
            <w:vAlign w:val="center"/>
          </w:tcPr>
          <w:p w14:paraId="584A2734">
            <w:pPr>
              <w:jc w:val="left"/>
            </w:pPr>
            <w:r>
              <w:rPr>
                <w:rFonts w:ascii="宋体" w:hAnsi="宋体" w:eastAsia="宋体"/>
                <w:b w:val="0"/>
                <w:sz w:val="19"/>
              </w:rPr>
              <w:t>高风险</w:t>
            </w:r>
          </w:p>
        </w:tc>
        <w:tc>
          <w:tcPr>
            <w:tcW w:w="2351" w:type="dxa"/>
            <w:vAlign w:val="center"/>
          </w:tcPr>
          <w:p w14:paraId="3876DE4A">
            <w:pPr>
              <w:jc w:val="left"/>
            </w:pPr>
            <w:r>
              <w:rPr>
                <w:rFonts w:ascii="宋体" w:hAnsi="宋体" w:eastAsia="宋体"/>
                <w:b w:val="0"/>
                <w:sz w:val="19"/>
              </w:rPr>
              <w:t>Rt ≥ 1.0</w:t>
            </w:r>
          </w:p>
        </w:tc>
        <w:tc>
          <w:tcPr>
            <w:tcW w:w="2351" w:type="dxa"/>
            <w:vAlign w:val="center"/>
          </w:tcPr>
          <w:p w14:paraId="62470CD4">
            <w:pPr>
              <w:jc w:val="left"/>
            </w:pPr>
            <w:r>
              <w:rPr>
                <w:rFonts w:ascii="宋体" w:hAnsi="宋体" w:eastAsia="宋体"/>
                <w:b w:val="0"/>
                <w:sz w:val="19"/>
              </w:rPr>
              <w:t>可能达到或超过参考抗拉强度</w:t>
            </w:r>
          </w:p>
        </w:tc>
        <w:tc>
          <w:tcPr>
            <w:tcW w:w="2351" w:type="dxa"/>
            <w:vAlign w:val="center"/>
          </w:tcPr>
          <w:p w14:paraId="173C0760">
            <w:pPr>
              <w:jc w:val="left"/>
            </w:pPr>
            <w:r>
              <w:rPr>
                <w:rFonts w:ascii="宋体" w:hAnsi="宋体" w:eastAsia="宋体"/>
                <w:b w:val="0"/>
                <w:sz w:val="19"/>
              </w:rPr>
              <w:t>建议暂停佩戴并进行专业检测</w:t>
            </w:r>
          </w:p>
        </w:tc>
      </w:tr>
      <w:tr w14:paraId="02B206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51" w:type="dxa"/>
            <w:vAlign w:val="center"/>
          </w:tcPr>
          <w:p w14:paraId="71D2DE5F">
            <w:pPr>
              <w:jc w:val="left"/>
            </w:pPr>
            <w:r>
              <w:rPr>
                <w:rFonts w:ascii="宋体" w:hAnsi="宋体" w:eastAsia="宋体"/>
                <w:b w:val="0"/>
                <w:sz w:val="19"/>
              </w:rPr>
              <w:t>极高风险</w:t>
            </w:r>
          </w:p>
        </w:tc>
        <w:tc>
          <w:tcPr>
            <w:tcW w:w="2351" w:type="dxa"/>
            <w:vAlign w:val="center"/>
          </w:tcPr>
          <w:p w14:paraId="449B6360">
            <w:pPr>
              <w:jc w:val="left"/>
            </w:pPr>
            <w:r>
              <w:rPr>
                <w:rFonts w:ascii="宋体" w:hAnsi="宋体" w:eastAsia="宋体"/>
                <w:b w:val="0"/>
                <w:sz w:val="19"/>
              </w:rPr>
              <w:t>Rt 远大于 1.0</w:t>
            </w:r>
          </w:p>
        </w:tc>
        <w:tc>
          <w:tcPr>
            <w:tcW w:w="2351" w:type="dxa"/>
            <w:vAlign w:val="center"/>
          </w:tcPr>
          <w:p w14:paraId="043ADAE2">
            <w:pPr>
              <w:jc w:val="left"/>
            </w:pPr>
            <w:r>
              <w:rPr>
                <w:rFonts w:ascii="宋体" w:hAnsi="宋体" w:eastAsia="宋体"/>
                <w:b w:val="0"/>
                <w:sz w:val="19"/>
              </w:rPr>
              <w:t>存在隐裂或后续裂纹扩展可能</w:t>
            </w:r>
          </w:p>
        </w:tc>
        <w:tc>
          <w:tcPr>
            <w:tcW w:w="2351" w:type="dxa"/>
            <w:vAlign w:val="center"/>
          </w:tcPr>
          <w:p w14:paraId="5F9C34BF">
            <w:pPr>
              <w:jc w:val="left"/>
            </w:pPr>
            <w:r>
              <w:rPr>
                <w:rFonts w:ascii="宋体" w:hAnsi="宋体" w:eastAsia="宋体"/>
                <w:b w:val="0"/>
                <w:sz w:val="19"/>
              </w:rPr>
              <w:t>不建议继续挤压、敲击或佩戴</w:t>
            </w:r>
          </w:p>
        </w:tc>
      </w:tr>
    </w:tbl>
    <w:p w14:paraId="42E1DBCE">
      <w:pPr>
        <w:pStyle w:val="4"/>
      </w:pPr>
      <w:r>
        <w:rPr>
          <w:rFonts w:ascii="黑体" w:hAnsi="黑体" w:eastAsia="黑体"/>
          <w:b/>
          <w:color w:val="000000"/>
        </w:rPr>
        <w:t>6.2 与本文有限元结果的对应关系</w:t>
      </w:r>
    </w:p>
    <w:p w14:paraId="7CF232E5">
      <w:pPr>
        <w:ind w:firstLine="420" w:firstLineChars="200"/>
        <w:jc w:val="both"/>
      </w:pPr>
      <w:r>
        <w:rPr>
          <w:rFonts w:ascii="宋体" w:hAnsi="宋体" w:eastAsia="宋体"/>
          <w:color w:val="000000"/>
        </w:rPr>
        <w:t>本文有限元结果表明，平躺跌落时最大主应力整体较低，而竖直跌落和部分倾斜跌落工况会产生显著更高的最大主应力。例如，</w:t>
      </w:r>
      <m:oMath>
        <m:r>
          <m:rPr/>
          <w:rPr>
            <w:rFonts w:hint="default" w:ascii="Cambria Math" w:hAnsi="Cambria Math" w:eastAsia="宋体"/>
            <w:sz w:val="21"/>
          </w:rPr>
          <m:t>H=1.0m、A=90°</m:t>
        </m:r>
      </m:oMath>
      <w:r>
        <w:rPr>
          <w:rFonts w:ascii="宋体" w:hAnsi="宋体" w:eastAsia="宋体"/>
          <w:color w:val="000000"/>
        </w:rPr>
        <w:t>的竖直跌落工况为本组计算中的最危险工况，最大主应力峰值达到约</w:t>
      </w:r>
      <m:oMath>
        <m:r>
          <m:rPr/>
          <w:rPr>
            <w:rFonts w:hint="default" w:ascii="Cambria Math" w:hAnsi="Cambria Math" w:eastAsia="宋体"/>
            <w:sz w:val="21"/>
          </w:rPr>
          <m:t>519MPa</m:t>
        </m:r>
      </m:oMath>
      <w:r>
        <w:rPr>
          <w:rFonts w:ascii="宋体" w:hAnsi="宋体" w:eastAsia="宋体"/>
          <w:color w:val="000000"/>
        </w:rPr>
        <w:t>；而低高度、平躺落地工况的最大主应力显著较低。该结果可以用日常语言解释为：同样是“摔了一下”，如果手镯是平着落到地面，接触面积较大，冲击载荷分散，风险相对较低；如果是边缘先撞到瓷砖或石材地面，局部接触区域很小，环形结构会产生明显弯曲拉应力，风险显著升高。</w:t>
      </w:r>
    </w:p>
    <w:p w14:paraId="7481D151">
      <w:pPr>
        <w:jc w:val="both"/>
      </w:pPr>
      <w:r>
        <w:rPr>
          <w:rFonts w:ascii="宋体" w:hAnsi="宋体" w:eastAsia="宋体"/>
          <w:color w:val="000000"/>
        </w:rPr>
        <w:t>这说明用户在描述跌落事件时，不能只关注“摔得高不高”，还应关注“怎样落地”。在许多现实情形中，手镯从手腕滑落或从洗手台边缘掉落时，其落地姿态具有较强随机性，边缘先撞击硬地面的概率并不低。因此，AI 风险评估方法的价值在于把“高度”和“姿态”同时纳入判断，而不是用单一经验判断所有跌落情况。</w:t>
      </w:r>
    </w:p>
    <w:p w14:paraId="7BFA758F">
      <w:pPr>
        <w:pStyle w:val="4"/>
      </w:pPr>
      <w:r>
        <w:rPr>
          <w:rFonts w:ascii="黑体" w:hAnsi="黑体" w:eastAsia="黑体"/>
          <w:b/>
          <w:color w:val="000000"/>
        </w:rPr>
        <w:t>6.3 AI 辅助玉石商家的包装与运输保护</w:t>
      </w:r>
    </w:p>
    <w:p w14:paraId="26D5327A">
      <w:pPr>
        <w:ind w:firstLine="420" w:firstLineChars="200"/>
        <w:jc w:val="both"/>
      </w:pPr>
      <w:r>
        <w:rPr>
          <w:rFonts w:ascii="宋体" w:hAnsi="宋体" w:eastAsia="宋体"/>
          <w:color w:val="000000"/>
        </w:rPr>
        <w:t>除个人佩戴场景外，玉石手镯在销售、展示和运输过程中也面临跌落损伤风险。对于玉石商家而言，手镯往往需要经过展柜摆放、试戴、包装、快递运输等多个环节。传统包装设计更多依赖经验，例如增加绒布、泡沫、首饰盒或外包装厚度，但不同包装方案在多大程度上降低冲击应力并不容易直观判断。有限元—AI 方法可进一步扩展为包装保护风险评估工具：通过有限元计算不同缓冲材料、摆放方式和跌落高度下的最大主应力，再利用机器学习代理模型快速预测包装方案的相对安全性。</w:t>
      </w:r>
    </w:p>
    <w:p w14:paraId="41679EFF">
      <w:pPr>
        <w:ind w:firstLine="420" w:firstLineChars="200"/>
        <w:jc w:val="both"/>
      </w:pPr>
      <w:r>
        <w:rPr>
          <w:rFonts w:ascii="宋体" w:hAnsi="宋体" w:eastAsia="宋体"/>
          <w:color w:val="000000"/>
        </w:rPr>
        <w:t>在论文研究范围内，本文尚未实际建立缓冲包装材料模型，因此包装与运输保护部分应作为应用拓展讨论，而不作为本文已经完成的定量结论。但其技术路线是明确的：将包装材料等效刚度、缓冲层厚度、手镯摆放姿态和运输跌落高度作为输入变量，将最大主应力峰值或风险等级作为输出变量。这样，商家在面对不同价值等级的玉镯时，可以用较少的有限元样本建立代理模型，快速比较不同包装方案的风险差异。</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51"/>
        <w:gridCol w:w="2351"/>
        <w:gridCol w:w="2351"/>
        <w:gridCol w:w="2351"/>
      </w:tblGrid>
      <w:tr w14:paraId="320B35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51" w:type="dxa"/>
            <w:vAlign w:val="center"/>
          </w:tcPr>
          <w:p w14:paraId="70021624">
            <w:pPr>
              <w:jc w:val="center"/>
            </w:pPr>
            <w:r>
              <w:rPr>
                <w:rFonts w:ascii="宋体" w:hAnsi="宋体" w:eastAsia="宋体"/>
                <w:b/>
                <w:sz w:val="19"/>
              </w:rPr>
              <w:t>商业场景</w:t>
            </w:r>
          </w:p>
        </w:tc>
        <w:tc>
          <w:tcPr>
            <w:tcW w:w="2351" w:type="dxa"/>
            <w:vAlign w:val="center"/>
          </w:tcPr>
          <w:p w14:paraId="4015FA45">
            <w:pPr>
              <w:jc w:val="center"/>
            </w:pPr>
            <w:r>
              <w:rPr>
                <w:rFonts w:ascii="宋体" w:hAnsi="宋体" w:eastAsia="宋体"/>
                <w:b/>
                <w:sz w:val="19"/>
              </w:rPr>
              <w:t>可转化参数</w:t>
            </w:r>
          </w:p>
        </w:tc>
        <w:tc>
          <w:tcPr>
            <w:tcW w:w="2351" w:type="dxa"/>
            <w:vAlign w:val="center"/>
          </w:tcPr>
          <w:p w14:paraId="019EA123">
            <w:pPr>
              <w:jc w:val="center"/>
            </w:pPr>
            <w:r>
              <w:rPr>
                <w:rFonts w:ascii="宋体" w:hAnsi="宋体" w:eastAsia="宋体"/>
                <w:b/>
                <w:sz w:val="19"/>
              </w:rPr>
              <w:t>AI 可辅助判断的问题</w:t>
            </w:r>
          </w:p>
        </w:tc>
        <w:tc>
          <w:tcPr>
            <w:tcW w:w="2351" w:type="dxa"/>
            <w:vAlign w:val="center"/>
          </w:tcPr>
          <w:p w14:paraId="766EAFD9">
            <w:pPr>
              <w:jc w:val="center"/>
            </w:pPr>
            <w:r>
              <w:rPr>
                <w:rFonts w:ascii="宋体" w:hAnsi="宋体" w:eastAsia="宋体"/>
                <w:b/>
                <w:sz w:val="19"/>
              </w:rPr>
              <w:t>现实意义</w:t>
            </w:r>
          </w:p>
        </w:tc>
      </w:tr>
      <w:tr w14:paraId="0C52CA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51" w:type="dxa"/>
            <w:vAlign w:val="center"/>
          </w:tcPr>
          <w:p w14:paraId="5B4A998C">
            <w:pPr>
              <w:jc w:val="left"/>
            </w:pPr>
            <w:r>
              <w:rPr>
                <w:rFonts w:ascii="宋体" w:hAnsi="宋体" w:eastAsia="宋体"/>
                <w:b w:val="0"/>
                <w:sz w:val="19"/>
              </w:rPr>
              <w:t>快递运输</w:t>
            </w:r>
          </w:p>
        </w:tc>
        <w:tc>
          <w:tcPr>
            <w:tcW w:w="2351" w:type="dxa"/>
            <w:vAlign w:val="center"/>
          </w:tcPr>
          <w:p w14:paraId="33F6D37E">
            <w:pPr>
              <w:jc w:val="left"/>
            </w:pPr>
            <w:r>
              <w:rPr>
                <w:rFonts w:ascii="宋体" w:hAnsi="宋体" w:eastAsia="宋体"/>
                <w:b w:val="0"/>
                <w:sz w:val="19"/>
              </w:rPr>
              <w:t>跌落高度、包装刚度、缓冲厚度</w:t>
            </w:r>
          </w:p>
        </w:tc>
        <w:tc>
          <w:tcPr>
            <w:tcW w:w="2351" w:type="dxa"/>
            <w:vAlign w:val="center"/>
          </w:tcPr>
          <w:p w14:paraId="1263C557">
            <w:pPr>
              <w:jc w:val="left"/>
            </w:pPr>
            <w:r>
              <w:rPr>
                <w:rFonts w:ascii="宋体" w:hAnsi="宋体" w:eastAsia="宋体"/>
                <w:b w:val="0"/>
                <w:sz w:val="19"/>
              </w:rPr>
              <w:t>当前包装是否足以降低冲击风险</w:t>
            </w:r>
          </w:p>
        </w:tc>
        <w:tc>
          <w:tcPr>
            <w:tcW w:w="2351" w:type="dxa"/>
            <w:vAlign w:val="center"/>
          </w:tcPr>
          <w:p w14:paraId="134D1166">
            <w:pPr>
              <w:jc w:val="left"/>
            </w:pPr>
            <w:r>
              <w:rPr>
                <w:rFonts w:ascii="宋体" w:hAnsi="宋体" w:eastAsia="宋体"/>
                <w:b w:val="0"/>
                <w:sz w:val="19"/>
              </w:rPr>
              <w:t>减少运输过程中的暗裂和破损</w:t>
            </w:r>
          </w:p>
        </w:tc>
      </w:tr>
      <w:tr w14:paraId="40D41F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51" w:type="dxa"/>
            <w:vAlign w:val="center"/>
          </w:tcPr>
          <w:p w14:paraId="0AD32016">
            <w:pPr>
              <w:jc w:val="left"/>
            </w:pPr>
            <w:r>
              <w:rPr>
                <w:rFonts w:ascii="宋体" w:hAnsi="宋体" w:eastAsia="宋体"/>
                <w:b w:val="0"/>
                <w:sz w:val="19"/>
              </w:rPr>
              <w:t>展柜展示</w:t>
            </w:r>
          </w:p>
        </w:tc>
        <w:tc>
          <w:tcPr>
            <w:tcW w:w="2351" w:type="dxa"/>
            <w:vAlign w:val="center"/>
          </w:tcPr>
          <w:p w14:paraId="438DC5AC">
            <w:pPr>
              <w:jc w:val="left"/>
            </w:pPr>
            <w:r>
              <w:rPr>
                <w:rFonts w:ascii="宋体" w:hAnsi="宋体" w:eastAsia="宋体"/>
                <w:b w:val="0"/>
                <w:sz w:val="19"/>
              </w:rPr>
              <w:t>摆放姿态、跌落方向、展台高度</w:t>
            </w:r>
          </w:p>
        </w:tc>
        <w:tc>
          <w:tcPr>
            <w:tcW w:w="2351" w:type="dxa"/>
            <w:vAlign w:val="center"/>
          </w:tcPr>
          <w:p w14:paraId="6E5C5C7B">
            <w:pPr>
              <w:jc w:val="left"/>
            </w:pPr>
            <w:r>
              <w:rPr>
                <w:rFonts w:ascii="宋体" w:hAnsi="宋体" w:eastAsia="宋体"/>
                <w:b w:val="0"/>
                <w:sz w:val="19"/>
              </w:rPr>
              <w:t>哪种摆放方式风险较低</w:t>
            </w:r>
          </w:p>
        </w:tc>
        <w:tc>
          <w:tcPr>
            <w:tcW w:w="2351" w:type="dxa"/>
            <w:vAlign w:val="center"/>
          </w:tcPr>
          <w:p w14:paraId="628B4B20">
            <w:pPr>
              <w:jc w:val="left"/>
            </w:pPr>
            <w:r>
              <w:rPr>
                <w:rFonts w:ascii="宋体" w:hAnsi="宋体" w:eastAsia="宋体"/>
                <w:b w:val="0"/>
                <w:sz w:val="19"/>
              </w:rPr>
              <w:t>降低展示和拿取过程中的损伤概率</w:t>
            </w:r>
          </w:p>
        </w:tc>
      </w:tr>
      <w:tr w14:paraId="2F3D0D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51" w:type="dxa"/>
            <w:vAlign w:val="center"/>
          </w:tcPr>
          <w:p w14:paraId="54F181B0">
            <w:pPr>
              <w:jc w:val="left"/>
            </w:pPr>
            <w:r>
              <w:rPr>
                <w:rFonts w:ascii="宋体" w:hAnsi="宋体" w:eastAsia="宋体"/>
                <w:b w:val="0"/>
                <w:sz w:val="19"/>
              </w:rPr>
              <w:t>直播或门店试戴</w:t>
            </w:r>
          </w:p>
        </w:tc>
        <w:tc>
          <w:tcPr>
            <w:tcW w:w="2351" w:type="dxa"/>
            <w:vAlign w:val="center"/>
          </w:tcPr>
          <w:p w14:paraId="2C7924A0">
            <w:pPr>
              <w:jc w:val="left"/>
            </w:pPr>
            <w:r>
              <w:rPr>
                <w:rFonts w:ascii="宋体" w:hAnsi="宋体" w:eastAsia="宋体"/>
                <w:b w:val="0"/>
                <w:sz w:val="19"/>
              </w:rPr>
              <w:t>试戴高度、地面材料、软垫有无</w:t>
            </w:r>
          </w:p>
        </w:tc>
        <w:tc>
          <w:tcPr>
            <w:tcW w:w="2351" w:type="dxa"/>
            <w:vAlign w:val="center"/>
          </w:tcPr>
          <w:p w14:paraId="462D2F1C">
            <w:pPr>
              <w:jc w:val="left"/>
            </w:pPr>
            <w:r>
              <w:rPr>
                <w:rFonts w:ascii="宋体" w:hAnsi="宋体" w:eastAsia="宋体"/>
                <w:b w:val="0"/>
                <w:sz w:val="19"/>
              </w:rPr>
              <w:t>是否需要增加软垫保护</w:t>
            </w:r>
          </w:p>
        </w:tc>
        <w:tc>
          <w:tcPr>
            <w:tcW w:w="2351" w:type="dxa"/>
            <w:vAlign w:val="center"/>
          </w:tcPr>
          <w:p w14:paraId="384D0488">
            <w:pPr>
              <w:jc w:val="left"/>
            </w:pPr>
            <w:r>
              <w:rPr>
                <w:rFonts w:ascii="宋体" w:hAnsi="宋体" w:eastAsia="宋体"/>
                <w:b w:val="0"/>
                <w:sz w:val="19"/>
              </w:rPr>
              <w:t>减少顾客试戴时的意外损坏</w:t>
            </w:r>
          </w:p>
        </w:tc>
      </w:tr>
      <w:tr w14:paraId="70B775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351" w:type="dxa"/>
            <w:vAlign w:val="center"/>
          </w:tcPr>
          <w:p w14:paraId="35C2F907">
            <w:pPr>
              <w:jc w:val="left"/>
            </w:pPr>
            <w:r>
              <w:rPr>
                <w:rFonts w:ascii="宋体" w:hAnsi="宋体" w:eastAsia="宋体"/>
                <w:b w:val="0"/>
                <w:sz w:val="19"/>
              </w:rPr>
              <w:t>高价值玉镯运输</w:t>
            </w:r>
          </w:p>
        </w:tc>
        <w:tc>
          <w:tcPr>
            <w:tcW w:w="2351" w:type="dxa"/>
            <w:vAlign w:val="center"/>
          </w:tcPr>
          <w:p w14:paraId="5CD0F708">
            <w:pPr>
              <w:jc w:val="left"/>
            </w:pPr>
            <w:r>
              <w:rPr>
                <w:rFonts w:ascii="宋体" w:hAnsi="宋体" w:eastAsia="宋体"/>
                <w:b w:val="0"/>
                <w:sz w:val="19"/>
              </w:rPr>
              <w:t>多层缓冲、外盒尺寸、固定方式</w:t>
            </w:r>
          </w:p>
        </w:tc>
        <w:tc>
          <w:tcPr>
            <w:tcW w:w="2351" w:type="dxa"/>
            <w:vAlign w:val="center"/>
          </w:tcPr>
          <w:p w14:paraId="2B3662AA">
            <w:pPr>
              <w:jc w:val="left"/>
            </w:pPr>
            <w:r>
              <w:rPr>
                <w:rFonts w:ascii="宋体" w:hAnsi="宋体" w:eastAsia="宋体"/>
                <w:b w:val="0"/>
                <w:sz w:val="19"/>
              </w:rPr>
              <w:t>是否需要强化包装方案</w:t>
            </w:r>
          </w:p>
        </w:tc>
        <w:tc>
          <w:tcPr>
            <w:tcW w:w="2351" w:type="dxa"/>
            <w:vAlign w:val="center"/>
          </w:tcPr>
          <w:p w14:paraId="29A4992F">
            <w:pPr>
              <w:jc w:val="left"/>
            </w:pPr>
            <w:r>
              <w:rPr>
                <w:rFonts w:ascii="宋体" w:hAnsi="宋体" w:eastAsia="宋体"/>
                <w:b w:val="0"/>
                <w:sz w:val="19"/>
              </w:rPr>
              <w:t>为高价值玉器提供更稳妥的保护策略</w:t>
            </w:r>
          </w:p>
        </w:tc>
      </w:tr>
    </w:tbl>
    <w:p w14:paraId="6FF91AB8">
      <w:pPr>
        <w:pStyle w:val="4"/>
      </w:pPr>
      <w:r>
        <w:rPr>
          <w:rFonts w:ascii="黑体" w:hAnsi="黑体" w:eastAsia="黑体"/>
          <w:b/>
          <w:color w:val="000000"/>
        </w:rPr>
        <w:t>6.4 AI 辅助日常佩戴与收纳建议</w:t>
      </w:r>
    </w:p>
    <w:p w14:paraId="0E54F8BA">
      <w:pPr>
        <w:ind w:firstLine="420" w:firstLineChars="200"/>
        <w:jc w:val="both"/>
      </w:pPr>
      <w:r>
        <w:rPr>
          <w:rFonts w:ascii="宋体" w:hAnsi="宋体" w:eastAsia="宋体"/>
          <w:color w:val="000000"/>
        </w:rPr>
        <w:t>基于本文的有限元结果和 AI 风险分布，可以进一步形成面向普通佩戴者的日常保护建议。首先，摘戴手镯时应尽量避免在洗手台、瓷砖地面、石材台面等硬质环境上方进行，因为这些场景通常对应较高跌落高度和较硬接触条件；其次，应尽量在床面、软垫或绒布上方摘戴手镯，即使发生滑落，也能降低冲击刚度和局部应力集中；再次，手镯收纳时宜平放于带软衬的盒内，避免竖直边缘悬空或与其他硬质饰品直接接触。</w:t>
      </w:r>
    </w:p>
    <w:p w14:paraId="630A5559">
      <w:pPr>
        <w:ind w:firstLine="420" w:firstLineChars="200"/>
        <w:jc w:val="both"/>
      </w:pPr>
      <w:r>
        <w:rPr>
          <w:rFonts w:ascii="宋体" w:hAnsi="宋体" w:eastAsia="宋体"/>
          <w:color w:val="000000"/>
        </w:rPr>
        <w:t>对于已经摔过一次的手镯，即使外观未见明显裂纹，也不应立即完全忽视风险。若跌落场景接近高风险组合，例如约</w:t>
      </w:r>
      <m:oMath>
        <m:r>
          <m:rPr/>
          <w:rPr>
            <w:rFonts w:hint="default" w:ascii="Cambria Math" w:hAnsi="Cambria Math" w:eastAsia="宋体"/>
            <w:sz w:val="21"/>
          </w:rPr>
          <m:t>1m</m:t>
        </m:r>
      </m:oMath>
      <w:r>
        <w:rPr>
          <w:rFonts w:ascii="宋体" w:hAnsi="宋体" w:eastAsia="宋体"/>
          <w:color w:val="000000"/>
        </w:rPr>
        <w:t>高度、边缘先撞击瓷砖地面，则应重点检查内圆边缘、外圆边缘和原有石纹附近。对于有暗裂、绺裂或修复痕迹的手镯，材料有效强度应视为降低；在相同冲击应力下，其风险系数</w:t>
      </w:r>
      <m:oMath>
        <m:r>
          <m:rPr/>
          <w:rPr>
            <w:rFonts w:hint="default" w:ascii="Cambria Math" w:hAnsi="Cambria Math" w:eastAsia="宋体"/>
            <w:sz w:val="21"/>
          </w:rPr>
          <m:t>Rt</m:t>
        </m:r>
      </m:oMath>
      <w:r>
        <w:rPr>
          <w:rFonts w:ascii="宋体" w:hAnsi="宋体" w:eastAsia="宋体"/>
          <w:color w:val="000000"/>
        </w:rPr>
        <w:t>会升高。因此，具有明显瑕裂的手镯更应避免剧烈运动、碰撞和反复摔落。</w:t>
      </w:r>
    </w:p>
    <w:tbl>
      <w:tblPr>
        <w:tblStyle w:val="3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35"/>
        <w:gridCol w:w="3135"/>
        <w:gridCol w:w="3135"/>
      </w:tblGrid>
      <w:tr w14:paraId="74440E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135" w:type="dxa"/>
            <w:vAlign w:val="center"/>
          </w:tcPr>
          <w:p w14:paraId="46CE97A3">
            <w:pPr>
              <w:jc w:val="center"/>
            </w:pPr>
            <w:r>
              <w:rPr>
                <w:rFonts w:ascii="宋体" w:hAnsi="宋体" w:eastAsia="宋体"/>
                <w:b/>
                <w:sz w:val="19"/>
              </w:rPr>
              <w:t>仿真/AI 规律</w:t>
            </w:r>
          </w:p>
        </w:tc>
        <w:tc>
          <w:tcPr>
            <w:tcW w:w="3135" w:type="dxa"/>
            <w:vAlign w:val="center"/>
          </w:tcPr>
          <w:p w14:paraId="252418A8">
            <w:pPr>
              <w:jc w:val="center"/>
            </w:pPr>
            <w:r>
              <w:rPr>
                <w:rFonts w:ascii="宋体" w:hAnsi="宋体" w:eastAsia="宋体"/>
                <w:b/>
                <w:sz w:val="19"/>
              </w:rPr>
              <w:t>对应生活现象</w:t>
            </w:r>
          </w:p>
        </w:tc>
        <w:tc>
          <w:tcPr>
            <w:tcW w:w="3135" w:type="dxa"/>
            <w:vAlign w:val="center"/>
          </w:tcPr>
          <w:p w14:paraId="081D54BF">
            <w:pPr>
              <w:jc w:val="center"/>
            </w:pPr>
            <w:r>
              <w:rPr>
                <w:rFonts w:ascii="宋体" w:hAnsi="宋体" w:eastAsia="宋体"/>
                <w:b/>
                <w:sz w:val="19"/>
              </w:rPr>
              <w:t>佩戴与收纳建议</w:t>
            </w:r>
          </w:p>
        </w:tc>
      </w:tr>
      <w:tr w14:paraId="032B49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135" w:type="dxa"/>
            <w:vAlign w:val="center"/>
          </w:tcPr>
          <w:p w14:paraId="45C83150">
            <w:pPr>
              <w:jc w:val="left"/>
            </w:pPr>
            <w:r>
              <w:rPr>
                <w:rFonts w:ascii="宋体" w:hAnsi="宋体" w:eastAsia="宋体"/>
                <w:b w:val="0"/>
                <w:sz w:val="19"/>
              </w:rPr>
              <w:t>竖直边缘撞击风险最高</w:t>
            </w:r>
          </w:p>
        </w:tc>
        <w:tc>
          <w:tcPr>
            <w:tcW w:w="3135" w:type="dxa"/>
            <w:vAlign w:val="center"/>
          </w:tcPr>
          <w:p w14:paraId="61220D13">
            <w:pPr>
              <w:jc w:val="left"/>
            </w:pPr>
            <w:r>
              <w:rPr>
                <w:rFonts w:ascii="宋体" w:hAnsi="宋体" w:eastAsia="宋体"/>
                <w:b w:val="0"/>
                <w:sz w:val="19"/>
              </w:rPr>
              <w:t>手镯边缘先撞到瓷砖或水泥地</w:t>
            </w:r>
          </w:p>
        </w:tc>
        <w:tc>
          <w:tcPr>
            <w:tcW w:w="3135" w:type="dxa"/>
            <w:vAlign w:val="center"/>
          </w:tcPr>
          <w:p w14:paraId="29AE1688">
            <w:pPr>
              <w:jc w:val="left"/>
            </w:pPr>
            <w:r>
              <w:rPr>
                <w:rFonts w:ascii="宋体" w:hAnsi="宋体" w:eastAsia="宋体"/>
                <w:b w:val="0"/>
                <w:sz w:val="19"/>
              </w:rPr>
              <w:t>避免在硬地面上方摘戴，必要时铺设软垫</w:t>
            </w:r>
          </w:p>
        </w:tc>
      </w:tr>
      <w:tr w14:paraId="45148C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135" w:type="dxa"/>
            <w:vAlign w:val="center"/>
          </w:tcPr>
          <w:p w14:paraId="4CC7A476">
            <w:pPr>
              <w:jc w:val="left"/>
            </w:pPr>
            <w:r>
              <w:rPr>
                <w:rFonts w:ascii="宋体" w:hAnsi="宋体" w:eastAsia="宋体"/>
                <w:b w:val="0"/>
                <w:sz w:val="19"/>
              </w:rPr>
              <w:t>平躺接触风险较低</w:t>
            </w:r>
          </w:p>
        </w:tc>
        <w:tc>
          <w:tcPr>
            <w:tcW w:w="3135" w:type="dxa"/>
            <w:vAlign w:val="center"/>
          </w:tcPr>
          <w:p w14:paraId="21D5A4E0">
            <w:pPr>
              <w:jc w:val="left"/>
            </w:pPr>
            <w:r>
              <w:rPr>
                <w:rFonts w:ascii="宋体" w:hAnsi="宋体" w:eastAsia="宋体"/>
                <w:b w:val="0"/>
                <w:sz w:val="19"/>
              </w:rPr>
              <w:t>手镯平面较大面积接触软垫</w:t>
            </w:r>
          </w:p>
        </w:tc>
        <w:tc>
          <w:tcPr>
            <w:tcW w:w="3135" w:type="dxa"/>
            <w:vAlign w:val="center"/>
          </w:tcPr>
          <w:p w14:paraId="5490746B">
            <w:pPr>
              <w:jc w:val="left"/>
            </w:pPr>
            <w:r>
              <w:rPr>
                <w:rFonts w:ascii="宋体" w:hAnsi="宋体" w:eastAsia="宋体"/>
                <w:b w:val="0"/>
                <w:sz w:val="19"/>
              </w:rPr>
              <w:t>收纳时尽量平放，不与硬物叠压</w:t>
            </w:r>
          </w:p>
        </w:tc>
      </w:tr>
      <w:tr w14:paraId="56BD6B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135" w:type="dxa"/>
            <w:vAlign w:val="center"/>
          </w:tcPr>
          <w:p w14:paraId="06ED8532">
            <w:pPr>
              <w:jc w:val="left"/>
            </w:pPr>
            <w:r>
              <w:rPr>
                <w:rFonts w:ascii="宋体" w:hAnsi="宋体" w:eastAsia="宋体"/>
                <w:b w:val="0"/>
                <w:sz w:val="19"/>
              </w:rPr>
              <w:t>高度越大，风险总体升高</w:t>
            </w:r>
          </w:p>
        </w:tc>
        <w:tc>
          <w:tcPr>
            <w:tcW w:w="3135" w:type="dxa"/>
            <w:vAlign w:val="center"/>
          </w:tcPr>
          <w:p w14:paraId="7B886A37">
            <w:pPr>
              <w:jc w:val="left"/>
            </w:pPr>
            <w:r>
              <w:rPr>
                <w:rFonts w:ascii="宋体" w:hAnsi="宋体" w:eastAsia="宋体"/>
                <w:b w:val="0"/>
                <w:sz w:val="19"/>
              </w:rPr>
              <w:t>从桌面、洗手台、手腕处滑落</w:t>
            </w:r>
          </w:p>
        </w:tc>
        <w:tc>
          <w:tcPr>
            <w:tcW w:w="3135" w:type="dxa"/>
            <w:vAlign w:val="center"/>
          </w:tcPr>
          <w:p w14:paraId="5F440361">
            <w:pPr>
              <w:jc w:val="left"/>
            </w:pPr>
            <w:r>
              <w:rPr>
                <w:rFonts w:ascii="宋体" w:hAnsi="宋体" w:eastAsia="宋体"/>
                <w:b w:val="0"/>
                <w:sz w:val="19"/>
              </w:rPr>
              <w:t>远离台面边缘，摘戴时降低手部高度</w:t>
            </w:r>
          </w:p>
        </w:tc>
      </w:tr>
      <w:tr w14:paraId="57A21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135" w:type="dxa"/>
            <w:vAlign w:val="center"/>
          </w:tcPr>
          <w:p w14:paraId="2905372D">
            <w:pPr>
              <w:jc w:val="left"/>
            </w:pPr>
            <w:r>
              <w:rPr>
                <w:rFonts w:ascii="宋体" w:hAnsi="宋体" w:eastAsia="宋体"/>
                <w:b w:val="0"/>
                <w:sz w:val="19"/>
              </w:rPr>
              <w:t>局部高拉应力可能导致隐裂</w:t>
            </w:r>
          </w:p>
        </w:tc>
        <w:tc>
          <w:tcPr>
            <w:tcW w:w="3135" w:type="dxa"/>
            <w:vAlign w:val="center"/>
          </w:tcPr>
          <w:p w14:paraId="57F0A4DD">
            <w:pPr>
              <w:jc w:val="left"/>
            </w:pPr>
            <w:r>
              <w:rPr>
                <w:rFonts w:ascii="宋体" w:hAnsi="宋体" w:eastAsia="宋体"/>
                <w:b w:val="0"/>
                <w:sz w:val="19"/>
              </w:rPr>
              <w:t>肉眼未必立即看到裂纹</w:t>
            </w:r>
          </w:p>
        </w:tc>
        <w:tc>
          <w:tcPr>
            <w:tcW w:w="3135" w:type="dxa"/>
            <w:vAlign w:val="center"/>
          </w:tcPr>
          <w:p w14:paraId="44581C1B">
            <w:pPr>
              <w:jc w:val="left"/>
            </w:pPr>
            <w:r>
              <w:rPr>
                <w:rFonts w:ascii="宋体" w:hAnsi="宋体" w:eastAsia="宋体"/>
                <w:b w:val="0"/>
                <w:sz w:val="19"/>
              </w:rPr>
              <w:t>跌落后用强光检查内外缘和色线附近</w:t>
            </w:r>
          </w:p>
        </w:tc>
      </w:tr>
      <w:tr w14:paraId="43D14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135" w:type="dxa"/>
            <w:vAlign w:val="center"/>
          </w:tcPr>
          <w:p w14:paraId="04F192F9">
            <w:pPr>
              <w:jc w:val="left"/>
            </w:pPr>
            <w:r>
              <w:rPr>
                <w:rFonts w:ascii="宋体" w:hAnsi="宋体" w:eastAsia="宋体"/>
                <w:b w:val="0"/>
                <w:sz w:val="19"/>
              </w:rPr>
              <w:t>已有绺裂会降低有效强度</w:t>
            </w:r>
          </w:p>
        </w:tc>
        <w:tc>
          <w:tcPr>
            <w:tcW w:w="3135" w:type="dxa"/>
            <w:vAlign w:val="center"/>
          </w:tcPr>
          <w:p w14:paraId="36079161">
            <w:pPr>
              <w:jc w:val="left"/>
            </w:pPr>
            <w:r>
              <w:rPr>
                <w:rFonts w:ascii="宋体" w:hAnsi="宋体" w:eastAsia="宋体"/>
                <w:b w:val="0"/>
                <w:sz w:val="19"/>
              </w:rPr>
              <w:t>旧裂或修复处再次受冲击</w:t>
            </w:r>
          </w:p>
        </w:tc>
        <w:tc>
          <w:tcPr>
            <w:tcW w:w="3135" w:type="dxa"/>
            <w:vAlign w:val="center"/>
          </w:tcPr>
          <w:p w14:paraId="11CC9EDD">
            <w:pPr>
              <w:jc w:val="left"/>
            </w:pPr>
            <w:r>
              <w:rPr>
                <w:rFonts w:ascii="宋体" w:hAnsi="宋体" w:eastAsia="宋体"/>
                <w:b w:val="0"/>
                <w:sz w:val="19"/>
              </w:rPr>
              <w:t>减少佩戴冲击，必要时进行专业检测</w:t>
            </w:r>
          </w:p>
        </w:tc>
      </w:tr>
    </w:tbl>
    <w:p w14:paraId="79BCA6A7">
      <w:pPr>
        <w:pStyle w:val="4"/>
      </w:pPr>
      <w:r>
        <w:rPr>
          <w:rFonts w:ascii="黑体" w:hAnsi="黑体" w:eastAsia="黑体"/>
          <w:b/>
          <w:color w:val="000000"/>
        </w:rPr>
        <w:t>6.5 后续改进方向</w:t>
      </w:r>
    </w:p>
    <w:p w14:paraId="475E8D6F">
      <w:pPr>
        <w:ind w:firstLine="420" w:firstLineChars="200"/>
        <w:jc w:val="both"/>
      </w:pPr>
      <w:r>
        <w:rPr>
          <w:rFonts w:ascii="宋体" w:hAnsi="宋体" w:eastAsia="宋体"/>
          <w:color w:val="000000"/>
        </w:rPr>
        <w:t>后续研究可从三个方向改进。第一，扩展输入变量，将地面类型、接触刚度、缓冲层厚度、手镯截面形状和玉石材料强度纳入参数化仿真；第二，结合真实跌落试验、高速摄影或声发射检测，对模型预测的风险等级进行实验校准；第三，若积累了大量跌落后手镯表面图像，可进一步引入图像识别方法，对裂纹、崩口和色线区域进行辅助检测，并与本文的冲击应力风险模型结合，形成“跌落场景 + 应力预测 + 图像检测”的综合评估框架。</w:t>
      </w:r>
    </w:p>
    <w:p w14:paraId="40A71CBC">
      <w:pPr>
        <w:spacing w:before="0" w:after="0" w:line="300" w:lineRule="auto"/>
        <w:ind w:firstLine="420"/>
        <w:jc w:val="both"/>
        <w:rPr>
          <w:rFonts w:ascii="宋体" w:hAnsi="宋体" w:eastAsia="宋体"/>
          <w:sz w:val="21"/>
        </w:rPr>
      </w:pPr>
    </w:p>
    <w:p w14:paraId="7B4271A1">
      <w:pPr>
        <w:spacing w:before="120" w:after="80" w:line="300" w:lineRule="auto"/>
        <w:jc w:val="left"/>
      </w:pPr>
      <w:r>
        <w:rPr>
          <w:rFonts w:hint="eastAsia" w:ascii="黑体" w:hAnsi="黑体" w:eastAsia="黑体"/>
          <w:b/>
          <w:sz w:val="28"/>
          <w:lang w:val="en-US" w:eastAsia="zh-CN"/>
        </w:rPr>
        <w:t>7</w:t>
      </w:r>
      <w:r>
        <w:rPr>
          <w:rFonts w:ascii="黑体" w:hAnsi="黑体" w:eastAsia="黑体"/>
          <w:b/>
          <w:sz w:val="28"/>
        </w:rPr>
        <w:t xml:space="preserve"> 结论与展望</w:t>
      </w:r>
    </w:p>
    <w:p w14:paraId="028588F8">
      <w:pPr>
        <w:spacing w:before="0" w:after="0" w:line="300" w:lineRule="auto"/>
        <w:ind w:firstLine="420"/>
        <w:jc w:val="both"/>
      </w:pPr>
      <w:r>
        <w:rPr>
          <w:rFonts w:ascii="宋体" w:hAnsi="宋体" w:eastAsia="宋体"/>
          <w:sz w:val="21"/>
        </w:rPr>
        <w:t>本文围绕玉石手镯跌落破坏风险，建立了</w:t>
      </w:r>
      <m:oMath>
        <m:r>
          <m:rPr>
            <m:sty m:val="p"/>
          </m:rPr>
          <w:rPr>
            <w:rFonts w:ascii="Cambria Math" w:hAnsi="Cambria Math" w:eastAsia="宋体" w:cstheme="minorBidi"/>
            <w:sz w:val="21"/>
            <w:szCs w:val="22"/>
            <w:lang w:val="en-US" w:bidi="ar-SA"/>
          </w:rPr>
          <m:t xml:space="preserve"> Abaqus </m:t>
        </m:r>
      </m:oMath>
      <w:r>
        <w:rPr>
          <w:rFonts w:ascii="宋体" w:hAnsi="宋体" w:eastAsia="宋体"/>
          <w:sz w:val="21"/>
        </w:rPr>
        <w:t>显式动力学模型，并进一步构建机器学习代理模型。主要结论如下。</w:t>
      </w:r>
    </w:p>
    <w:p w14:paraId="3BD63B7F">
      <w:pPr>
        <w:spacing w:before="0" w:after="0" w:line="300" w:lineRule="auto"/>
        <w:ind w:firstLine="420"/>
        <w:jc w:val="both"/>
      </w:pPr>
      <w:r>
        <w:rPr>
          <w:rFonts w:ascii="宋体" w:hAnsi="宋体" w:eastAsia="宋体"/>
          <w:sz w:val="21"/>
        </w:rPr>
        <w:t>第一，最大主应力可以作为无断裂参数条件下评价玉石手镯开裂风险的有效相对指标。对于天然玉石而言，真实断裂参数难以准确获得，直接模拟裂纹扩展不稳定；采用 S₁,max 与参考抗拉强度的比值 Rₜ，可以在课程研究条件下实现不同工况的风险排序。</w:t>
      </w:r>
    </w:p>
    <w:p w14:paraId="53FEE3D3">
      <w:pPr>
        <w:spacing w:before="0" w:after="0" w:line="300" w:lineRule="auto"/>
        <w:ind w:firstLine="420"/>
        <w:jc w:val="both"/>
      </w:pPr>
      <w:r>
        <w:rPr>
          <w:rFonts w:ascii="宋体" w:hAnsi="宋体" w:eastAsia="宋体"/>
          <w:sz w:val="21"/>
        </w:rPr>
        <w:t>第二，跌落角度是影响开裂风险的主导因素。平躺跌落因接触面积较大而风险最低，竖直跌落因局部接触和弯曲拉伸耦合而风险最高。</w:t>
      </w:r>
      <m:oMath>
        <m:r>
          <m:rPr>
            <m:sty m:val="p"/>
          </m:rPr>
          <w:rPr>
            <w:rFonts w:ascii="Cambria Math" w:hAnsi="Cambria Math" w:eastAsia="宋体" w:cstheme="minorBidi"/>
            <w:sz w:val="21"/>
            <w:szCs w:val="22"/>
            <w:lang w:val="en-US" w:bidi="ar-SA"/>
          </w:rPr>
          <m:t>1.0 m、90°</m:t>
        </m:r>
      </m:oMath>
      <w:r>
        <w:rPr>
          <w:rFonts w:ascii="宋体" w:hAnsi="宋体" w:eastAsia="宋体"/>
          <w:sz w:val="21"/>
        </w:rPr>
        <w:t>工况最大主应力达到</w:t>
      </w:r>
      <m:oMath>
        <m:r>
          <m:rPr>
            <m:sty m:val="p"/>
          </m:rPr>
          <w:rPr>
            <w:rFonts w:hint="default" w:ascii="Cambria Math" w:hAnsi="Cambria Math" w:eastAsia="宋体"/>
            <w:sz w:val="21"/>
          </w:rPr>
          <m:t>519.33MPa</m:t>
        </m:r>
      </m:oMath>
      <w:r>
        <w:rPr>
          <w:rFonts w:ascii="宋体" w:hAnsi="宋体" w:eastAsia="宋体"/>
          <w:sz w:val="21"/>
        </w:rPr>
        <w:t>，是本组工况中最危险的组合。</w:t>
      </w:r>
    </w:p>
    <w:p w14:paraId="4B0BA29E">
      <w:pPr>
        <w:spacing w:before="0" w:after="0" w:line="300" w:lineRule="auto"/>
        <w:ind w:firstLine="420"/>
        <w:jc w:val="both"/>
      </w:pPr>
      <w:r>
        <w:rPr>
          <w:rFonts w:ascii="宋体" w:hAnsi="宋体" w:eastAsia="宋体"/>
          <w:sz w:val="21"/>
        </w:rPr>
        <w:t>第三，机器学习代理模型能够较好学习有限元数据规律。极端随机树模型在 25 组样本的留一交叉验证中取得</w:t>
      </w:r>
      <m:oMath>
        <m:r>
          <m:rPr>
            <m:sty m:val="p"/>
          </m:rPr>
          <w:rPr>
            <w:rFonts w:ascii="Cambria Math" w:hAnsi="Cambria Math" w:eastAsia="宋体" w:cstheme="minorBidi"/>
            <w:sz w:val="21"/>
            <w:szCs w:val="22"/>
            <w:lang w:val="en-US" w:bidi="ar-SA"/>
          </w:rPr>
          <m:t xml:space="preserve"> R² = 0.893、RMSE = 41.46 MPa </m:t>
        </m:r>
      </m:oMath>
      <w:r>
        <w:rPr>
          <w:rFonts w:ascii="宋体" w:hAnsi="宋体" w:eastAsia="宋体"/>
          <w:sz w:val="21"/>
        </w:rPr>
        <w:t>的结果，说明在小样本、强非线性的参数化仿真问题中，树模型具有较好的适应性。</w:t>
      </w:r>
    </w:p>
    <w:p w14:paraId="741AB936">
      <w:pPr>
        <w:spacing w:before="0" w:after="0" w:line="300" w:lineRule="auto"/>
        <w:ind w:firstLine="420"/>
        <w:jc w:val="both"/>
        <w:rPr>
          <w:rFonts w:ascii="宋体" w:hAnsi="宋体" w:eastAsia="宋体"/>
          <w:sz w:val="21"/>
        </w:rPr>
      </w:pPr>
      <w:r>
        <w:rPr>
          <w:rFonts w:ascii="宋体" w:hAnsi="宋体" w:eastAsia="宋体"/>
          <w:sz w:val="21"/>
        </w:rPr>
        <w:t>第四，本文仍存在一定局限。模型将手镯简化为理想圆环，未考虑真实玉石纹理、绺裂、加工残余应力、截面形态差异和材料各向异性；风险强度阈值采用参考值，尚未通过实验校准；数据集仅包含 25 组工况，仍属于小样本代理建模。后续可增加摩擦系数、截面尺寸、缺陷位置和材料强度分布等变量，并结合跌落试验或高速摄影对模型进行验证。</w:t>
      </w:r>
    </w:p>
    <w:p w14:paraId="70F6F5B2">
      <w:pPr>
        <w:ind w:firstLine="420" w:firstLineChars="200"/>
        <w:jc w:val="both"/>
        <w:rPr>
          <w:rFonts w:ascii="宋体" w:hAnsi="宋体" w:eastAsia="宋体"/>
          <w:sz w:val="21"/>
        </w:rPr>
      </w:pPr>
      <w:r>
        <w:rPr>
          <w:rFonts w:ascii="宋体" w:hAnsi="宋体" w:eastAsia="宋体"/>
          <w:color w:val="000000"/>
        </w:rPr>
        <w:t>第五，本文的有限元—AI 代理模型具有面向现实生活的应用潜力。对于普通佩戴者而言，该方法可将“从多高处掉落、以什么姿态落地、是否撞击硬地面”等生活描述转化为力学参数，并进一步预测最大主应力峰值和开裂风险等级，从而为跌落后是否需要强光检查、是否应暂停佩戴以及是否需要专业检测提供参考。对于玉石商家而言，该方法也可扩展用于包装运输保护方案比较，为不同摆放姿态、缓冲材料和跌落高度下的风险评估提供数据化依据。</w:t>
      </w:r>
      <w:bookmarkStart w:id="0" w:name="_GoBack"/>
      <w:bookmarkEnd w:id="0"/>
    </w:p>
    <w:p w14:paraId="0336F4D6">
      <w:pPr>
        <w:spacing w:before="0" w:after="0" w:line="300" w:lineRule="auto"/>
        <w:ind w:firstLine="420"/>
        <w:jc w:val="both"/>
      </w:pPr>
      <w:r>
        <w:rPr>
          <w:rFonts w:ascii="宋体" w:hAnsi="宋体" w:eastAsia="宋体"/>
          <w:sz w:val="21"/>
        </w:rPr>
        <w:t>从跨学科角度看，本文将玉石文化中的传统经验问题转化为力学仿真与人工智能预测问题：既保留了玉器材料和佩戴场景的文化背景，又引入了有限元、显式动力学和机器学习方法，为玉石产品防护、结构设计和数字化评价提供了一种可继续拓展的技术路线。</w:t>
      </w:r>
    </w:p>
    <w:p w14:paraId="5E03544F">
      <w:pPr>
        <w:rPr>
          <w:rFonts w:ascii="黑体" w:hAnsi="黑体" w:eastAsia="黑体"/>
          <w:b/>
          <w:sz w:val="28"/>
        </w:rPr>
      </w:pPr>
      <w:r>
        <w:rPr>
          <w:rFonts w:ascii="黑体" w:hAnsi="黑体" w:eastAsia="黑体"/>
          <w:b/>
          <w:sz w:val="28"/>
        </w:rPr>
        <w:br w:type="page"/>
      </w:r>
    </w:p>
    <w:p w14:paraId="5C76634F">
      <w:pPr>
        <w:spacing w:before="120" w:after="80" w:line="300" w:lineRule="auto"/>
        <w:jc w:val="left"/>
      </w:pPr>
      <w:r>
        <w:rPr>
          <w:rFonts w:ascii="黑体" w:hAnsi="黑体" w:eastAsia="黑体"/>
          <w:b/>
          <w:sz w:val="28"/>
        </w:rPr>
        <w:t>参考文献</w:t>
      </w:r>
    </w:p>
    <w:p w14:paraId="679067F7">
      <w:pPr>
        <w:spacing w:before="0" w:after="0" w:line="300" w:lineRule="auto"/>
      </w:pPr>
      <w:r>
        <w:rPr>
          <w:rFonts w:ascii="宋体" w:hAnsi="宋体" w:eastAsia="宋体"/>
          <w:sz w:val="18"/>
        </w:rPr>
        <w:t>[1] 潘兆橹. 结晶学及矿物学（下）[M]. 北京: 地质出版社, 1998.</w:t>
      </w:r>
    </w:p>
    <w:p w14:paraId="49C4010B">
      <w:pPr>
        <w:spacing w:before="0" w:after="0" w:line="300" w:lineRule="auto"/>
      </w:pPr>
      <w:r>
        <w:rPr>
          <w:rFonts w:ascii="宋体" w:hAnsi="宋体" w:eastAsia="宋体"/>
          <w:sz w:val="18"/>
        </w:rPr>
        <w:t>[2] Bradt R C, Newnham R E, Biggers J V. The toughness of jade[J]. American Mineralogist, 1973, 58(7-8): 727-732.</w:t>
      </w:r>
    </w:p>
    <w:p w14:paraId="4A4B1ED6">
      <w:pPr>
        <w:spacing w:before="0" w:after="0" w:line="300" w:lineRule="auto"/>
      </w:pPr>
      <w:r>
        <w:rPr>
          <w:rFonts w:ascii="宋体" w:hAnsi="宋体" w:eastAsia="宋体"/>
          <w:sz w:val="18"/>
        </w:rPr>
        <w:t>[3] EPI-Institut. Jadeite, Nephrite &amp; Serpentine[EB/OL]. 2021.</w:t>
      </w:r>
    </w:p>
    <w:p w14:paraId="013422B3">
      <w:pPr>
        <w:spacing w:before="0" w:after="0" w:line="300" w:lineRule="auto"/>
      </w:pPr>
      <w:r>
        <w:rPr>
          <w:rFonts w:ascii="宋体" w:hAnsi="宋体" w:eastAsia="宋体"/>
          <w:sz w:val="18"/>
        </w:rPr>
        <w:t>[4] Dassault Systèmes. Abaqus 2024 Documentation: Contact Formulations for Contact Pairs in Abaqus/Explicit[EB/OL]. 2024.</w:t>
      </w:r>
    </w:p>
    <w:p w14:paraId="7D8BA919">
      <w:pPr>
        <w:spacing w:before="0" w:after="0" w:line="300" w:lineRule="auto"/>
      </w:pPr>
      <w:r>
        <w:rPr>
          <w:rFonts w:ascii="宋体" w:hAnsi="宋体" w:eastAsia="宋体"/>
          <w:sz w:val="18"/>
        </w:rPr>
        <w:t>[5] Zienkiewicz O C, Taylor R L, Zhu J Z. The Finite Element Method: Its Basis and Fundamentals[M]. 7th ed. Oxford: Butterworth-Heinemann, 2013.</w:t>
      </w:r>
    </w:p>
    <w:p w14:paraId="225B361A">
      <w:pPr>
        <w:spacing w:before="0" w:after="0" w:line="300" w:lineRule="auto"/>
      </w:pPr>
      <w:r>
        <w:rPr>
          <w:rFonts w:ascii="宋体" w:hAnsi="宋体" w:eastAsia="宋体"/>
          <w:sz w:val="18"/>
        </w:rPr>
        <w:t>[6] Bathe K J. Finite Element Procedures[M]. Watertown: Klaus-Jürgen Bathe, 1996.</w:t>
      </w:r>
    </w:p>
    <w:p w14:paraId="78CA7E77">
      <w:pPr>
        <w:spacing w:before="0" w:after="0" w:line="300" w:lineRule="auto"/>
      </w:pPr>
      <w:r>
        <w:rPr>
          <w:rFonts w:ascii="宋体" w:hAnsi="宋体" w:eastAsia="宋体"/>
          <w:sz w:val="18"/>
        </w:rPr>
        <w:t>[7] Breiman L. Random forests[J]. Machine Learning, 2001, 45(1): 5-32.</w:t>
      </w:r>
    </w:p>
    <w:p w14:paraId="44F972B9">
      <w:pPr>
        <w:spacing w:before="0" w:after="0" w:line="300" w:lineRule="auto"/>
      </w:pPr>
      <w:r>
        <w:rPr>
          <w:rFonts w:ascii="宋体" w:hAnsi="宋体" w:eastAsia="宋体"/>
          <w:sz w:val="18"/>
        </w:rPr>
        <w:t>[8] Geurts P, Ernst D, Wehenkel L. Extremely randomized trees[J]. Machine Learning, 2006, 63(1): 3-42.</w:t>
      </w:r>
    </w:p>
    <w:p w14:paraId="28F1820E">
      <w:pPr>
        <w:spacing w:before="0" w:after="0" w:line="300" w:lineRule="auto"/>
      </w:pPr>
      <w:r>
        <w:rPr>
          <w:rFonts w:ascii="宋体" w:hAnsi="宋体" w:eastAsia="宋体"/>
          <w:sz w:val="18"/>
        </w:rPr>
        <w:t>[9] Friedman J H. Greedy function approximation: A gradient boosting machine[J]. The Annals of Statistics, 2001, 29(5): 1189-1232.</w:t>
      </w:r>
    </w:p>
    <w:p w14:paraId="4A545D1D">
      <w:pPr>
        <w:spacing w:before="0" w:after="0" w:line="300" w:lineRule="auto"/>
      </w:pPr>
      <w:r>
        <w:rPr>
          <w:rFonts w:ascii="宋体" w:hAnsi="宋体" w:eastAsia="宋体"/>
          <w:sz w:val="18"/>
        </w:rPr>
        <w:t>[10] Cortes C, Vapnik V. Support-vector networks[J]. Machine Learning, 1995, 20(3): 273-297.</w:t>
      </w:r>
    </w:p>
    <w:p w14:paraId="5DC9E6EE">
      <w:pPr>
        <w:spacing w:before="0" w:after="0" w:line="300" w:lineRule="auto"/>
        <w:rPr>
          <w:rFonts w:ascii="宋体" w:hAnsi="宋体" w:eastAsia="宋体"/>
          <w:sz w:val="18"/>
        </w:rPr>
      </w:pPr>
      <w:r>
        <w:rPr>
          <w:rFonts w:ascii="宋体" w:hAnsi="宋体" w:eastAsia="宋体"/>
          <w:sz w:val="18"/>
        </w:rPr>
        <w:t>[11] Badarinath P V, Chierichetti M, Davoudabadi P, et al. A machine learning approach as a surrogate for finite element analysis: Status of research and application to one dimensional systems[J]. Sensors, 2021, 21(5): 1654.</w:t>
      </w:r>
    </w:p>
    <w:p w14:paraId="13967B20">
      <w:pPr>
        <w:spacing w:before="0" w:after="0" w:line="300" w:lineRule="auto"/>
        <w:rPr>
          <w:rFonts w:ascii="宋体" w:hAnsi="宋体" w:eastAsia="宋体"/>
          <w:sz w:val="18"/>
        </w:rPr>
      </w:pPr>
      <w:r>
        <w:rPr>
          <w:rFonts w:ascii="宋体" w:hAnsi="宋体" w:eastAsia="宋体"/>
          <w:sz w:val="18"/>
        </w:rPr>
        <w:t>[12] Alpaydin E. Introduction to Machine Learning[M]. 4th ed. Cambridge: MIT Press, 2020.</w:t>
      </w:r>
    </w:p>
    <w:p w14:paraId="07A63159">
      <w:pPr>
        <w:spacing w:before="0" w:after="0" w:line="300" w:lineRule="auto"/>
        <w:rPr>
          <w:rFonts w:ascii="宋体" w:hAnsi="宋体" w:eastAsia="宋体"/>
          <w:sz w:val="18"/>
        </w:rPr>
      </w:pPr>
      <w:r>
        <w:rPr>
          <w:rFonts w:ascii="宋体" w:hAnsi="宋体" w:eastAsia="宋体"/>
          <w:sz w:val="18"/>
        </w:rPr>
        <w:t>[13] Bishop C M. Pattern Recognition and Machine Learning[M]. New York: Springer, 2006.</w:t>
      </w:r>
    </w:p>
    <w:p w14:paraId="1B45DE3A">
      <w:pPr>
        <w:spacing w:before="0" w:after="0" w:line="300" w:lineRule="auto"/>
        <w:rPr>
          <w:rFonts w:ascii="宋体" w:hAnsi="宋体" w:eastAsia="宋体"/>
          <w:sz w:val="18"/>
        </w:rPr>
      </w:pPr>
      <w:r>
        <w:rPr>
          <w:rFonts w:ascii="宋体" w:hAnsi="宋体" w:eastAsia="宋体"/>
          <w:sz w:val="18"/>
        </w:rPr>
        <w:t>[14] Géron A. Hands-On Machine Learning with Scikit-Learn, Keras, and TensorFlow[M]. 3rd ed. Sebastopol: O'Reilly Media, 2022.</w:t>
      </w:r>
    </w:p>
    <w:p w14:paraId="2BC65CC6">
      <w:pPr>
        <w:spacing w:before="0" w:after="0" w:line="300" w:lineRule="auto"/>
        <w:jc w:val="both"/>
      </w:pPr>
    </w:p>
    <w:sectPr>
      <w:footerReference r:id="rId5" w:type="default"/>
      <w:pgSz w:w="12240" w:h="15840"/>
      <w:pgMar w:top="1417" w:right="1417" w:bottom="1417"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Kozuka Mincho Pr6N R"/>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MS PGothic">
    <w:panose1 w:val="020B0600070205080204"/>
    <w:charset w:val="80"/>
    <w:family w:val="auto"/>
    <w:pitch w:val="default"/>
    <w:sig w:usb0="E00002FF" w:usb1="6AC7FDFB" w:usb2="08000012" w:usb3="00000000" w:csb0="4002009F" w:csb1="DFD70000"/>
  </w:font>
  <w:font w:name="Courier New">
    <w:panose1 w:val="02070309020205020404"/>
    <w:charset w:val="00"/>
    <w:family w:val="auto"/>
    <w:pitch w:val="default"/>
    <w:sig w:usb0="E0002EFF" w:usb1="C0007843" w:usb2="00000009" w:usb3="00000000" w:csb0="400001FF" w:csb1="FFFF0000"/>
  </w:font>
  <w:font w:name="Kozuka Mincho Pr6N R">
    <w:panose1 w:val="02020400000000000000"/>
    <w:charset w:val="80"/>
    <w:family w:val="auto"/>
    <w:pitch w:val="default"/>
    <w:sig w:usb0="000002D7" w:usb1="2AC73C11" w:usb2="00000012" w:usb3="00000000" w:csb0="2002009F" w:csb1="00000000"/>
  </w:font>
  <w:font w:name="Cambria Math">
    <w:panose1 w:val="02040503050406030204"/>
    <w:charset w:val="00"/>
    <w:family w:val="auto"/>
    <w:pitch w:val="default"/>
    <w:sig w:usb0="E00006FF" w:usb1="420024FF" w:usb2="02000000" w:usb3="00000000" w:csb0="2000019F" w:csb1="00000000"/>
  </w:font>
  <w:font w:name="MS Mincho">
    <w:altName w:val="SWAstro"/>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28C952">
    <w:pPr>
      <w:pStyle w:val="24"/>
      <w:jc w:val="center"/>
    </w:pPr>
    <w:r>
      <w:rPr>
        <w:rFonts w:ascii="宋体" w:hAnsi="宋体" w:eastAsia="宋体"/>
        <w:sz w:val="18"/>
      </w:rPr>
      <w:t xml:space="preserve">— 第 </w:t>
    </w:r>
    <w:r>
      <w:rPr>
        <w:rFonts w:ascii="宋体" w:hAnsi="宋体" w:eastAsia="宋体"/>
        <w:sz w:val="18"/>
      </w:rPr>
      <w:fldChar w:fldCharType="begin"/>
    </w:r>
    <w:r>
      <w:rPr>
        <w:rFonts w:ascii="宋体" w:hAnsi="宋体" w:eastAsia="宋体"/>
        <w:sz w:val="18"/>
      </w:rPr>
      <w:instrText xml:space="preserve"> PAGE </w:instrText>
    </w:r>
    <w:r>
      <w:rPr>
        <w:rFonts w:ascii="宋体" w:hAnsi="宋体" w:eastAsia="宋体"/>
        <w:sz w:val="18"/>
      </w:rPr>
      <w:fldChar w:fldCharType="separate"/>
    </w:r>
    <w:r>
      <w:rPr>
        <w:rFonts w:ascii="宋体" w:hAnsi="宋体" w:eastAsia="宋体"/>
        <w:sz w:val="18"/>
      </w:rPr>
      <w:t>1</w:t>
    </w:r>
    <w:r>
      <w:rPr>
        <w:rFonts w:ascii="宋体" w:hAnsi="宋体" w:eastAsia="宋体"/>
        <w:sz w:val="18"/>
      </w:rPr>
      <w:fldChar w:fldCharType="end"/>
    </w:r>
    <w:r>
      <w:rPr>
        <w:rFonts w:ascii="宋体" w:hAnsi="宋体" w:eastAsia="宋体"/>
        <w:sz w:val="18"/>
      </w:rPr>
      <w:t xml:space="preserve"> 页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E846E5"/>
    <w:rsid w:val="00FC693F"/>
    <w:rsid w:val="011C3821"/>
    <w:rsid w:val="03276F2B"/>
    <w:rsid w:val="039A36A3"/>
    <w:rsid w:val="04276F58"/>
    <w:rsid w:val="0490144A"/>
    <w:rsid w:val="051F459A"/>
    <w:rsid w:val="05305D25"/>
    <w:rsid w:val="06005601"/>
    <w:rsid w:val="064222D0"/>
    <w:rsid w:val="065B0766"/>
    <w:rsid w:val="07414C7E"/>
    <w:rsid w:val="08332819"/>
    <w:rsid w:val="09376339"/>
    <w:rsid w:val="09D771D4"/>
    <w:rsid w:val="0A265DF0"/>
    <w:rsid w:val="0BE206E2"/>
    <w:rsid w:val="0C68531D"/>
    <w:rsid w:val="0C7D6E89"/>
    <w:rsid w:val="0DE243F0"/>
    <w:rsid w:val="0F783207"/>
    <w:rsid w:val="0FD96A8B"/>
    <w:rsid w:val="0FF341F8"/>
    <w:rsid w:val="117D2D56"/>
    <w:rsid w:val="11942F96"/>
    <w:rsid w:val="11B322D4"/>
    <w:rsid w:val="154A73F4"/>
    <w:rsid w:val="15A32550"/>
    <w:rsid w:val="177644D0"/>
    <w:rsid w:val="18A711DD"/>
    <w:rsid w:val="195A1F6E"/>
    <w:rsid w:val="1991397D"/>
    <w:rsid w:val="1ACE77AD"/>
    <w:rsid w:val="1B376A4D"/>
    <w:rsid w:val="1C9B0535"/>
    <w:rsid w:val="1D71334C"/>
    <w:rsid w:val="1E3576CC"/>
    <w:rsid w:val="1EE64087"/>
    <w:rsid w:val="1F042D95"/>
    <w:rsid w:val="1F1437EE"/>
    <w:rsid w:val="225A0C09"/>
    <w:rsid w:val="22CD6F6E"/>
    <w:rsid w:val="22E1799D"/>
    <w:rsid w:val="23405992"/>
    <w:rsid w:val="25E62DFC"/>
    <w:rsid w:val="25F94A58"/>
    <w:rsid w:val="27550449"/>
    <w:rsid w:val="27F03E2A"/>
    <w:rsid w:val="29207F48"/>
    <w:rsid w:val="2A963A02"/>
    <w:rsid w:val="2B69251F"/>
    <w:rsid w:val="2BE55328"/>
    <w:rsid w:val="2CB119DD"/>
    <w:rsid w:val="2EF4224A"/>
    <w:rsid w:val="2F7B3643"/>
    <w:rsid w:val="318D76A5"/>
    <w:rsid w:val="31B20333"/>
    <w:rsid w:val="31FD7870"/>
    <w:rsid w:val="32110C25"/>
    <w:rsid w:val="35B2594E"/>
    <w:rsid w:val="35B45E1A"/>
    <w:rsid w:val="36050AA1"/>
    <w:rsid w:val="361A4FF4"/>
    <w:rsid w:val="377753EA"/>
    <w:rsid w:val="37F039D3"/>
    <w:rsid w:val="386D0B7F"/>
    <w:rsid w:val="39177242"/>
    <w:rsid w:val="3AC30F2B"/>
    <w:rsid w:val="3B457B92"/>
    <w:rsid w:val="3B4756B8"/>
    <w:rsid w:val="3DFF04CC"/>
    <w:rsid w:val="3DFF377D"/>
    <w:rsid w:val="3E0368E3"/>
    <w:rsid w:val="3E043B06"/>
    <w:rsid w:val="3E970704"/>
    <w:rsid w:val="3FC550DD"/>
    <w:rsid w:val="3FD11A8E"/>
    <w:rsid w:val="400C5EB9"/>
    <w:rsid w:val="425E1E2B"/>
    <w:rsid w:val="42B279CF"/>
    <w:rsid w:val="48CB0ECB"/>
    <w:rsid w:val="48EF055B"/>
    <w:rsid w:val="4957464A"/>
    <w:rsid w:val="49A07481"/>
    <w:rsid w:val="49FE1F7F"/>
    <w:rsid w:val="4A334A7F"/>
    <w:rsid w:val="4BB70638"/>
    <w:rsid w:val="4BBC2BA9"/>
    <w:rsid w:val="514324CE"/>
    <w:rsid w:val="520D544A"/>
    <w:rsid w:val="526B27DD"/>
    <w:rsid w:val="550F6DEF"/>
    <w:rsid w:val="5697228A"/>
    <w:rsid w:val="58BC0A5A"/>
    <w:rsid w:val="59C16B55"/>
    <w:rsid w:val="5C234A62"/>
    <w:rsid w:val="5D9440E8"/>
    <w:rsid w:val="5E316028"/>
    <w:rsid w:val="5E50299B"/>
    <w:rsid w:val="5F330F86"/>
    <w:rsid w:val="62856942"/>
    <w:rsid w:val="62D4425D"/>
    <w:rsid w:val="62F12229"/>
    <w:rsid w:val="64FF0A2F"/>
    <w:rsid w:val="65587EC8"/>
    <w:rsid w:val="657333CA"/>
    <w:rsid w:val="671E2DBD"/>
    <w:rsid w:val="67BF28F6"/>
    <w:rsid w:val="6B7678FF"/>
    <w:rsid w:val="6C5309A3"/>
    <w:rsid w:val="6C7D1B5B"/>
    <w:rsid w:val="6D765805"/>
    <w:rsid w:val="6DCD73EF"/>
    <w:rsid w:val="6EE84BCC"/>
    <w:rsid w:val="6F0B2A24"/>
    <w:rsid w:val="6F98315C"/>
    <w:rsid w:val="6FE63F4F"/>
    <w:rsid w:val="73486C63"/>
    <w:rsid w:val="779C40BA"/>
    <w:rsid w:val="784D1863"/>
    <w:rsid w:val="785506C7"/>
    <w:rsid w:val="78D2661A"/>
    <w:rsid w:val="78D87374"/>
    <w:rsid w:val="7A622A67"/>
    <w:rsid w:val="7BA67044"/>
    <w:rsid w:val="7E8E723F"/>
    <w:rsid w:val="7ECC04C8"/>
    <w:rsid w:val="7F7B0B07"/>
    <w:rsid w:val="7FD026E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3656</Words>
  <Characters>4502</Characters>
  <Lines>0</Lines>
  <Paragraphs>0</Paragraphs>
  <TotalTime>0</TotalTime>
  <ScaleCrop>false</ScaleCrop>
  <LinksUpToDate>false</LinksUpToDate>
  <CharactersWithSpaces>4843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1</cp:lastModifiedBy>
  <dcterms:modified xsi:type="dcterms:W3CDTF">2026-05-18T01:30:46Z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eyJoZGlkIjoiZTE3YWMwNjFmNGQyYzAyY2Y1OThmZWNmODFmNjkyM2MiLCJ1c2VySWQiOiI0OTQzMTgwNDgifQ==</vt:lpwstr>
  </property>
  <property fmtid="{D5CDD505-2E9C-101B-9397-08002B2CF9AE}" pid="3" name="KSOProductBuildVer">
    <vt:lpwstr>2052-12.1.0.26375</vt:lpwstr>
  </property>
  <property fmtid="{D5CDD505-2E9C-101B-9397-08002B2CF9AE}" pid="4" name="ICV">
    <vt:lpwstr>1F98C6A74D224A5D9FB552699CDEEE8F_12</vt:lpwstr>
  </property>
</Properties>
</file>