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BF7B2">
      <w:pPr>
        <w:rPr>
          <w:rFonts w:hint="eastAsia"/>
          <w:sz w:val="36"/>
          <w:szCs w:val="36"/>
          <w:vertAlign w:val="baseline"/>
          <w:lang w:val="en-US" w:eastAsia="zh-CN"/>
        </w:rPr>
      </w:pPr>
      <w:r>
        <w:rPr>
          <w:rFonts w:hint="eastAsia"/>
          <w:sz w:val="36"/>
          <w:szCs w:val="36"/>
          <w:vertAlign w:val="baseline"/>
          <w:lang w:val="en-US" w:eastAsia="zh-CN"/>
        </w:rPr>
        <w:t>一: Matlab加速小技巧</w:t>
      </w:r>
    </w:p>
    <w:p w14:paraId="5CF2A5A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尽量预先分配变量空间，不使用动态空间，速度约有20倍的提升</w:t>
      </w:r>
    </w:p>
    <w:p w14:paraId="106251B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多用矩阵化向量化思想，相较于for循环约有10%到200%的提升</w:t>
      </w:r>
    </w:p>
    <w:p w14:paraId="369ECF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parpool并行计算，使用parfor代替for(parfor仅支持一层循环)，核越多，速度越快，但是不同核之间的通信也需要时间。</w:t>
      </w:r>
    </w:p>
    <w:p w14:paraId="4C1A6A18">
      <w:pPr>
        <w:rPr>
          <w:rFonts w:hint="eastAsia"/>
          <w:lang w:val="en-US" w:eastAsia="zh-CN"/>
        </w:rPr>
      </w:pPr>
    </w:p>
    <w:p w14:paraId="7A12720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1.1  parfor</w:t>
      </w:r>
    </w:p>
    <w:p w14:paraId="0F0327E7">
      <w:pPr>
        <w:shd w:val="clear" w:fill="EAF2F8"/>
        <w:ind w:firstLine="420" w:firstLineChars="0"/>
      </w:pPr>
      <w:r>
        <w:rPr>
          <w:b/>
        </w:rPr>
        <w:t>一句话理解：</w:t>
      </w:r>
      <w:r>
        <w:t xml:space="preserve"> parfor 就是把原来按顺序执行的 for 循环，分配给多个 worker 同时执行。 </w:t>
      </w:r>
    </w:p>
    <w:p w14:paraId="60465854">
      <w:pPr>
        <w:shd w:val="clear" w:fill="EAF2F8"/>
        <w:ind w:firstLine="420" w:firstLineChars="0"/>
      </w:pPr>
      <w:r>
        <w:t>但前提是每次循环彼此独立，不能互相依赖，也不能同时随意改同一个共享变量。</w:t>
      </w:r>
    </w:p>
    <w:p w14:paraId="23F59805"/>
    <w:p w14:paraId="76B2A934">
      <w:pPr>
        <w:spacing w:after="80" w:line="312" w:lineRule="auto"/>
        <w:ind w:firstLine="420" w:firstLineChars="0"/>
      </w:pPr>
      <w:r>
        <w:t>可以使用 parfor 的情况：每次循环只计算自己的结果，例如 y(i)=sin(i)。</w:t>
      </w:r>
    </w:p>
    <w:p w14:paraId="5DED3568">
      <w:pPr>
        <w:spacing w:after="80" w:line="312" w:lineRule="auto"/>
        <w:ind w:firstLine="420" w:firstLineChars="0"/>
      </w:pPr>
      <w:r>
        <w:t>不能使用 parfor 的情况：当前迭代依赖前一次结果，例如 y(i)=y(i-1)+i，这种递推关系必须保留顺序。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356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F3039DD">
            <w:pPr>
              <w:spacing w:after="80" w:line="312" w:lineRule="auto"/>
            </w:pPr>
            <w:r>
              <w:t>普通 for：</w:t>
            </w:r>
          </w:p>
          <w:p w14:paraId="2A6DBA0D">
            <w:pPr>
              <w:rPr>
                <w:vertAlign w:val="baseline"/>
              </w:rPr>
            </w:pPr>
            <w:r>
              <w:rPr>
                <w:rFonts w:ascii="Consolas" w:hAnsi="Consolas" w:eastAsia="Consolas"/>
                <w:sz w:val="19"/>
              </w:rPr>
              <w:t>for i = 1:N</w:t>
            </w:r>
            <w:r>
              <w:br w:type="textWrapping"/>
            </w:r>
            <w:r>
              <w:rPr>
                <w:rFonts w:ascii="Consolas" w:hAnsi="Consolas" w:eastAsia="Consolas"/>
                <w:sz w:val="19"/>
              </w:rPr>
              <w:t xml:space="preserve">    A(i) = i^2;</w:t>
            </w:r>
            <w:r>
              <w:br w:type="textWrapping"/>
            </w:r>
            <w:r>
              <w:rPr>
                <w:rFonts w:ascii="Consolas" w:hAnsi="Consolas" w:eastAsia="Consolas"/>
                <w:sz w:val="19"/>
              </w:rPr>
              <w:t>end</w:t>
            </w:r>
          </w:p>
        </w:tc>
        <w:tc>
          <w:tcPr>
            <w:tcW w:w="4261" w:type="dxa"/>
          </w:tcPr>
          <w:p w14:paraId="2E3382B3">
            <w:pPr>
              <w:spacing w:after="80" w:line="312" w:lineRule="auto"/>
            </w:pPr>
            <w:r>
              <w:t>改成 parfor：</w:t>
            </w:r>
          </w:p>
          <w:p w14:paraId="18A0D6F2">
            <w:pPr>
              <w:spacing w:after="80" w:line="312" w:lineRule="auto"/>
              <w:rPr>
                <w:vertAlign w:val="baseline"/>
              </w:rPr>
            </w:pPr>
            <w:r>
              <w:rPr>
                <w:rFonts w:ascii="Consolas" w:hAnsi="Consolas" w:eastAsia="Consolas"/>
                <w:sz w:val="19"/>
              </w:rPr>
              <w:t>parfor i = 1:N</w:t>
            </w:r>
            <w:r>
              <w:br w:type="textWrapping"/>
            </w:r>
            <w:r>
              <w:rPr>
                <w:rFonts w:ascii="Consolas" w:hAnsi="Consolas" w:eastAsia="Consolas"/>
                <w:sz w:val="19"/>
              </w:rPr>
              <w:t xml:space="preserve">    A(i) = i^2;</w:t>
            </w:r>
            <w:r>
              <w:br w:type="textWrapping"/>
            </w:r>
            <w:r>
              <w:rPr>
                <w:rFonts w:ascii="Consolas" w:hAnsi="Consolas" w:eastAsia="Consolas"/>
                <w:sz w:val="19"/>
              </w:rPr>
              <w:t>end</w:t>
            </w:r>
          </w:p>
        </w:tc>
      </w:tr>
    </w:tbl>
    <w:p w14:paraId="7A64C2AD">
      <w:pPr>
        <w:ind w:firstLine="420" w:firstLineChars="0"/>
        <w:rPr>
          <w:rFonts w:hint="default"/>
          <w:lang w:val="en-US" w:eastAsia="zh-CN"/>
        </w:rPr>
      </w:pPr>
      <w:r>
        <w:t>这类写法能成立，是因为每次循环只负责 A(i) 这一项，不依赖前一次循环的结果。</w:t>
      </w:r>
    </w:p>
    <w:p w14:paraId="3F4C8DC3">
      <w:pPr>
        <w:pStyle w:val="2"/>
        <w:jc w:val="center"/>
      </w:pPr>
      <w:r>
        <w:t>parfor 里常见的变量类型</w:t>
      </w:r>
    </w:p>
    <w:p w14:paraId="036E3B37">
      <w:pPr>
        <w:spacing w:after="80" w:line="312" w:lineRule="auto"/>
      </w:pPr>
      <w:r>
        <w:t>（1）切片变量：不同迭代写入数组的不同位置，例如 A(i)。</w:t>
      </w:r>
    </w:p>
    <w:p w14:paraId="0031D75B">
      <w:pPr>
        <w:spacing w:after="80" w:line="312" w:lineRule="auto"/>
      </w:pPr>
      <w:r>
        <w:t>（2）广播变量：循环里只读取、不修改的变量，例如常数 b、网格 X、Y、材料参数 c。</w:t>
      </w:r>
    </w:p>
    <w:p w14:paraId="31309CD4">
      <w:pPr>
        <w:spacing w:after="80" w:line="312" w:lineRule="auto"/>
      </w:pPr>
      <w:r>
        <w:t>（3）局部临时变量：只在当前迭代内使用，例如 t、amp_local。</w:t>
      </w:r>
    </w:p>
    <w:p w14:paraId="5050D4DD">
      <w:r>
        <w:t>（4）归约变量：某些简单的求和、求积模式 MATLAB 可以识别，但在复杂矩阵叠加问题中，更稳妥的方式是“先做局部结果，再统一汇总”。</w:t>
      </w:r>
    </w:p>
    <w:p w14:paraId="415237DB"/>
    <w:p w14:paraId="16C35BE3">
      <w:pPr>
        <w:pStyle w:val="2"/>
        <w:jc w:val="center"/>
      </w:pPr>
      <w:r>
        <w:t>使用 parfor 的基本步骤</w:t>
      </w:r>
    </w:p>
    <w:p w14:paraId="480508C7">
      <w:pPr>
        <w:spacing w:after="80" w:line="312" w:lineRule="auto"/>
      </w:pPr>
      <w:r>
        <w:t>第 1 步：先用普通 for 把代码逻辑跑通。</w:t>
      </w:r>
    </w:p>
    <w:p w14:paraId="35C5E66F">
      <w:pPr>
        <w:spacing w:after="80" w:line="312" w:lineRule="auto"/>
      </w:pPr>
      <w:r>
        <w:t>第 2 步：检查循环是否满足‘各次迭代相互独立’。</w:t>
      </w:r>
    </w:p>
    <w:p w14:paraId="57B04265">
      <w:pPr>
        <w:spacing w:after="80" w:line="312" w:lineRule="auto"/>
      </w:pPr>
      <w:r>
        <w:t>第 3 步：预分配结果数组，避免循环中动态扩容。</w:t>
      </w:r>
    </w:p>
    <w:p w14:paraId="05A88CC6">
      <w:pPr>
        <w:spacing w:after="80" w:line="312" w:lineRule="auto"/>
      </w:pPr>
      <w:r>
        <w:t>第 4 步：把最外层合适的 for 改成 parfor。</w:t>
      </w:r>
    </w:p>
    <w:p w14:paraId="51CF5120">
      <w:pPr>
        <w:spacing w:after="80" w:line="312" w:lineRule="auto"/>
      </w:pPr>
      <w:r>
        <w:t>第 5 步：如果报变量分类错误，把共享结果改成‘局部变量 + 最后汇总’。</w:t>
      </w:r>
    </w:p>
    <w:p w14:paraId="10FFA4BA">
      <w:pPr>
        <w:rPr>
          <w:rFonts w:hint="default"/>
          <w:lang w:val="en-US" w:eastAsia="zh-CN"/>
        </w:rPr>
      </w:pPr>
    </w:p>
    <w:p w14:paraId="096E523B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1.2 矩阵向量化</w:t>
      </w:r>
    </w:p>
    <w:p w14:paraId="17B34D35">
      <w:pPr>
        <w:spacing w:after="80" w:line="312" w:lineRule="auto"/>
        <w:rPr>
          <w:rFonts w:hint="default"/>
          <w:lang w:val="en-US" w:eastAsia="zh-CN"/>
        </w:rPr>
      </w:pPr>
    </w:p>
    <w:p w14:paraId="542E1DED">
      <w:pPr>
        <w:spacing w:after="80" w:line="312" w:lineRule="auto"/>
        <w:rPr>
          <w:rFonts w:hint="default"/>
          <w:lang w:val="en-US" w:eastAsia="zh-CN"/>
        </w:rPr>
      </w:pPr>
    </w:p>
    <w:p w14:paraId="60F0E7F6">
      <w:pPr>
        <w:spacing w:after="80" w:line="312" w:lineRule="auto"/>
        <w:rPr>
          <w:rFonts w:hint="default"/>
          <w:lang w:val="en-US" w:eastAsia="zh-CN"/>
        </w:rPr>
      </w:pPr>
    </w:p>
    <w:p w14:paraId="4B49CF76">
      <w:pPr>
        <w:spacing w:after="80" w:line="312" w:lineRule="auto"/>
        <w:rPr>
          <w:rFonts w:hint="default"/>
          <w:lang w:val="en-US" w:eastAsia="zh-CN"/>
        </w:rPr>
      </w:pPr>
    </w:p>
    <w:p w14:paraId="51E4B084">
      <w:pPr>
        <w:spacing w:after="80" w:line="312" w:lineRule="auto"/>
        <w:rPr>
          <w:rFonts w:hint="default"/>
          <w:lang w:val="en-US" w:eastAsia="zh-CN"/>
        </w:rPr>
      </w:pPr>
    </w:p>
    <w:p w14:paraId="4ED7D4BC">
      <w:pPr>
        <w:spacing w:after="80" w:line="312" w:lineRule="auto"/>
        <w:rPr>
          <w:rFonts w:hint="default"/>
          <w:lang w:val="en-US" w:eastAsia="zh-CN"/>
        </w:rPr>
      </w:pPr>
    </w:p>
    <w:p w14:paraId="3DCF766A">
      <w:pPr>
        <w:spacing w:after="80" w:line="312" w:lineRule="auto"/>
        <w:rPr>
          <w:rFonts w:hint="default"/>
          <w:lang w:val="en-US" w:eastAsia="zh-CN"/>
        </w:rPr>
      </w:pPr>
    </w:p>
    <w:p w14:paraId="035D92B4">
      <w:pPr>
        <w:spacing w:after="80" w:line="312" w:lineRule="auto"/>
        <w:rPr>
          <w:rFonts w:hint="default"/>
          <w:lang w:val="en-US" w:eastAsia="zh-CN"/>
        </w:rPr>
      </w:pPr>
    </w:p>
    <w:p w14:paraId="567AE5E6">
      <w:pPr>
        <w:spacing w:after="80" w:line="312" w:lineRule="auto"/>
        <w:rPr>
          <w:rFonts w:hint="default"/>
          <w:lang w:val="en-US" w:eastAsia="zh-CN"/>
        </w:rPr>
      </w:pPr>
    </w:p>
    <w:p w14:paraId="198B2919">
      <w:pPr>
        <w:spacing w:after="80" w:line="312" w:lineRule="auto"/>
        <w:rPr>
          <w:rFonts w:hint="default"/>
          <w:lang w:val="en-US" w:eastAsia="zh-CN"/>
        </w:rPr>
      </w:pPr>
    </w:p>
    <w:p w14:paraId="7F028DBB">
      <w:pPr>
        <w:spacing w:after="80" w:line="312" w:lineRule="auto"/>
        <w:rPr>
          <w:rFonts w:hint="default"/>
          <w:lang w:val="en-US" w:eastAsia="zh-CN"/>
        </w:rPr>
      </w:pPr>
    </w:p>
    <w:p w14:paraId="6D134569">
      <w:pPr>
        <w:spacing w:after="80" w:line="312" w:lineRule="auto"/>
        <w:rPr>
          <w:rFonts w:hint="default"/>
          <w:lang w:val="en-US" w:eastAsia="zh-CN"/>
        </w:rPr>
      </w:pPr>
    </w:p>
    <w:p w14:paraId="25EFBE26">
      <w:pPr>
        <w:spacing w:after="80" w:line="312" w:lineRule="auto"/>
        <w:rPr>
          <w:rFonts w:hint="default"/>
          <w:lang w:val="en-US" w:eastAsia="zh-CN"/>
        </w:rPr>
      </w:pPr>
    </w:p>
    <w:p w14:paraId="33CCF7FF">
      <w:pPr>
        <w:spacing w:after="80" w:line="312" w:lineRule="auto"/>
        <w:rPr>
          <w:rFonts w:hint="default"/>
          <w:lang w:val="en-US" w:eastAsia="zh-CN"/>
        </w:rPr>
      </w:pPr>
    </w:p>
    <w:p w14:paraId="3D41DE14">
      <w:pPr>
        <w:spacing w:after="80" w:line="312" w:lineRule="auto"/>
        <w:rPr>
          <w:rFonts w:hint="default"/>
          <w:lang w:val="en-US" w:eastAsia="zh-CN"/>
        </w:rPr>
      </w:pPr>
    </w:p>
    <w:p w14:paraId="218BE505">
      <w:pPr>
        <w:spacing w:after="80" w:line="312" w:lineRule="auto"/>
        <w:rPr>
          <w:rFonts w:hint="default"/>
          <w:lang w:val="en-US" w:eastAsia="zh-CN"/>
        </w:rPr>
      </w:pPr>
    </w:p>
    <w:p w14:paraId="1D4E78BF">
      <w:pPr>
        <w:spacing w:after="80" w:line="312" w:lineRule="auto"/>
        <w:rPr>
          <w:rFonts w:hint="default"/>
          <w:lang w:val="en-US" w:eastAsia="zh-CN"/>
        </w:rPr>
      </w:pPr>
    </w:p>
    <w:p w14:paraId="042BCA49">
      <w:pPr>
        <w:spacing w:after="80" w:line="312" w:lineRule="auto"/>
        <w:rPr>
          <w:rFonts w:hint="default"/>
          <w:lang w:val="en-US" w:eastAsia="zh-CN"/>
        </w:rPr>
      </w:pPr>
    </w:p>
    <w:p w14:paraId="004DD055">
      <w:pPr>
        <w:spacing w:after="80" w:line="312" w:lineRule="auto"/>
        <w:rPr>
          <w:rFonts w:hint="default"/>
          <w:lang w:val="en-US" w:eastAsia="zh-CN"/>
        </w:rPr>
      </w:pPr>
    </w:p>
    <w:p w14:paraId="77AEAE35">
      <w:pPr>
        <w:spacing w:after="80" w:line="312" w:lineRule="auto"/>
        <w:rPr>
          <w:rFonts w:hint="default"/>
          <w:lang w:val="en-US" w:eastAsia="zh-CN"/>
        </w:rPr>
      </w:pPr>
    </w:p>
    <w:p w14:paraId="2A9E4529">
      <w:pPr>
        <w:spacing w:after="80" w:line="312" w:lineRule="auto"/>
        <w:rPr>
          <w:rFonts w:hint="default"/>
          <w:lang w:val="en-US" w:eastAsia="zh-CN"/>
        </w:rPr>
      </w:pPr>
    </w:p>
    <w:p w14:paraId="150BB74F">
      <w:pPr>
        <w:spacing w:after="80" w:line="312" w:lineRule="auto"/>
        <w:rPr>
          <w:rFonts w:hint="default"/>
          <w:lang w:val="en-US" w:eastAsia="zh-CN"/>
        </w:rPr>
      </w:pPr>
    </w:p>
    <w:p w14:paraId="343BEEAB">
      <w:pPr>
        <w:spacing w:after="80" w:line="312" w:lineRule="auto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9D66BF"/>
    <w:multiLevelType w:val="singleLevel"/>
    <w:tmpl w:val="529D66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72D69"/>
    <w:rsid w:val="0AC05EBA"/>
    <w:rsid w:val="0D4E0A83"/>
    <w:rsid w:val="0E664FCA"/>
    <w:rsid w:val="18660E62"/>
    <w:rsid w:val="1F42702F"/>
    <w:rsid w:val="22462CF1"/>
    <w:rsid w:val="23EB4585"/>
    <w:rsid w:val="24A87C93"/>
    <w:rsid w:val="31E1160B"/>
    <w:rsid w:val="348014D4"/>
    <w:rsid w:val="3566572C"/>
    <w:rsid w:val="36FB00F6"/>
    <w:rsid w:val="3ECD57D3"/>
    <w:rsid w:val="40A33E95"/>
    <w:rsid w:val="428D3F8A"/>
    <w:rsid w:val="43946D7C"/>
    <w:rsid w:val="4B1C090F"/>
    <w:rsid w:val="58EF5BB7"/>
    <w:rsid w:val="5A3115B5"/>
    <w:rsid w:val="66567D7F"/>
    <w:rsid w:val="6AC36259"/>
    <w:rsid w:val="6D284A9A"/>
    <w:rsid w:val="78C80EDF"/>
    <w:rsid w:val="7C48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2026-03-28T12:25:39Z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