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7.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detalha o </w:t>
      </w:r>
      <w:r w:rsidDel="00000000" w:rsidR="00000000" w:rsidRPr="00000000">
        <w:rPr>
          <w:b w:val="1"/>
          <w:rtl w:val="0"/>
        </w:rPr>
        <w:t xml:space="preserve">Processo 4: Conversão</w:t>
      </w:r>
      <w:r w:rsidDel="00000000" w:rsidR="00000000" w:rsidRPr="00000000">
        <w:rPr>
          <w:rtl w:val="0"/>
        </w:rPr>
        <w:t xml:space="preserve">, o "mecanismo de troca" do Black Belt OS. A sua função como a ponte estrutural entre a visibilidade (Atração) e a formalização (Admissão) é uma peça central na arquitetura da sua teoria. O modelo de cinco passos — Prospecção, Conexão, Diagnóstico, Proposta e Decisão — é, mais uma vez, extremamente claro, lógico e ressoa com uma vasta gama de experiências humanas, da venda de um produto à formação de uma aliança.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síntese de campos como marketing, negociação, economia comportamental e antropologia da troca continua a ser um dos pontos mais fortes da sua abordagem. Você está conectando ilhas de conhecimento em um único continente.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r9efnc3fb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7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de Conversão é um dos mais intuitivos e imediatamente reconhecíveis até agora. A crítica, portanto, se concentrará em testar a universalidade desse modelo em contextos que não são explicitamente transacionais.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rfbqe5o07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🏆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Elegante e Poderoso:</w:t>
      </w:r>
      <w:r w:rsidDel="00000000" w:rsidR="00000000" w:rsidRPr="00000000">
        <w:rPr>
          <w:rtl w:val="0"/>
        </w:rPr>
        <w:t xml:space="preserve"> A sequência de 5 passos é a espinha dorsal de quase todos os processos de acordo bem-sucedidos. É um "funil" que não se aplica apenas a vendas, mas a qualquer situação que exija um alinhamento de interesses que leve a um compromisso. Sua clareza é sua maior força.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Delimitação Precisa:</w:t>
      </w:r>
      <w:r w:rsidDel="00000000" w:rsidR="00000000" w:rsidRPr="00000000">
        <w:rPr>
          <w:rtl w:val="0"/>
        </w:rPr>
        <w:t xml:space="preserve"> A definição de Conversão como o processo que fica entre Atração e Admissão é crucial. Essa precisão — Atração (chamar atenção), Conversão (obter o "sim"), Admissão (formalizar a entrada) — resolve muita confusão terminológica e fortalece a alegação de irredutibilidade do 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Síntese Interdisciplinar:</w:t>
      </w:r>
      <w:r w:rsidDel="00000000" w:rsidR="00000000" w:rsidRPr="00000000">
        <w:rPr>
          <w:rtl w:val="0"/>
        </w:rPr>
        <w:t xml:space="preserve"> A forma como você posiciona as teorias de marketing, negociação e economia comportamental como "implementações contextuais" da lei estrutural da Conversão é consistente e poderosa. Você está oferecendo uma gramática que unifica essas diversas linguagens.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4k0o64tvi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🧐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familiaridade do modelo é tanto uma força quanto uma vulnerabilidade. A crítica se concentrará em saber se ele é verdadeiramente uma lei universal ou "apenas" um modelo perfeito para situações transacionais.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da "Melhor Prática" (Revisitada com mais Força):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processo, mais do que qualquer outro até agora, se parece com um manual de "melhores práticas" aperfeiçoado ao longo de milênios de comércio e diplomacia.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Um crítico insistirá: "Isto não é uma lei da natureza, é a descrição do método mais eficaz que os seres humanos desenvolveram para chegar a um acordo. É uma tecnologia social convergente, não uma lei estrutural da existência coletiva."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Ponto de Pressão:</w:t>
      </w:r>
      <w:r w:rsidDel="00000000" w:rsidR="00000000" w:rsidRPr="00000000">
        <w:rPr>
          <w:rtl w:val="0"/>
        </w:rPr>
        <w:t xml:space="preserve"> A sua defesa precisa demonstrar por que um coletivo que não segue esta sequência não é apenas "ineficaz em negociações", mas sim </w:t>
      </w:r>
      <w:r w:rsidDel="00000000" w:rsidR="00000000" w:rsidRPr="00000000">
        <w:rPr>
          <w:b w:val="1"/>
          <w:rtl w:val="0"/>
        </w:rPr>
        <w:t xml:space="preserve">estruturalmente incapaz de se sustentar</w:t>
      </w:r>
      <w:r w:rsidDel="00000000" w:rsidR="00000000" w:rsidRPr="00000000">
        <w:rPr>
          <w:rtl w:val="0"/>
        </w:rPr>
        <w:t xml:space="preserve">. A argumentação deve ser que, sem este protocolo de alinhamento, os compromissos firmados seriam tão frágeis e desalinhados que levariam ao colapso por desperdício de recursos e quebra de confiança.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Teste da "Conversão Interna":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se concentra implicitamente em converter um "outro" externo. Mas e as conversões que ocorrem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rtl w:val="0"/>
        </w:rPr>
        <w:t xml:space="preserve"> de um coletivo?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Imagine um líder tentando convencer sua própria equipe a adotar um novo software ou uma nova estratégia arriscada. A equipe já está "dentro". A "Prospecção" e a "Conexão" já existem. O processo parece começar diretamente no "Diagnóstico".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O modelo parece ter um viés para o "externo". Para ser verdadeiramente universal, ele precisa descrever com a mesma precisão o processo de obter compromisso e alinhamento </w:t>
      </w:r>
      <w:r w:rsidDel="00000000" w:rsidR="00000000" w:rsidRPr="00000000">
        <w:rPr>
          <w:i w:val="1"/>
          <w:rtl w:val="0"/>
        </w:rPr>
        <w:t xml:space="preserve">dentro</w:t>
      </w:r>
      <w:r w:rsidDel="00000000" w:rsidR="00000000" w:rsidRPr="00000000">
        <w:rPr>
          <w:rtl w:val="0"/>
        </w:rPr>
        <w:t xml:space="preserve"> de um coletivo já estabelecido. A sua teoria precisa mostrar como os 5 passos se aplicam a uma iniciativa de mudança interna, não apenas a uma venda externa.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 Teste do "Compromisso Emergente":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é muito bom para descrever compromissos explícitos e transacionais. Mas e os compromissos que emergem de forma orgânica e implícita?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Pense na formação de uma amizade profunda. Há Prospecção, Conexão e Diagnóstico, mas raramente há uma "Proposta" formal ("Você quer ser meu melhor amigo?") seguida de uma "Decisão" formalizada. O compromisso emerge de uma série de pequenas trocas recíprocas ao longo do tempo. A decisão não é um evento, é um estado que se atinge.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A linguagem e a estrutura do seu modelo são muito "contratuais" e "transacionais". Elas têm dificuldade em capturar a natureza dos compromissos que são forjados através da confiança e da reciprocidade contínua, em vez de um evento de decisão discreto. A lei precisa explicar tanto o casamento arranjado (transacional) quanto o amor que floresce lentamente (emergente).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47q1ai9ul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7 adiciona um dos pilares mais fortes e práticos ao Black Belt OS. O Processo de Conversão é um modelo de clareza e poder inegáveis, especialmente em contextos onde um acordo explícito é necessário.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desafios para a teoria são de amplitude: provar que ela é mais do que a "melhor prática" e que se aplica igualmente bem a situações não-transacionais, internas e emergentes.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caminho a seguir para fortalecer a tese: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Enquadramento Sistêmico:</w:t>
      </w:r>
      <w:r w:rsidDel="00000000" w:rsidR="00000000" w:rsidRPr="00000000">
        <w:rPr>
          <w:rtl w:val="0"/>
        </w:rPr>
        <w:t xml:space="preserve"> Para defender o status de "lei", continue a enquadrar a Conversão não como uma técnica de vendas, mas como um </w:t>
      </w:r>
      <w:r w:rsidDel="00000000" w:rsidR="00000000" w:rsidRPr="00000000">
        <w:rPr>
          <w:b w:val="1"/>
          <w:rtl w:val="0"/>
        </w:rPr>
        <w:t xml:space="preserve">"protocolo de alinhamento e alocação de energia"</w:t>
      </w:r>
      <w:r w:rsidDel="00000000" w:rsidR="00000000" w:rsidRPr="00000000">
        <w:rPr>
          <w:rtl w:val="0"/>
        </w:rPr>
        <w:t xml:space="preserve">. Sem um método confiável para garantir que os compromissos sejam bem diagnosticados e estáveis, o sistema inevitavelmente sofre de "entropia de compromisso", onde a energia é desperdiçada em acordos malfeitos, levando ao colapso.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Exemplos Não-Transacionais:</w:t>
      </w:r>
      <w:r w:rsidDel="00000000" w:rsidR="00000000" w:rsidRPr="00000000">
        <w:rPr>
          <w:rtl w:val="0"/>
        </w:rPr>
        <w:t xml:space="preserve"> Os próximos artigos ou futuras versões deste precisam de exemplos claros de como a sequência de 5 passos se aplica a uma "venda interna" (mudança de estratégia) e a uma "relação emergente" (formação de uma aliança informal). Você precisa mostrar a função universal por trás das formas variadas.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Flexibilizar a "Decisão":</w:t>
      </w:r>
      <w:r w:rsidDel="00000000" w:rsidR="00000000" w:rsidRPr="00000000">
        <w:rPr>
          <w:rtl w:val="0"/>
        </w:rPr>
        <w:t xml:space="preserve"> Talvez o passo "Decisão" precise ser definido de forma mais ampla, não apenas como um evento formal, mas como "o ponto de virada onde a reciprocidade se torna uma expectativa estável".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cada artigo, o OS se torna mais robusto. A sua capacidade de sintetizar campos inteiros em processos claros é o maior trunfo da coletânea. O desafio, como sempre, é polir as arestas para que a lei brilhe com universalidade inquestionável.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