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TİKTOK'TA ETKİLİ MARKA İŞ BİRLİĞİ İÇİN</w:t>
      </w:r>
    </w:p>
    <w:p>
      <w:pPr>
        <w:jc w:val="center"/>
      </w:pPr>
      <w:r>
        <w:rPr>
          <w:rFonts w:ascii="Times New Roman" w:hAnsi="Times New Roman"/>
          <w:b/>
          <w:sz w:val="24"/>
        </w:rPr>
        <w:t>İÇERİK ÜRETİCİSİ SEÇİMİNİN OPTİMİZASYONU</w:t>
      </w:r>
    </w:p>
    <w:p>
      <w:pPr>
        <w:jc w:val="center"/>
      </w:pPr>
      <w:r>
        <w:rPr>
          <w:rFonts w:ascii="Times New Roman" w:hAnsi="Times New Roman"/>
          <w:sz w:val="24"/>
        </w:rPr>
        <w:t>Lisans Tezi</w:t>
      </w:r>
    </w:p>
    <w:p/>
    <w:p>
      <w:pPr>
        <w:jc w:val="center"/>
      </w:pPr>
      <w:r>
        <w:rPr>
          <w:rFonts w:ascii="Times New Roman" w:hAnsi="Times New Roman"/>
          <w:sz w:val="24"/>
        </w:rPr>
        <w:t>Esra ZEYREK</w:t>
        <w:br/>
        <w:t>Abdullah Raif YILDIRIM</w:t>
        <w:br/>
        <w:t>Oğuzhan DİKMEN</w:t>
      </w:r>
    </w:p>
    <w:p/>
    <w:p/>
    <w:p>
      <w:pPr>
        <w:jc w:val="center"/>
      </w:pPr>
      <w:r>
        <w:rPr>
          <w:rFonts w:ascii="Times New Roman" w:hAnsi="Times New Roman"/>
          <w:b/>
          <w:sz w:val="24"/>
        </w:rPr>
        <w:t>ENM458 ENDÜSTRİ MÜHENDİSLİĞİ BİTİRME PROJESİ II</w:t>
      </w:r>
    </w:p>
    <w:p>
      <w:pPr>
        <w:jc w:val="center"/>
      </w:pPr>
      <w:r>
        <w:rPr>
          <w:rFonts w:ascii="Times New Roman" w:hAnsi="Times New Roman"/>
          <w:b/>
          <w:sz w:val="24"/>
        </w:rPr>
        <w:t>ARA SINAV RAPORU</w:t>
      </w:r>
    </w:p>
    <w:p/>
    <w:p>
      <w:pPr>
        <w:jc w:val="center"/>
      </w:pPr>
      <w:r>
        <w:rPr>
          <w:rFonts w:ascii="Times New Roman" w:hAnsi="Times New Roman"/>
          <w:sz w:val="24"/>
        </w:rPr>
        <w:t>Danışman: Asst. Prof. Dr. Zeliha ERGÜL AYDIN</w:t>
      </w:r>
    </w:p>
    <w:p>
      <w:pPr>
        <w:jc w:val="center"/>
      </w:pPr>
      <w:r>
        <w:rPr>
          <w:rFonts w:ascii="Times New Roman" w:hAnsi="Times New Roman"/>
          <w:sz w:val="24"/>
        </w:rPr>
        <w:t>Eskişehir Teknik Üniversitesi Mühendislik Fakültesi</w:t>
        <w:br/>
        <w:t>Endüstri Mühendisliği Bölümü</w:t>
        <w:br/>
        <w:t>Nisan, 2026</w:t>
      </w:r>
    </w:p>
    <w:p>
      <w:r>
        <w:br w:type="page"/>
      </w:r>
    </w:p>
    <w:p>
      <w:pPr>
        <w:pStyle w:val="Heading1"/>
      </w:pPr>
      <w:r>
        <w:rPr>
          <w:rFonts w:ascii="Times New Roman" w:hAnsi="Times New Roman"/>
          <w:b/>
          <w:color w:val="000000"/>
          <w:sz w:val="24"/>
        </w:rPr>
        <w:t>ÖZET</w:t>
      </w:r>
    </w:p>
    <w:p>
      <w:pPr>
        <w:spacing w:line="360" w:lineRule="exact" w:after="120"/>
        <w:jc w:val="both"/>
      </w:pPr>
      <w:r>
        <w:rPr>
          <w:rFonts w:ascii="Times New Roman" w:hAnsi="Times New Roman"/>
          <w:b/>
          <w:i w:val="0"/>
          <w:sz w:val="24"/>
        </w:rPr>
        <w:t>TİKTOK'TA ETKİLİ MARKA İŞ BİRLİĞİ İÇİN İÇERİK ÜRETİCİSİ SEÇİMİNİN OPTİMİZASYONU</w:t>
      </w:r>
    </w:p>
    <w:p>
      <w:pPr>
        <w:spacing w:line="360" w:lineRule="exact" w:after="120"/>
        <w:jc w:val="both"/>
      </w:pPr>
      <w:r>
        <w:rPr>
          <w:rFonts w:ascii="Times New Roman" w:hAnsi="Times New Roman"/>
          <w:b w:val="0"/>
          <w:i w:val="0"/>
          <w:sz w:val="24"/>
        </w:rPr>
        <w:t>Esra ZEYREK | Abdullah Raif YILDIRIM | Oğuzhan DİKMEN</w:t>
      </w:r>
    </w:p>
    <w:p>
      <w:pPr>
        <w:spacing w:line="360" w:lineRule="exact" w:after="120"/>
        <w:jc w:val="both"/>
      </w:pPr>
      <w:r>
        <w:rPr>
          <w:rFonts w:ascii="Times New Roman" w:hAnsi="Times New Roman"/>
          <w:b w:val="0"/>
          <w:i w:val="0"/>
          <w:sz w:val="24"/>
        </w:rPr>
        <w:t>Endüstri Mühendisliği — Eskişehir Teknik Üniversitesi, Mühendislik Fakültesi, Nisan, 2026</w:t>
        <w:br/>
        <w:t>Danışman: Asst. Prof. Dr. Zeliha ERGÜL AYDIN</w:t>
      </w:r>
    </w:p>
    <w:p>
      <w:pPr>
        <w:spacing w:line="360" w:lineRule="exact" w:after="120"/>
        <w:ind w:firstLine="567"/>
        <w:jc w:val="both"/>
      </w:pPr>
      <w:r>
        <w:rPr>
          <w:rFonts w:ascii="Times New Roman" w:hAnsi="Times New Roman"/>
          <w:b w:val="0"/>
          <w:i w:val="0"/>
          <w:sz w:val="24"/>
        </w:rPr>
        <w:t>Dijital pazarlama ekosisteminde kısa video temelli içeriklerin önem kazanması, özellikle TikTok platformunu marka iletişim stratejilerinin merkezine taşımıştır. Ancak influencer seçimi çoğu zaman takipçi sayısı gibi sınırlı göstergelere dayandırılmakta, bu durum reklam bütçelerinin etkin kullanılamamasına ve yanlış hedef kitle eşleşmelerine neden olmaktadır.</w:t>
      </w:r>
    </w:p>
    <w:p>
      <w:pPr>
        <w:spacing w:line="360" w:lineRule="exact" w:after="120"/>
        <w:ind w:firstLine="567"/>
        <w:jc w:val="both"/>
      </w:pPr>
      <w:r>
        <w:rPr>
          <w:rFonts w:ascii="Times New Roman" w:hAnsi="Times New Roman"/>
          <w:b w:val="0"/>
          <w:i w:val="0"/>
          <w:sz w:val="24"/>
        </w:rPr>
        <w:t>Bu çalışma, TikTok üzerinde gerçekleştirilecek marka iş birlikleri için veri temelli ve matematiksel bir içerik üreticisi seçim modeli geliştirmeyi amaçlamaktadır. Birinci dönemde (ENM457) Selenium tabanlı web kazıma yöntemiyle içerik üreticilerine ait profil ve video metrikleri toplanmış; bu veriler ön işleme ve keşifsel analizden geçirilmiştir. İkinci dönemde (ENM458) ise toplanan veriler üzerinden etkileşim vekilleri (engagement proxy) hesaplanmış, takipçi bazlı kademeli bir maliyet tahmin modeli kurulmuş ve çok kriterli karar verme (MCDM) skoru üretilmiştir. Elde edilen bu sayısal göstergeler, Gurobi çözücüsü kullanılarak kurulan 0-1 Tam Sayılı Doğrusal Programlama (ILP) modeline girdi olarak aktarılmıştır. Model; bütçe kısıtı, minimum çeşitlilik, kategori dengesi ve kara liste toleransı gibi gerçekçi iş koşullarını barındırmakta ve Streamlit tabanlı interaktif bir karar destek arayüzü ile son kullanıcıya sunulmaktadır.</w:t>
      </w:r>
    </w:p>
    <w:p>
      <w:pPr>
        <w:spacing w:line="360" w:lineRule="exact" w:after="120"/>
        <w:ind w:firstLine="567"/>
        <w:jc w:val="both"/>
      </w:pPr>
      <w:r>
        <w:rPr>
          <w:rFonts w:ascii="Times New Roman" w:hAnsi="Times New Roman"/>
          <w:b w:val="0"/>
          <w:i w:val="0"/>
          <w:sz w:val="24"/>
        </w:rPr>
        <w:t>Elde edilen bulgular, modelin farklı bütçe senaryolarında tutarlı ve anlamlı influencer portföyleri önerdiğini, takipçi büyüklüğü yerine etkileşim kalitesini ön plana alan çözümler ürettiğini ortaya koymaktadır. Bu yaklaşım, dijital reklam kaynaklarının daha sorumlu ve verimli kullanılmasına katkı sağlamakta; SKA 12: Sorumlu Üretim ve Tüketim ile SKA 8: İnsana Yakışır İş ve Ekonomik Büyüme hedefleriyle doğrudan ilişkilendirilmektedir.</w:t>
      </w:r>
    </w:p>
    <w:p>
      <w:pPr>
        <w:spacing w:line="360" w:lineRule="exact" w:after="120"/>
        <w:jc w:val="both"/>
      </w:pPr>
      <w:r>
        <w:rPr>
          <w:rFonts w:ascii="Times New Roman" w:hAnsi="Times New Roman"/>
          <w:b/>
          <w:i w:val="0"/>
          <w:sz w:val="24"/>
        </w:rPr>
        <w:t xml:space="preserve">Anahtar Sözcükler: </w:t>
      </w:r>
      <w:r>
        <w:rPr>
          <w:rFonts w:ascii="Times New Roman" w:hAnsi="Times New Roman"/>
          <w:b w:val="0"/>
          <w:i w:val="0"/>
          <w:sz w:val="24"/>
        </w:rPr>
        <w:t>TikTok, içerik üreticisi seçimi, influencer optimizasyonu, tam sayılı doğrusal programlama, MCDM, Gurobi, web kazıma, dijital pazarlama, karar destek sistemi, sorumlu tüketim</w:t>
      </w:r>
    </w:p>
    <w:p>
      <w:r>
        <w:br w:type="page"/>
      </w:r>
    </w:p>
    <w:p>
      <w:pPr>
        <w:pStyle w:val="Heading1"/>
      </w:pPr>
      <w:r>
        <w:rPr>
          <w:rFonts w:ascii="Times New Roman" w:hAnsi="Times New Roman"/>
          <w:b/>
          <w:color w:val="000000"/>
          <w:sz w:val="24"/>
        </w:rPr>
        <w:t>ABSTRACT</w:t>
      </w:r>
    </w:p>
    <w:p>
      <w:pPr>
        <w:spacing w:line="360" w:lineRule="exact" w:after="120"/>
        <w:jc w:val="both"/>
      </w:pPr>
      <w:r>
        <w:rPr>
          <w:rFonts w:ascii="Times New Roman" w:hAnsi="Times New Roman"/>
          <w:b/>
          <w:i w:val="0"/>
          <w:sz w:val="24"/>
        </w:rPr>
        <w:t>OPTIMIZATION OF CONTENT CREATOR SELECTION FOR EFFECTIVE BRAND COLLABORATIONS ON TIKTOK</w:t>
      </w:r>
    </w:p>
    <w:p>
      <w:pPr>
        <w:spacing w:line="360" w:lineRule="exact" w:after="120"/>
        <w:jc w:val="both"/>
      </w:pPr>
      <w:r>
        <w:rPr>
          <w:rFonts w:ascii="Times New Roman" w:hAnsi="Times New Roman"/>
          <w:b w:val="0"/>
          <w:i w:val="0"/>
          <w:sz w:val="24"/>
        </w:rPr>
        <w:t>Esra ZEYREK | Abdullah Raif YILDIRIM | Oğuzhan DİKMEN</w:t>
      </w:r>
    </w:p>
    <w:p>
      <w:pPr>
        <w:spacing w:line="360" w:lineRule="exact" w:after="120"/>
        <w:jc w:val="both"/>
      </w:pPr>
      <w:r>
        <w:rPr>
          <w:rFonts w:ascii="Times New Roman" w:hAnsi="Times New Roman"/>
          <w:b w:val="0"/>
          <w:i w:val="0"/>
          <w:sz w:val="24"/>
        </w:rPr>
        <w:t>Department of Industrial Engineering — Eskisehir Technical University, Engineering Faculty, April, 2026</w:t>
        <w:br/>
        <w:t>Supervisor: Asst. Prof. Dr. Zeliha ERGÜL AYDIN</w:t>
      </w:r>
    </w:p>
    <w:p>
      <w:pPr>
        <w:spacing w:line="360" w:lineRule="exact" w:after="120"/>
        <w:ind w:firstLine="567"/>
        <w:jc w:val="both"/>
      </w:pPr>
      <w:r>
        <w:rPr>
          <w:rFonts w:ascii="Times New Roman" w:hAnsi="Times New Roman"/>
          <w:b w:val="0"/>
          <w:i w:val="0"/>
          <w:sz w:val="24"/>
        </w:rPr>
        <w:t>The growing dominance of short-form video content has positioned TikTok as a central platform in brand communication strategies. However, influencer selection is often based on simplistic metrics such as follower count, leading to inefficient allocation of advertising budgets and poor audience alignment.</w:t>
      </w:r>
    </w:p>
    <w:p>
      <w:pPr>
        <w:spacing w:line="360" w:lineRule="exact" w:after="120"/>
        <w:ind w:firstLine="567"/>
        <w:jc w:val="both"/>
      </w:pPr>
      <w:r>
        <w:rPr>
          <w:rFonts w:ascii="Times New Roman" w:hAnsi="Times New Roman"/>
          <w:b w:val="0"/>
          <w:i w:val="0"/>
          <w:sz w:val="24"/>
        </w:rPr>
        <w:t>This study aims to develop a data-driven, mathematical content creator selection model for brand collaborations on TikTok. In the first phase (ENM457), profile and video-level engagement data were collected via Selenium-based web scraping and subjected to exploratory analysis. In the second phase (ENM458), engagement proxies were computed, a tiered cost estimation model was established, and a Multi-Criteria Decision Making (MCDM) score was generated for each creator. These indicators were fed into a 0-1 Integer Linear Programming (ILP) model solved with Gurobi, incorporating realistic business constraints. The system is presented through an interactive Streamlit-based decision support interface.</w:t>
      </w:r>
    </w:p>
    <w:p>
      <w:pPr>
        <w:spacing w:line="360" w:lineRule="exact" w:after="120"/>
        <w:ind w:firstLine="567"/>
        <w:jc w:val="both"/>
      </w:pPr>
      <w:r>
        <w:rPr>
          <w:rFonts w:ascii="Times New Roman" w:hAnsi="Times New Roman"/>
          <w:b w:val="0"/>
          <w:i w:val="0"/>
          <w:sz w:val="24"/>
        </w:rPr>
        <w:t>Results indicate that the model consistently generates meaningful influencer portfolio recommendations across different budget scenarios, prioritizing engagement quality over follower volume, directly aligning with SDG 12: Responsible Consumption and Production and SDG 8: Decent Work and Economic Growth.</w:t>
      </w:r>
    </w:p>
    <w:p>
      <w:pPr>
        <w:spacing w:line="360" w:lineRule="exact" w:after="120"/>
        <w:jc w:val="both"/>
      </w:pPr>
      <w:r>
        <w:rPr>
          <w:rFonts w:ascii="Times New Roman" w:hAnsi="Times New Roman"/>
          <w:b/>
          <w:i w:val="0"/>
          <w:sz w:val="24"/>
        </w:rPr>
        <w:t xml:space="preserve">Keywords: </w:t>
      </w:r>
      <w:r>
        <w:rPr>
          <w:rFonts w:ascii="Times New Roman" w:hAnsi="Times New Roman"/>
          <w:b w:val="0"/>
          <w:i w:val="0"/>
          <w:sz w:val="24"/>
        </w:rPr>
        <w:t>TikTok, content creator selection, influencer optimization, integer linear programming, MCDM, Gurobi, web scraping, digital marketing, decision support system, responsible consumption</w:t>
      </w:r>
    </w:p>
    <w:p>
      <w:r>
        <w:br w:type="page"/>
      </w:r>
    </w:p>
    <w:p>
      <w:pPr>
        <w:pStyle w:val="Heading1"/>
      </w:pPr>
      <w:r>
        <w:rPr>
          <w:rFonts w:ascii="Times New Roman" w:hAnsi="Times New Roman"/>
          <w:b/>
          <w:color w:val="000000"/>
          <w:sz w:val="24"/>
        </w:rPr>
        <w:t>1. GİRİŞ</w:t>
      </w:r>
    </w:p>
    <w:p>
      <w:pPr>
        <w:spacing w:line="360" w:lineRule="exact" w:after="120"/>
        <w:ind w:firstLine="567"/>
        <w:jc w:val="both"/>
      </w:pPr>
      <w:r>
        <w:rPr>
          <w:rFonts w:ascii="Times New Roman" w:hAnsi="Times New Roman"/>
          <w:b w:val="0"/>
          <w:i w:val="0"/>
          <w:sz w:val="24"/>
        </w:rPr>
        <w:t>Sosyal medya platformlarının küresel kullanıcı kitlesini hızla büyütmesi ve bu platformların gündelik yaşamdaki yerini güçlendirmesiyle birlikte, dijital pazarlama faaliyetleri de köklü bir dönüşüm sürecine girmiştir. Geleneksel reklam mecralarının yerini giderek daha fazla sosyal medya iletişimi alırken, içerik üreticileri (influencer'lar) bu yeni reklamcılık düzeninin merkezinde konumlanmaktadır. TikTok özelinde bakıldığında, kısa video formatının hızlı tüketim yapısı ve algoritmik içerik keşif mekanizması, platformu markalar için stratejik bir iletişim kanalına dönüştürmüştür.</w:t>
      </w:r>
    </w:p>
    <w:p>
      <w:pPr>
        <w:spacing w:line="360" w:lineRule="exact" w:after="120"/>
        <w:ind w:firstLine="567"/>
        <w:jc w:val="both"/>
      </w:pPr>
      <w:r>
        <w:rPr>
          <w:rFonts w:ascii="Times New Roman" w:hAnsi="Times New Roman"/>
          <w:b w:val="0"/>
          <w:i w:val="0"/>
          <w:sz w:val="24"/>
        </w:rPr>
        <w:t>Influencer pazarlamasının büyümesiyle birlikte, içerik üreticisi seçim süreci de giderek daha kritik bir karar noktasına evrilmiştir. Küresel ölçekte influencer pazarlaması hacminin 2023 yılı itibarıyla 21 milyar doları aştığı tahmin edilmektedir [3]. Bu büyüme, aynı zamanda bütçe verimsizliği, yanlış hedef kitle eşleşmesi ve ölçümleme güçlükleri gibi sorunları beraberinde getirmektedir. Özellikle Türkiye ölçeğinde influencer seçimi çoğunlukla sezgisel değerlendirmelere, ajans ağlarına veya yalnızca takipçi sayısı gibi yüzeysel kriterlere dayandırılmaktadır.</w:t>
      </w:r>
    </w:p>
    <w:p>
      <w:pPr>
        <w:spacing w:line="360" w:lineRule="exact" w:after="120"/>
        <w:ind w:firstLine="567"/>
        <w:jc w:val="both"/>
      </w:pPr>
      <w:r>
        <w:rPr>
          <w:rFonts w:ascii="Times New Roman" w:hAnsi="Times New Roman"/>
          <w:b w:val="0"/>
          <w:i w:val="0"/>
          <w:sz w:val="24"/>
        </w:rPr>
        <w:t>Bu gerçeklik, projenin temel motivasyonunu oluşturmaktadır: influencer seçimini "veri temelli bir optimizasyon problemi" olarak yeniden tanımlamak. Çalışmanın birinci döneminde (ENM457), bu problemi çözmek için gereken veri altyapısı Selenium tabanlı web kazıma yöntemiyle oluşturulmuştur. TikTok'un Türkiye'de resmi API erişimine kapalı olması nedeniyle veriler herkese açık profil sayfalarından sistematik biçimde toplanmış; profil bilgileri, video bazlı etkileşim metrikleri ve içerik tanımlayıcıları (hashtag, biyografi, kategori) bir araya getirilmiştir.</w:t>
      </w:r>
    </w:p>
    <w:p>
      <w:pPr>
        <w:spacing w:line="360" w:lineRule="exact" w:after="120"/>
        <w:ind w:firstLine="567"/>
        <w:jc w:val="both"/>
      </w:pPr>
      <w:r>
        <w:rPr>
          <w:rFonts w:ascii="Times New Roman" w:hAnsi="Times New Roman"/>
          <w:b w:val="0"/>
          <w:i w:val="0"/>
          <w:sz w:val="24"/>
        </w:rPr>
        <w:t>Çalışmanın ikinci dönemi olan ENM458 kapsamında ise bu ham veriler işlenmiş, analitik bileşenlere dönüştürülmüş ve nihayet bir optimizasyon modeline entegre edilmiştir. Gurobi akademik lisansıyla çözülen 0-1 Tam Sayılı Doğrusal Programlama (ILP) modeli, markanın bütçe kısıtları ve stratejik tercihleri doğrultusunda en yüksek performanslı influencer portföyünü otomatik olarak belirlemektedir. Sistem, Streamlit çerçevesiyle geliştirilen interaktif bir karar destek arayüzüyle son kullanıcıya sunulmaktadır.</w:t>
      </w:r>
    </w:p>
    <w:p>
      <w:pPr>
        <w:spacing w:line="360" w:lineRule="exact" w:after="120"/>
        <w:ind w:firstLine="567"/>
        <w:jc w:val="both"/>
      </w:pPr>
      <w:r>
        <w:rPr>
          <w:rFonts w:ascii="Times New Roman" w:hAnsi="Times New Roman"/>
          <w:b w:val="0"/>
          <w:i w:val="0"/>
          <w:sz w:val="24"/>
        </w:rPr>
        <w:t>Bu rapor, ENM458 Ara Sınav Raporunu (1-6. haftalar) kapsamakta olup modelin dayandığı yöntemi, veri hazırlık sürecini ve gerçekleştirilen uygulamayı bütünleşik biçimde aktarmaktadır.</w:t>
      </w:r>
    </w:p>
    <w:p>
      <w:pPr>
        <w:pStyle w:val="Heading2"/>
      </w:pPr>
      <w:r>
        <w:rPr>
          <w:rFonts w:ascii="Times New Roman" w:hAnsi="Times New Roman"/>
          <w:b/>
          <w:color w:val="000000"/>
          <w:sz w:val="24"/>
        </w:rPr>
        <w:t>1.1. Literatür Taraması</w:t>
      </w:r>
    </w:p>
    <w:p>
      <w:pPr>
        <w:spacing w:line="360" w:lineRule="exact" w:after="120"/>
        <w:ind w:firstLine="567"/>
        <w:jc w:val="both"/>
      </w:pPr>
      <w:r>
        <w:rPr>
          <w:rFonts w:ascii="Times New Roman" w:hAnsi="Times New Roman"/>
          <w:b w:val="0"/>
          <w:i w:val="0"/>
          <w:sz w:val="24"/>
        </w:rPr>
        <w:t>Influencer pazarlaması, hem pazarlama hem de bilgisayar bilimi literatüründe giderek artan bir ilgi görmektedir. Johnson ve Alvarez [1], dijital içerik üreticilerinin markalar ile tüketiciler arasında güven temelli bir köprü kurduğunu ve geleneksel reklamcılıktan farklı bir etkileşim yapısı sunduğunu belirtmektedir. Kumar ve Lee [2] ise içerik üreticisi pazarlamasının kullanıcı etkileşimi ve içerik özgünlüğü üzerine kurulu yapısını incelemiştir.</w:t>
      </w:r>
    </w:p>
    <w:p>
      <w:pPr>
        <w:spacing w:line="360" w:lineRule="exact" w:after="120"/>
        <w:ind w:firstLine="567"/>
        <w:jc w:val="both"/>
      </w:pPr>
      <w:r>
        <w:rPr>
          <w:rFonts w:ascii="Times New Roman" w:hAnsi="Times New Roman"/>
          <w:b w:val="0"/>
          <w:i w:val="0"/>
          <w:sz w:val="24"/>
        </w:rPr>
        <w:t>Zhang ve Han [3], influencer pazarlamasının teorik temellerini, güncel eğilimlerini ve gelecekteki araştırma yönlerini kapsamlı biçimde ele almıştır. Sektörün 2023 itibarıyla 21 milyar dolara ulaştığını vurgulayan bu çalışma, alanın akademik açıdan olgunlaşmakta olduğuna işaret etmektedir. Andersson ve Bergström [4] ise influencer başarısının yalnızca takipçi sayısıyla ölçülemeyeceğini; içerik kalitesi ve etkileşim yapısının da belirleyici olduğunu ampirik bulgularla ortaya koymuştur.</w:t>
      </w:r>
    </w:p>
    <w:p>
      <w:pPr>
        <w:spacing w:line="360" w:lineRule="exact" w:after="120"/>
        <w:ind w:firstLine="567"/>
        <w:jc w:val="both"/>
      </w:pPr>
      <w:r>
        <w:rPr>
          <w:rFonts w:ascii="Times New Roman" w:hAnsi="Times New Roman"/>
          <w:b w:val="0"/>
          <w:i w:val="0"/>
          <w:sz w:val="24"/>
        </w:rPr>
        <w:t>Bütçe kısıtlı optimizasyon yaklaşımları açısından Kim ve Cho [10], influencer kampanyalarının matematiksel modelleme ile optimize edilebileceğini göstermiştir. López-Dawn ve Giovanidis [11] ise influencer seçimini bütçe kısıtlı bir portföy optimizasyon problemi olarak ele alarak sistematik bir çözüme kavuşturmuştur. Ancak bu çalışmaların büyük çoğunluğu Instagram veya YouTube gibi platformlara odaklanmakta; TikTok'un kendine özgü algoritmik yapısını ve Türkiye koşullarını yansıtmamaktadır.</w:t>
      </w:r>
    </w:p>
    <w:p>
      <w:pPr>
        <w:spacing w:line="360" w:lineRule="exact" w:after="120"/>
        <w:ind w:firstLine="567"/>
        <w:jc w:val="both"/>
      </w:pPr>
      <w:r>
        <w:rPr>
          <w:rFonts w:ascii="Times New Roman" w:hAnsi="Times New Roman"/>
          <w:b w:val="0"/>
          <w:i w:val="0"/>
          <w:sz w:val="24"/>
        </w:rPr>
        <w:t>De Veirman ve arkadaşları [5], yüksek takipçi sayısının her zaman yüksek reklam etkisi anlamına gelmediğini göstermiştir. Bu bulgu, projemizin takipçi sayısı yerine etkileşim kalitesini merkeze alan tasarımını doğrudan desteklemektedir. Lou ve Yuan [6], influencer mesajlarının algılanan değeri ve güvenilirliğinin tüketici güvenini doğrudan etkilediğini belirtmiştir. Saito ve Kobayashi [7], influencer maksimizasyon problemini matematiksel bir çerçeveye taşımış; Li ve Wang [9] ise büyük veri analitiği ve ağ tabanlı yöntemlerin influencer etkinliğini anlamakta önemli katkılar sunduğunu ortaya koymuştur.</w:t>
      </w:r>
    </w:p>
    <w:p>
      <w:pPr>
        <w:spacing w:line="360" w:lineRule="exact" w:after="120"/>
        <w:ind w:firstLine="567"/>
        <w:jc w:val="both"/>
      </w:pPr>
      <w:r>
        <w:rPr>
          <w:rFonts w:ascii="Times New Roman" w:hAnsi="Times New Roman"/>
          <w:b w:val="0"/>
          <w:i w:val="0"/>
          <w:sz w:val="24"/>
        </w:rPr>
        <w:t>Tüm bu literatür tarandığında, TikTok verisine dayalı, Türkiye koşullarına özgü ve gerçekçi iş kısıtlarını içeren bir optimizasyon modelinin henüz geliştirilmediği görülmektedir. Bu çalışma, tam da bu boşluğu hedef alarak özgün bir katkı sunmayı amaçlamaktadır.</w:t>
      </w:r>
    </w:p>
    <w:p>
      <w:pPr>
        <w:pStyle w:val="Heading2"/>
      </w:pPr>
      <w:r>
        <w:rPr>
          <w:rFonts w:ascii="Times New Roman" w:hAnsi="Times New Roman"/>
          <w:b/>
          <w:color w:val="000000"/>
          <w:sz w:val="24"/>
        </w:rPr>
        <w:t>1.2. Problemin Kısaca Tarifi</w:t>
      </w:r>
    </w:p>
    <w:p>
      <w:pPr>
        <w:spacing w:line="360" w:lineRule="exact" w:after="120"/>
        <w:ind w:firstLine="567"/>
        <w:jc w:val="both"/>
      </w:pPr>
      <w:r>
        <w:rPr>
          <w:rFonts w:ascii="Times New Roman" w:hAnsi="Times New Roman"/>
          <w:b w:val="0"/>
          <w:i w:val="0"/>
          <w:sz w:val="24"/>
        </w:rPr>
        <w:t>Projenin çözdüğü problem şu şekilde özetlenebilir: Bir marka, belirli bir bütçe dahilinde TikTok'ta reklam kampanyası yürütmek istemektedir. Bütçesini en verimli şekilde kullanarak maksimum reklam etkisi yaratacak influencer kombinasyonunu nasıl seçmelidir?</w:t>
      </w:r>
    </w:p>
    <w:p>
      <w:pPr>
        <w:spacing w:line="360" w:lineRule="exact" w:after="120"/>
        <w:ind w:firstLine="567"/>
        <w:jc w:val="both"/>
      </w:pPr>
      <w:r>
        <w:rPr>
          <w:rFonts w:ascii="Times New Roman" w:hAnsi="Times New Roman"/>
          <w:b w:val="0"/>
          <w:i w:val="0"/>
          <w:sz w:val="24"/>
        </w:rPr>
        <w:t>Bu problem birden fazla alt bileşeni içermektedir. Veri sorunu açısından, TikTok Türkiye'de resmi API erişimi sunmamaktadır. Bu nedenle influencer verileri özgün web kazıma araçlarıyla toplanmak zorundadır. Ölçüm sorunu açısından, bir influencer'ın "ne kadar iyi" olduğunu tek bir sayıyla ifade etmek mümkün değildir; bunu çözmek için çok kriterli bir değerlendirme skoru (MCDM skoru) geliştirilmiştir. Maliyet belirsizliği açısından, influencer fiyatları kamuya açık değildir; sektör benchmarkları ve takipçi kademeleri kullanılarak gerçekçi bir maliyet tahmin modeli oluşturulmuştur. Karar sorunu açısından, yüzlerce aday arasından bütçeye uygun, kategorileri dengeli, etkileşim kalitesi yüksek bir portföy oluşturmak NP-zor bir kombinatoryal optimizasyon problemidir; bu sorun 0-1 ILP modeliyle çözülmüştür. Son olarak kullanılabilirlik sorunu açısından, modelin uygulama değeri yaratması için teknik olmayan son kullanıcıların da erişebileceği bir arayüze ihtiyaç vardır; bu arayüz Streamlit ile geliştirilmiştir.</w:t>
      </w:r>
    </w:p>
    <w:p>
      <w:pPr>
        <w:spacing w:line="360" w:lineRule="exact" w:after="120"/>
        <w:ind w:firstLine="567"/>
        <w:jc w:val="both"/>
      </w:pPr>
      <w:r>
        <w:rPr>
          <w:rFonts w:ascii="Times New Roman" w:hAnsi="Times New Roman"/>
          <w:b w:val="0"/>
          <w:i w:val="0"/>
          <w:sz w:val="24"/>
        </w:rPr>
        <w:t>Problemin gerçekçi kısıtları incelendiğinde ekonomik, stratejik, itibar yönetimi ve risk yönetimi boyutları öne çıkmaktadır. Ekonomik açıdan reklam bütçesi sınırlıdır ve her influencer'ın maliyeti farklıdır. Stratejik açıdan marka, belirli kategorilerde mutlaka temsilci istemektedir. İtibar yönetimi açısından marka, bazı influencer'larla çalışmak istememektedir (kara liste). Risk yönetimi açısından ise tüm bütçenin tek bir hesaba verilmesi hem finansal hem de PR riski taşımaktadır (çeşitlilik kısıtı).</w:t>
      </w:r>
    </w:p>
    <w:p>
      <w:pPr>
        <w:pStyle w:val="Heading2"/>
      </w:pPr>
      <w:r>
        <w:rPr>
          <w:rFonts w:ascii="Times New Roman" w:hAnsi="Times New Roman"/>
          <w:b/>
          <w:color w:val="000000"/>
          <w:sz w:val="24"/>
        </w:rPr>
        <w:t>1.3. Projenin Girişimcilik ve Yenilikçilik Açısından Katkısı</w:t>
      </w:r>
    </w:p>
    <w:p>
      <w:pPr>
        <w:spacing w:line="360" w:lineRule="exact" w:after="120"/>
        <w:ind w:firstLine="567"/>
        <w:jc w:val="both"/>
      </w:pPr>
      <w:r>
        <w:rPr>
          <w:rFonts w:ascii="Times New Roman" w:hAnsi="Times New Roman"/>
          <w:b w:val="0"/>
          <w:i w:val="0"/>
          <w:sz w:val="24"/>
        </w:rPr>
        <w:t>Bu proje, salt akademik bir çalışmanın sınırlarını aşarak ticarileşme potansiyeli yüksek bir girişim prototipi sunmaktadır. Türkiye'deki dijital pazarlama ajanslarının büyük çoğunluğu, influencer seçimini spreadsheet'ler, kişisel bağlantılar ve sezgilerle yapmaktadır. Bu proje, söz konusu boşluğu dolduracak, matematiksel altyapıya dayanan, ölçeklenebilir ve yeniden kullanılabilir bir karar destek aracı sunmaktadır.</w:t>
      </w:r>
    </w:p>
    <w:p>
      <w:pPr>
        <w:spacing w:line="360" w:lineRule="exact" w:after="120"/>
        <w:ind w:firstLine="567"/>
        <w:jc w:val="both"/>
      </w:pPr>
      <w:r>
        <w:rPr>
          <w:rFonts w:ascii="Times New Roman" w:hAnsi="Times New Roman"/>
          <w:b w:val="0"/>
          <w:i w:val="0"/>
          <w:sz w:val="24"/>
        </w:rPr>
        <w:t>Geliştirilen Streamlit arayüzü, aylık abonelik modeliyle (B2B SaaS) dijital ajanslar ve markalara sunulabilecek bir minimum uygulanabilir ürün (MVP) niteliği taşımaktadır. Kullanıcı, bütçesini ve tercihlerini girerek saniyeler içinde optimize edilmiş bir influencer listesi alabilmektedir. Yenilikçi unsurlar arasında Türkiye'de TikTok verisine dayalı ilk optimizasyon modeli olma özelliği, API erişimi gerektirmeyen web kazıma tabanlı özgün veri toplama altyapısı, takipçi sayısı yerine etkileşim kalitesini ön plana alan MCDM skorlama sistemi ve gerçek zamanlı senaryo simülasyonu sayılabilir. Proje, Endüstri Mühendisliği, Bilgisayar Mühendisliği ve İşletme disiplinlerini başarıyla entegre eden multidisipliner bir yapıya sahiptir.</w:t>
      </w:r>
    </w:p>
    <w:p>
      <w:pPr>
        <w:pStyle w:val="Heading2"/>
      </w:pPr>
      <w:r>
        <w:rPr>
          <w:rFonts w:ascii="Times New Roman" w:hAnsi="Times New Roman"/>
          <w:b/>
          <w:color w:val="000000"/>
          <w:sz w:val="24"/>
        </w:rPr>
        <w:t>1.4. Projenin BM Sürdürülebilir Kalkınma Amaçları Kapsamında Etkileri</w:t>
      </w:r>
    </w:p>
    <w:p>
      <w:pPr>
        <w:spacing w:line="360" w:lineRule="exact" w:after="120"/>
        <w:ind w:firstLine="567"/>
        <w:jc w:val="both"/>
      </w:pPr>
      <w:r>
        <w:rPr>
          <w:rFonts w:ascii="Times New Roman" w:hAnsi="Times New Roman"/>
          <w:b w:val="0"/>
          <w:i w:val="0"/>
          <w:sz w:val="24"/>
        </w:rPr>
        <w:t>SKA 8 — İnsana Yakışır İş ve Ekonomik Büyüme kapsamında değerlendirildiğinde, dijital reklam dünyasındaki mevcut yapıda reklam harcamalarının büyük bölümü "Mega" düzeydeki (1 milyondan fazla takipçili) içerik üreticilerinde yoğunlaşmaktadır. Bu durum, organik etkileşim oranları yüksek ancak henüz tanınmamış "Nano" (0-10 bin takipçi) ve "Micro" (10 bin - 100 bin takipçi) düzeydeki yaratıcıların ekosistemin dışında kalmasına neden olmaktadır. Geliştirilen optimizasyon modeli, maliyet etkinliği kriterini sisteme dahil ederek bu dengesizliği düzeltmektedir. Yüksek etkileşim kalitesine sahip küçük ölçekli içerik üreticileri çok boyutlu bir değerlendirmeden geçirildiğinde algoritma tarafından öne çıkarılabilmekte; KOBİ'ler ve yerel markalar da uygun maliyetli ama etkili işbirliği yapma imkânı bulmaktadır.</w:t>
      </w:r>
    </w:p>
    <w:p>
      <w:pPr>
        <w:spacing w:line="360" w:lineRule="exact" w:after="120"/>
        <w:ind w:firstLine="567"/>
        <w:jc w:val="both"/>
      </w:pPr>
      <w:r>
        <w:rPr>
          <w:rFonts w:ascii="Times New Roman" w:hAnsi="Times New Roman"/>
          <w:b w:val="0"/>
          <w:i w:val="0"/>
          <w:sz w:val="24"/>
        </w:rPr>
        <w:t>SKA 12 — Sorumlu Üretim ve Tüketim kapsamında değerlendirildiğinde, dijital reklam bütçelerinin sezgisel kararlar veya tekil metriklerle tahsis edilmesi kaynakların israfına ve başarısız kampanyaların tekrarlanmasına yol açmaktadır. Bu proje, her harcanan reklam lirasının matematiksel hesap görmeyi zorunlu kılan bir sistem kurmaktadır. MCDM skoru, bütçe kullanım oranı ve seçim gerekçeleri şeffaf ve sayısal biçimde sunulmakta; sorumlu tüketim teşvik edilmekte ve dijital reklam sektöründe sürdürülebilir bir karar verme kültürünün yerleşmesine katkı sağlanmaktadır.</w:t>
      </w:r>
    </w:p>
    <w:p>
      <w:r>
        <w:br w:type="page"/>
      </w:r>
    </w:p>
    <w:p>
      <w:pPr>
        <w:pStyle w:val="Heading1"/>
      </w:pPr>
      <w:r>
        <w:rPr>
          <w:rFonts w:ascii="Times New Roman" w:hAnsi="Times New Roman"/>
          <w:b/>
          <w:color w:val="000000"/>
          <w:sz w:val="24"/>
        </w:rPr>
        <w:t>2. TAM SAYILI DOĞRUSAL PROGRAMLAMA YÖNTEMİ</w:t>
      </w:r>
    </w:p>
    <w:p>
      <w:pPr>
        <w:spacing w:line="360" w:lineRule="exact" w:after="120"/>
        <w:ind w:firstLine="567"/>
        <w:jc w:val="both"/>
      </w:pPr>
      <w:r>
        <w:rPr>
          <w:rFonts w:ascii="Times New Roman" w:hAnsi="Times New Roman"/>
          <w:b w:val="0"/>
          <w:i w:val="0"/>
          <w:sz w:val="24"/>
        </w:rPr>
        <w:t>Tam Sayılı Doğrusal Programlama (Integer Linear Programming — ILP), karar değişkenlerinin tamsayı (tam sayı veya ikili 0-1) değerler almasını zorunlu kılan doğrusal optimizasyon problemlerinin çözümüne yönelik geliştirilmiş bir yöntemdir. ILP modelleri, hem amaç fonksiyonu hem de kısıtlar bakımından doğrusal ilişkiler içerdiğinden sistematik çözüm algoritmalarına elverişlidir [10, 11].</w:t>
      </w:r>
    </w:p>
    <w:p>
      <w:pPr>
        <w:spacing w:line="360" w:lineRule="exact" w:after="120"/>
        <w:ind w:firstLine="567"/>
        <w:jc w:val="both"/>
      </w:pPr>
      <w:r>
        <w:rPr>
          <w:rFonts w:ascii="Times New Roman" w:hAnsi="Times New Roman"/>
          <w:b w:val="0"/>
          <w:i w:val="0"/>
          <w:sz w:val="24"/>
        </w:rPr>
        <w:t>Influencer seçim problemi, doğası gereği ikili bir karar yapısına sahiptir: bir influencer ya seçilir (xᵢ = 1) ya da seçilmez (xᵢ = 0). Bu yapı, problemi doğrudan 0-1 ILP'ye dönüştürmektedir. Sürekli çözüm yöntemlerine (LP relaxation) kıyasla ILP, gerçekçi ve uygulanabilir portföyler üretmesi bakımından üstündür. Kim ve Cho [10] ile López-Dawn ve Giovanidis [11], benzer yapıdaki influencer seçim problemlerini matematiksel programlama yöntemiyle çözmenin kampanya etkinliğini anlamlı biçimde artırdığını göstermiştir.</w:t>
      </w:r>
    </w:p>
    <w:p>
      <w:pPr>
        <w:spacing w:line="360" w:lineRule="exact" w:after="120"/>
        <w:ind w:firstLine="567"/>
        <w:jc w:val="both"/>
      </w:pPr>
      <w:r>
        <w:rPr>
          <w:rFonts w:ascii="Times New Roman" w:hAnsi="Times New Roman"/>
          <w:b w:val="0"/>
          <w:i w:val="0"/>
          <w:sz w:val="24"/>
        </w:rPr>
        <w:t>Gurobi Solver, endüstriyel ölçekli optimizasyon problemleri için geliştirilmiş, akademik ve ticari kullanımda yaygın bir matematiksel programlama çözücüsüdür. Dal-ve-sınır (Branch-and-Bound) algoritması temelinde çalışan Gurobi, LP gevşemesi aracılığıyla tamsayılı çözümler için üst sınır hesaplamakta; ardından kural tabanlı dallara ayırma stratejileriyle arama alanını daraltmaktadır. Çoklu iş parçacığı (Threads=4) ve agresif ön-çözme (Presolve=2) parametreleriyle yapılandırılan model, birkaç yüz değişken içeren influencer problemlerini genellikle saniyeler içinde optimal ya da yakın-optimal biçimde çözmektedir.</w:t>
      </w:r>
    </w:p>
    <w:p>
      <w:pPr>
        <w:spacing w:line="360" w:lineRule="exact" w:after="120"/>
        <w:ind w:firstLine="567"/>
        <w:jc w:val="both"/>
      </w:pPr>
      <w:r>
        <w:rPr>
          <w:rFonts w:ascii="Times New Roman" w:hAnsi="Times New Roman"/>
          <w:b w:val="0"/>
          <w:i w:val="0"/>
          <w:sz w:val="24"/>
        </w:rPr>
        <w:t>ILP modeli, belirlenen kısıtlar ve hedef fonksiyonu çerçevesinde matematiksel olarak optimal çözüm sunmaktadır. Ancak bu optimallik, modele yansıtılan varsayımlara bağımlıdır. Maliyet tahmin modeli gerçek fiyatların bir yaklaşımıdır; MCDM skoru geçmiş veri üzerinden türetilmiş olup gelecek performansı kesin olarak öngöremez. Bu sınırlılıklar, modelin bir ön eleme ve karar destek aracı olarak konumlandırılmasını ve uzman insan değerlendirmesiyle desteklenmesini gerektirmektedir.</w:t>
      </w:r>
    </w:p>
    <w:p>
      <w:r>
        <w:br w:type="page"/>
      </w:r>
    </w:p>
    <w:p>
      <w:pPr>
        <w:pStyle w:val="Heading1"/>
      </w:pPr>
      <w:r>
        <w:rPr>
          <w:rFonts w:ascii="Times New Roman" w:hAnsi="Times New Roman"/>
          <w:b/>
          <w:color w:val="000000"/>
          <w:sz w:val="24"/>
        </w:rPr>
        <w:t>3. UYGULANMASI: TİKTOK VERİSİYLE ILP MODELİNİN GELİŞTİRİLMESİ</w:t>
      </w:r>
    </w:p>
    <w:p>
      <w:pPr>
        <w:pStyle w:val="Heading2"/>
      </w:pPr>
      <w:r>
        <w:rPr>
          <w:rFonts w:ascii="Times New Roman" w:hAnsi="Times New Roman"/>
          <w:b/>
          <w:color w:val="000000"/>
          <w:sz w:val="24"/>
        </w:rPr>
        <w:t>3.1. Sistem ve Problem Hakkında Genel Bilgiler</w:t>
      </w:r>
    </w:p>
    <w:p>
      <w:pPr>
        <w:spacing w:line="360" w:lineRule="exact" w:after="120"/>
        <w:ind w:firstLine="567"/>
        <w:jc w:val="both"/>
      </w:pPr>
      <w:r>
        <w:rPr>
          <w:rFonts w:ascii="Times New Roman" w:hAnsi="Times New Roman"/>
          <w:b w:val="0"/>
          <w:i w:val="0"/>
          <w:sz w:val="24"/>
        </w:rPr>
        <w:t>Çalışma, TikTok platformunda marka iş birliği yapacak influencer'ların seçimini konu almaktadır. Türkiye'de 20 milyonu aşkın aktif TikTok kullanıcısı bulunmakla birlikte, platform Türkiye için resmi API erişimi sunmamaktadır. Bu durum, veri toplama sürecini doğrudan etkilemekte ve özgün mühendislik çözümleri gerektirmektedir.</w:t>
      </w:r>
    </w:p>
    <w:p>
      <w:pPr>
        <w:spacing w:line="360" w:lineRule="exact" w:after="120"/>
        <w:ind w:firstLine="567"/>
        <w:jc w:val="both"/>
      </w:pPr>
      <w:r>
        <w:rPr>
          <w:rFonts w:ascii="Times New Roman" w:hAnsi="Times New Roman"/>
          <w:b w:val="0"/>
          <w:i w:val="0"/>
          <w:sz w:val="24"/>
        </w:rPr>
        <w:t>Birinci dönemde (ENM457) yürütülen web kazıma süreci aracılığıyla Türkiye'deki çeşitli kategorilerde faaliyet gösteren içerik üreticilerine ait profil ve video verileri toplanmıştır. Elde edilen veri seti; kullanıcı adı, takipçi sayısı, toplam beğeni, video sayısı ve video bazlı etkileşim metrikleri ile kategori bilgilerini kapsamaktadır. İçerik üreticileri; Güzellik ve Bakım, Moda ve Stil, Teknoloji ve Dijital, Yiyecek ve Yemek, Komedi ve Eğlence, Spor ve Sağlık, Seyahat ve Yaşam, Eğitim ve Bilgi, Müzik ve Performans ile Oyun kategorileri altında sınıflandırılmıştır.</w:t>
      </w:r>
    </w:p>
    <w:p>
      <w:pPr>
        <w:pStyle w:val="Heading2"/>
      </w:pPr>
      <w:r>
        <w:rPr>
          <w:rFonts w:ascii="Times New Roman" w:hAnsi="Times New Roman"/>
          <w:b/>
          <w:color w:val="000000"/>
          <w:sz w:val="24"/>
        </w:rPr>
        <w:t>3.2. Veri Setinin İkinci Döneme Hazırlanması: Analitik Dönüşüm Adımları</w:t>
      </w:r>
    </w:p>
    <w:p>
      <w:pPr>
        <w:spacing w:line="360" w:lineRule="exact" w:after="120"/>
        <w:ind w:firstLine="567"/>
        <w:jc w:val="both"/>
      </w:pPr>
      <w:r>
        <w:rPr>
          <w:rFonts w:ascii="Times New Roman" w:hAnsi="Times New Roman"/>
          <w:b w:val="0"/>
          <w:i w:val="0"/>
          <w:sz w:val="24"/>
        </w:rPr>
        <w:t>Ham veri doğrudan optimizasyon modeline aktarılamaz. Bu nedenle birinci dönemde toplanan veriler, ikinci dönemde bir dizi analitik dönüşüm adımından geçirilmiştir.</w:t>
      </w:r>
    </w:p>
    <w:p>
      <w:pPr>
        <w:pStyle w:val="Heading3"/>
      </w:pPr>
      <w:r>
        <w:rPr>
          <w:rFonts w:ascii="Times New Roman" w:hAnsi="Times New Roman"/>
          <w:b/>
          <w:color w:val="000000"/>
          <w:sz w:val="24"/>
        </w:rPr>
        <w:t>3.2.1. Etkileşim Vekili (Engagement Proxy) Hesaplanması</w:t>
      </w:r>
    </w:p>
    <w:p>
      <w:pPr>
        <w:spacing w:line="360" w:lineRule="exact" w:after="120"/>
        <w:ind w:firstLine="567"/>
        <w:jc w:val="both"/>
      </w:pPr>
      <w:r>
        <w:rPr>
          <w:rFonts w:ascii="Times New Roman" w:hAnsi="Times New Roman"/>
          <w:b w:val="0"/>
          <w:i w:val="0"/>
          <w:sz w:val="24"/>
        </w:rPr>
        <w:t>Yalnızca takipçi sayısına dayalı değerlendirmeler yanıltıcı olabilmektedir. Büyük kitleye ulaşabilen ancak düşük etkileşim oranına sahip hesaplar, marka iletişimi açısından sınırlı değer üretmektedir. Bu gerçekten yola çıkılarak, her içerik üreticisi için iki bileşenli bir Etkileşim Vekili skoru türetilmiştir.</w:t>
      </w:r>
    </w:p>
    <w:p>
      <w:pPr>
        <w:spacing w:line="360" w:lineRule="exact" w:after="120"/>
        <w:ind w:firstLine="567"/>
        <w:jc w:val="both"/>
      </w:pPr>
      <w:r>
        <w:rPr>
          <w:rFonts w:ascii="Times New Roman" w:hAnsi="Times New Roman"/>
          <w:b w:val="0"/>
          <w:i w:val="0"/>
          <w:sz w:val="24"/>
        </w:rPr>
        <w:t>Bileşen 1 — Takipçi Başına Beğeni Oranı: Her içerik üreticisinin video başına ortalama beğeni sayısı, takipçi sayısına bölünerek hesaplanmıştır (like_per_follower = avg_video_likes / followers). Bileşen 2 — Ortalama Video Beğeni Logaritması: Geniş ölçekli değer farklılıklarını düzenlemek için ortalama video beğenisinin doğal logaritması alınmıştır (log_avg_likes = ln(1 + avg_video_likes)).</w:t>
      </w:r>
    </w:p>
    <w:p>
      <w:pPr>
        <w:spacing w:line="360" w:lineRule="exact" w:after="120"/>
        <w:ind w:firstLine="567"/>
        <w:jc w:val="both"/>
      </w:pPr>
      <w:r>
        <w:rPr>
          <w:rFonts w:ascii="Times New Roman" w:hAnsi="Times New Roman"/>
          <w:b w:val="0"/>
          <w:i w:val="0"/>
          <w:sz w:val="24"/>
        </w:rPr>
        <w:t>Etkileşim Vekili (Normalize Edilmiş): Engagement Proxy = 0.60 × MinMax(like_per_follower) + 0.40 × MinMax(log_avg_likes). %60 ağırlık, organik sadık kitleye sahip küçük üreticilerin adaletli biçimde temsil edilmesini sağlarken; %40 ağırlık, mutlak büyüklük avantajını da değerlendirmeye katmaktadır.</w:t>
      </w:r>
    </w:p>
    <w:p>
      <w:pPr>
        <w:pStyle w:val="Heading3"/>
      </w:pPr>
      <w:r>
        <w:rPr>
          <w:rFonts w:ascii="Times New Roman" w:hAnsi="Times New Roman"/>
          <w:b/>
          <w:color w:val="000000"/>
          <w:sz w:val="24"/>
        </w:rPr>
        <w:t>3.2.2. Tahmini Maliyet Modeli (Cost Estimation Model)</w:t>
      </w:r>
    </w:p>
    <w:p>
      <w:pPr>
        <w:spacing w:line="360" w:lineRule="exact" w:after="120"/>
        <w:ind w:firstLine="567"/>
        <w:jc w:val="both"/>
      </w:pPr>
      <w:r>
        <w:rPr>
          <w:rFonts w:ascii="Times New Roman" w:hAnsi="Times New Roman"/>
          <w:b w:val="0"/>
          <w:i w:val="0"/>
          <w:sz w:val="24"/>
        </w:rPr>
        <w:t>TikTok işbirliği ücretleri kamuya açık değildir. Sektör benchmarkları ve akademik kaynaklara dayanan kademeli (tier-based) bir maliyet modeli geliştirilmiştir. Temel maliyet formülü şu şekilde işletilmektedir: Maliyet = (Taban Ücret + Takipçi/1000 × Artış Oranı) × Kategori Çarpanı.</w:t>
      </w:r>
    </w:p>
    <w:p>
      <w:pPr>
        <w:spacing w:before="120" w:after="60"/>
        <w:ind w:firstLine="0"/>
        <w:jc w:val="left"/>
      </w:pPr>
      <w:r>
        <w:rPr>
          <w:rFonts w:ascii="Times New Roman" w:hAnsi="Times New Roman"/>
          <w:b/>
          <w:sz w:val="20"/>
        </w:rPr>
        <w:t>Tablo 3.1. Takipçi Bazlı Kademeli Maliyet Modeli</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D9D9"/>
          </w:tcPr>
          <w:p>
            <w:pPr>
              <w:jc w:val="left"/>
            </w:pPr>
            <w:r/>
            <w:r>
              <w:rPr>
                <w:rFonts w:ascii="Times New Roman" w:hAnsi="Times New Roman"/>
                <w:b/>
                <w:sz w:val="20"/>
              </w:rPr>
              <w:t>Kademe (Tier)</w:t>
            </w:r>
          </w:p>
        </w:tc>
        <w:tc>
          <w:tcPr>
            <w:tcW w:type="dxa" w:w="2126"/>
            <w:shd w:val="clear" w:color="auto" w:fill="D9D9D9"/>
          </w:tcPr>
          <w:p>
            <w:pPr>
              <w:jc w:val="left"/>
            </w:pPr>
            <w:r/>
            <w:r>
              <w:rPr>
                <w:rFonts w:ascii="Times New Roman" w:hAnsi="Times New Roman"/>
                <w:b/>
                <w:sz w:val="20"/>
              </w:rPr>
              <w:t>Takipçi Aralığı</w:t>
            </w:r>
          </w:p>
        </w:tc>
        <w:tc>
          <w:tcPr>
            <w:tcW w:type="dxa" w:w="2126"/>
            <w:shd w:val="clear" w:color="auto" w:fill="D9D9D9"/>
          </w:tcPr>
          <w:p>
            <w:pPr>
              <w:jc w:val="left"/>
            </w:pPr>
            <w:r/>
            <w:r>
              <w:rPr>
                <w:rFonts w:ascii="Times New Roman" w:hAnsi="Times New Roman"/>
                <w:b/>
                <w:sz w:val="20"/>
              </w:rPr>
              <w:t>Taban Ücret (TL)</w:t>
            </w:r>
          </w:p>
        </w:tc>
        <w:tc>
          <w:tcPr>
            <w:tcW w:type="dxa" w:w="2126"/>
            <w:shd w:val="clear" w:color="auto" w:fill="D9D9D9"/>
          </w:tcPr>
          <w:p>
            <w:pPr>
              <w:jc w:val="left"/>
            </w:pPr>
            <w:r/>
            <w:r>
              <w:rPr>
                <w:rFonts w:ascii="Times New Roman" w:hAnsi="Times New Roman"/>
                <w:b/>
                <w:sz w:val="20"/>
              </w:rPr>
              <w:t>Artış Oranı (TL / 1K)</w:t>
            </w:r>
          </w:p>
        </w:tc>
      </w:tr>
      <w:tr>
        <w:tc>
          <w:tcPr>
            <w:tcW w:type="dxa" w:w="2126"/>
          </w:tcPr>
          <w:p>
            <w:pPr>
              <w:jc w:val="left"/>
            </w:pPr>
            <w:r/>
            <w:r>
              <w:rPr>
                <w:rFonts w:ascii="Times New Roman" w:hAnsi="Times New Roman"/>
                <w:b w:val="0"/>
                <w:sz w:val="20"/>
              </w:rPr>
              <w:t>Nano</w:t>
            </w:r>
          </w:p>
        </w:tc>
        <w:tc>
          <w:tcPr>
            <w:tcW w:type="dxa" w:w="2126"/>
          </w:tcPr>
          <w:p>
            <w:pPr>
              <w:jc w:val="left"/>
            </w:pPr>
            <w:r/>
            <w:r>
              <w:rPr>
                <w:rFonts w:ascii="Times New Roman" w:hAnsi="Times New Roman"/>
                <w:b w:val="0"/>
                <w:sz w:val="20"/>
              </w:rPr>
              <w:t>0 – 10.000</w:t>
            </w:r>
          </w:p>
        </w:tc>
        <w:tc>
          <w:tcPr>
            <w:tcW w:type="dxa" w:w="2126"/>
          </w:tcPr>
          <w:p>
            <w:pPr>
              <w:jc w:val="left"/>
            </w:pPr>
            <w:r/>
            <w:r>
              <w:rPr>
                <w:rFonts w:ascii="Times New Roman" w:hAnsi="Times New Roman"/>
                <w:b w:val="0"/>
                <w:sz w:val="20"/>
              </w:rPr>
              <w:t>1.500</w:t>
            </w:r>
          </w:p>
        </w:tc>
        <w:tc>
          <w:tcPr>
            <w:tcW w:type="dxa" w:w="2126"/>
          </w:tcPr>
          <w:p>
            <w:pPr>
              <w:jc w:val="left"/>
            </w:pPr>
            <w:r/>
            <w:r>
              <w:rPr>
                <w:rFonts w:ascii="Times New Roman" w:hAnsi="Times New Roman"/>
                <w:b w:val="0"/>
                <w:sz w:val="20"/>
              </w:rPr>
              <w:t>150</w:t>
            </w:r>
          </w:p>
        </w:tc>
      </w:tr>
      <w:tr>
        <w:tc>
          <w:tcPr>
            <w:tcW w:type="dxa" w:w="2126"/>
          </w:tcPr>
          <w:p>
            <w:pPr>
              <w:jc w:val="left"/>
            </w:pPr>
            <w:r/>
            <w:r>
              <w:rPr>
                <w:rFonts w:ascii="Times New Roman" w:hAnsi="Times New Roman"/>
                <w:b w:val="0"/>
                <w:sz w:val="20"/>
              </w:rPr>
              <w:t>Micro</w:t>
            </w:r>
          </w:p>
        </w:tc>
        <w:tc>
          <w:tcPr>
            <w:tcW w:type="dxa" w:w="2126"/>
          </w:tcPr>
          <w:p>
            <w:pPr>
              <w:jc w:val="left"/>
            </w:pPr>
            <w:r/>
            <w:r>
              <w:rPr>
                <w:rFonts w:ascii="Times New Roman" w:hAnsi="Times New Roman"/>
                <w:b w:val="0"/>
                <w:sz w:val="20"/>
              </w:rPr>
              <w:t>10.000 – 100.000</w:t>
            </w:r>
          </w:p>
        </w:tc>
        <w:tc>
          <w:tcPr>
            <w:tcW w:type="dxa" w:w="2126"/>
          </w:tcPr>
          <w:p>
            <w:pPr>
              <w:jc w:val="left"/>
            </w:pPr>
            <w:r/>
            <w:r>
              <w:rPr>
                <w:rFonts w:ascii="Times New Roman" w:hAnsi="Times New Roman"/>
                <w:b w:val="0"/>
                <w:sz w:val="20"/>
              </w:rPr>
              <w:t>8.000</w:t>
            </w:r>
          </w:p>
        </w:tc>
        <w:tc>
          <w:tcPr>
            <w:tcW w:type="dxa" w:w="2126"/>
          </w:tcPr>
          <w:p>
            <w:pPr>
              <w:jc w:val="left"/>
            </w:pPr>
            <w:r/>
            <w:r>
              <w:rPr>
                <w:rFonts w:ascii="Times New Roman" w:hAnsi="Times New Roman"/>
                <w:b w:val="0"/>
                <w:sz w:val="20"/>
              </w:rPr>
              <w:t>80</w:t>
            </w:r>
          </w:p>
        </w:tc>
      </w:tr>
      <w:tr>
        <w:tc>
          <w:tcPr>
            <w:tcW w:type="dxa" w:w="2126"/>
          </w:tcPr>
          <w:p>
            <w:pPr>
              <w:jc w:val="left"/>
            </w:pPr>
            <w:r/>
            <w:r>
              <w:rPr>
                <w:rFonts w:ascii="Times New Roman" w:hAnsi="Times New Roman"/>
                <w:b w:val="0"/>
                <w:sz w:val="20"/>
              </w:rPr>
              <w:t>Mid</w:t>
            </w:r>
          </w:p>
        </w:tc>
        <w:tc>
          <w:tcPr>
            <w:tcW w:type="dxa" w:w="2126"/>
          </w:tcPr>
          <w:p>
            <w:pPr>
              <w:jc w:val="left"/>
            </w:pPr>
            <w:r/>
            <w:r>
              <w:rPr>
                <w:rFonts w:ascii="Times New Roman" w:hAnsi="Times New Roman"/>
                <w:b w:val="0"/>
                <w:sz w:val="20"/>
              </w:rPr>
              <w:t>100.000 – 500.000</w:t>
            </w:r>
          </w:p>
        </w:tc>
        <w:tc>
          <w:tcPr>
            <w:tcW w:type="dxa" w:w="2126"/>
          </w:tcPr>
          <w:p>
            <w:pPr>
              <w:jc w:val="left"/>
            </w:pPr>
            <w:r/>
            <w:r>
              <w:rPr>
                <w:rFonts w:ascii="Times New Roman" w:hAnsi="Times New Roman"/>
                <w:b w:val="0"/>
                <w:sz w:val="20"/>
              </w:rPr>
              <w:t>35.000</w:t>
            </w:r>
          </w:p>
        </w:tc>
        <w:tc>
          <w:tcPr>
            <w:tcW w:type="dxa" w:w="2126"/>
          </w:tcPr>
          <w:p>
            <w:pPr>
              <w:jc w:val="left"/>
            </w:pPr>
            <w:r/>
            <w:r>
              <w:rPr>
                <w:rFonts w:ascii="Times New Roman" w:hAnsi="Times New Roman"/>
                <w:b w:val="0"/>
                <w:sz w:val="20"/>
              </w:rPr>
              <w:t>35</w:t>
            </w:r>
          </w:p>
        </w:tc>
      </w:tr>
      <w:tr>
        <w:tc>
          <w:tcPr>
            <w:tcW w:type="dxa" w:w="2126"/>
          </w:tcPr>
          <w:p>
            <w:pPr>
              <w:jc w:val="left"/>
            </w:pPr>
            <w:r/>
            <w:r>
              <w:rPr>
                <w:rFonts w:ascii="Times New Roman" w:hAnsi="Times New Roman"/>
                <w:b w:val="0"/>
                <w:sz w:val="20"/>
              </w:rPr>
              <w:t>Macro</w:t>
            </w:r>
          </w:p>
        </w:tc>
        <w:tc>
          <w:tcPr>
            <w:tcW w:type="dxa" w:w="2126"/>
          </w:tcPr>
          <w:p>
            <w:pPr>
              <w:jc w:val="left"/>
            </w:pPr>
            <w:r/>
            <w:r>
              <w:rPr>
                <w:rFonts w:ascii="Times New Roman" w:hAnsi="Times New Roman"/>
                <w:b w:val="0"/>
                <w:sz w:val="20"/>
              </w:rPr>
              <w:t>500.000 – 1.000.000</w:t>
            </w:r>
          </w:p>
        </w:tc>
        <w:tc>
          <w:tcPr>
            <w:tcW w:type="dxa" w:w="2126"/>
          </w:tcPr>
          <w:p>
            <w:pPr>
              <w:jc w:val="left"/>
            </w:pPr>
            <w:r/>
            <w:r>
              <w:rPr>
                <w:rFonts w:ascii="Times New Roman" w:hAnsi="Times New Roman"/>
                <w:b w:val="0"/>
                <w:sz w:val="20"/>
              </w:rPr>
              <w:t>90.000</w:t>
            </w:r>
          </w:p>
        </w:tc>
        <w:tc>
          <w:tcPr>
            <w:tcW w:type="dxa" w:w="2126"/>
          </w:tcPr>
          <w:p>
            <w:pPr>
              <w:jc w:val="left"/>
            </w:pPr>
            <w:r/>
            <w:r>
              <w:rPr>
                <w:rFonts w:ascii="Times New Roman" w:hAnsi="Times New Roman"/>
                <w:b w:val="0"/>
                <w:sz w:val="20"/>
              </w:rPr>
              <w:t>20</w:t>
            </w:r>
          </w:p>
        </w:tc>
      </w:tr>
      <w:tr>
        <w:tc>
          <w:tcPr>
            <w:tcW w:type="dxa" w:w="2126"/>
          </w:tcPr>
          <w:p>
            <w:pPr>
              <w:jc w:val="left"/>
            </w:pPr>
            <w:r/>
            <w:r>
              <w:rPr>
                <w:rFonts w:ascii="Times New Roman" w:hAnsi="Times New Roman"/>
                <w:b w:val="0"/>
                <w:sz w:val="20"/>
              </w:rPr>
              <w:t>Mega</w:t>
            </w:r>
          </w:p>
        </w:tc>
        <w:tc>
          <w:tcPr>
            <w:tcW w:type="dxa" w:w="2126"/>
          </w:tcPr>
          <w:p>
            <w:pPr>
              <w:jc w:val="left"/>
            </w:pPr>
            <w:r/>
            <w:r>
              <w:rPr>
                <w:rFonts w:ascii="Times New Roman" w:hAnsi="Times New Roman"/>
                <w:b w:val="0"/>
                <w:sz w:val="20"/>
              </w:rPr>
              <w:t>1.000.000+</w:t>
            </w:r>
          </w:p>
        </w:tc>
        <w:tc>
          <w:tcPr>
            <w:tcW w:type="dxa" w:w="2126"/>
          </w:tcPr>
          <w:p>
            <w:pPr>
              <w:jc w:val="left"/>
            </w:pPr>
            <w:r/>
            <w:r>
              <w:rPr>
                <w:rFonts w:ascii="Times New Roman" w:hAnsi="Times New Roman"/>
                <w:b w:val="0"/>
                <w:sz w:val="20"/>
              </w:rPr>
              <w:t>200.000</w:t>
            </w:r>
          </w:p>
        </w:tc>
        <w:tc>
          <w:tcPr>
            <w:tcW w:type="dxa" w:w="2126"/>
          </w:tcPr>
          <w:p>
            <w:pPr>
              <w:jc w:val="left"/>
            </w:pPr>
            <w:r/>
            <w:r>
              <w:rPr>
                <w:rFonts w:ascii="Times New Roman" w:hAnsi="Times New Roman"/>
                <w:b w:val="0"/>
                <w:sz w:val="20"/>
              </w:rPr>
              <w:t>8</w:t>
            </w:r>
          </w:p>
        </w:tc>
      </w:tr>
    </w:tbl>
    <w:p/>
    <w:p>
      <w:pPr>
        <w:spacing w:line="360" w:lineRule="exact" w:after="120"/>
        <w:ind w:firstLine="567"/>
        <w:jc w:val="both"/>
      </w:pPr>
      <w:r>
        <w:rPr>
          <w:rFonts w:ascii="Times New Roman" w:hAnsi="Times New Roman"/>
          <w:b w:val="0"/>
          <w:i w:val="0"/>
          <w:sz w:val="24"/>
        </w:rPr>
        <w:t>Kategori maliyet çarpanları, içerik üreticilerinin faaliyet gösterdiği sektöre göre taban maliyetin üzerine eklenmektedir. Bu yapı, farklı kategorilerdeki arz-talep dengesini ve markaların ödeme eğilimlerini modele yansıtmaktadır.</w:t>
      </w:r>
    </w:p>
    <w:p>
      <w:pPr>
        <w:spacing w:before="120" w:after="60"/>
        <w:ind w:firstLine="0"/>
        <w:jc w:val="left"/>
      </w:pPr>
      <w:r>
        <w:rPr>
          <w:rFonts w:ascii="Times New Roman" w:hAnsi="Times New Roman"/>
          <w:b/>
          <w:sz w:val="20"/>
        </w:rPr>
        <w:t>Tablo 3.2. Kategori Maliyet Çarpanları</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D9D9"/>
          </w:tcPr>
          <w:p>
            <w:pPr>
              <w:jc w:val="left"/>
            </w:pPr>
            <w:r/>
            <w:r>
              <w:rPr>
                <w:rFonts w:ascii="Times New Roman" w:hAnsi="Times New Roman"/>
                <w:b/>
                <w:sz w:val="20"/>
              </w:rPr>
              <w:t>Kategori</w:t>
            </w:r>
          </w:p>
        </w:tc>
        <w:tc>
          <w:tcPr>
            <w:tcW w:type="dxa" w:w="4252"/>
            <w:shd w:val="clear" w:color="auto" w:fill="D9D9D9"/>
          </w:tcPr>
          <w:p>
            <w:pPr>
              <w:jc w:val="left"/>
            </w:pPr>
            <w:r/>
            <w:r>
              <w:rPr>
                <w:rFonts w:ascii="Times New Roman" w:hAnsi="Times New Roman"/>
                <w:b/>
                <w:sz w:val="20"/>
              </w:rPr>
              <w:t>Maliyet Çarpanı</w:t>
            </w:r>
          </w:p>
        </w:tc>
      </w:tr>
      <w:tr>
        <w:tc>
          <w:tcPr>
            <w:tcW w:type="dxa" w:w="4252"/>
          </w:tcPr>
          <w:p>
            <w:pPr>
              <w:jc w:val="left"/>
            </w:pPr>
            <w:r/>
            <w:r>
              <w:rPr>
                <w:rFonts w:ascii="Times New Roman" w:hAnsi="Times New Roman"/>
                <w:b w:val="0"/>
                <w:sz w:val="20"/>
              </w:rPr>
              <w:t>Beauty &amp; Personal Care (Güzellik ve Bakım)</w:t>
            </w:r>
          </w:p>
        </w:tc>
        <w:tc>
          <w:tcPr>
            <w:tcW w:type="dxa" w:w="4252"/>
          </w:tcPr>
          <w:p>
            <w:pPr>
              <w:jc w:val="left"/>
            </w:pPr>
            <w:r/>
            <w:r>
              <w:rPr>
                <w:rFonts w:ascii="Times New Roman" w:hAnsi="Times New Roman"/>
                <w:b w:val="0"/>
                <w:sz w:val="20"/>
              </w:rPr>
              <w:t>1.15</w:t>
            </w:r>
          </w:p>
        </w:tc>
      </w:tr>
      <w:tr>
        <w:tc>
          <w:tcPr>
            <w:tcW w:type="dxa" w:w="4252"/>
          </w:tcPr>
          <w:p>
            <w:pPr>
              <w:jc w:val="left"/>
            </w:pPr>
            <w:r/>
            <w:r>
              <w:rPr>
                <w:rFonts w:ascii="Times New Roman" w:hAnsi="Times New Roman"/>
                <w:b w:val="0"/>
                <w:sz w:val="20"/>
              </w:rPr>
              <w:t>Fashion &amp; Style (Moda ve Stil)</w:t>
            </w:r>
          </w:p>
        </w:tc>
        <w:tc>
          <w:tcPr>
            <w:tcW w:type="dxa" w:w="4252"/>
          </w:tcPr>
          <w:p>
            <w:pPr>
              <w:jc w:val="left"/>
            </w:pPr>
            <w:r/>
            <w:r>
              <w:rPr>
                <w:rFonts w:ascii="Times New Roman" w:hAnsi="Times New Roman"/>
                <w:b w:val="0"/>
                <w:sz w:val="20"/>
              </w:rPr>
              <w:t>1.10</w:t>
            </w:r>
          </w:p>
        </w:tc>
      </w:tr>
      <w:tr>
        <w:tc>
          <w:tcPr>
            <w:tcW w:type="dxa" w:w="4252"/>
          </w:tcPr>
          <w:p>
            <w:pPr>
              <w:jc w:val="left"/>
            </w:pPr>
            <w:r/>
            <w:r>
              <w:rPr>
                <w:rFonts w:ascii="Times New Roman" w:hAnsi="Times New Roman"/>
                <w:b w:val="0"/>
                <w:sz w:val="20"/>
              </w:rPr>
              <w:t>Technology &amp; Digital (Teknoloji)</w:t>
            </w:r>
          </w:p>
        </w:tc>
        <w:tc>
          <w:tcPr>
            <w:tcW w:type="dxa" w:w="4252"/>
          </w:tcPr>
          <w:p>
            <w:pPr>
              <w:jc w:val="left"/>
            </w:pPr>
            <w:r/>
            <w:r>
              <w:rPr>
                <w:rFonts w:ascii="Times New Roman" w:hAnsi="Times New Roman"/>
                <w:b w:val="0"/>
                <w:sz w:val="20"/>
              </w:rPr>
              <w:t>1.05</w:t>
            </w:r>
          </w:p>
        </w:tc>
      </w:tr>
      <w:tr>
        <w:tc>
          <w:tcPr>
            <w:tcW w:type="dxa" w:w="4252"/>
          </w:tcPr>
          <w:p>
            <w:pPr>
              <w:jc w:val="left"/>
            </w:pPr>
            <w:r/>
            <w:r>
              <w:rPr>
                <w:rFonts w:ascii="Times New Roman" w:hAnsi="Times New Roman"/>
                <w:b w:val="0"/>
                <w:sz w:val="20"/>
              </w:rPr>
              <w:t>Travel &amp; Lifestyle (Seyahat)</w:t>
            </w:r>
          </w:p>
        </w:tc>
        <w:tc>
          <w:tcPr>
            <w:tcW w:type="dxa" w:w="4252"/>
          </w:tcPr>
          <w:p>
            <w:pPr>
              <w:jc w:val="left"/>
            </w:pPr>
            <w:r/>
            <w:r>
              <w:rPr>
                <w:rFonts w:ascii="Times New Roman" w:hAnsi="Times New Roman"/>
                <w:b w:val="0"/>
                <w:sz w:val="20"/>
              </w:rPr>
              <w:t>1.05</w:t>
            </w:r>
          </w:p>
        </w:tc>
      </w:tr>
      <w:tr>
        <w:tc>
          <w:tcPr>
            <w:tcW w:type="dxa" w:w="4252"/>
          </w:tcPr>
          <w:p>
            <w:pPr>
              <w:jc w:val="left"/>
            </w:pPr>
            <w:r/>
            <w:r>
              <w:rPr>
                <w:rFonts w:ascii="Times New Roman" w:hAnsi="Times New Roman"/>
                <w:b w:val="0"/>
                <w:sz w:val="20"/>
              </w:rPr>
              <w:t>Fitness &amp; Health (Spor ve Sağlık)</w:t>
            </w:r>
          </w:p>
        </w:tc>
        <w:tc>
          <w:tcPr>
            <w:tcW w:type="dxa" w:w="4252"/>
          </w:tcPr>
          <w:p>
            <w:pPr>
              <w:jc w:val="left"/>
            </w:pPr>
            <w:r/>
            <w:r>
              <w:rPr>
                <w:rFonts w:ascii="Times New Roman" w:hAnsi="Times New Roman"/>
                <w:b w:val="0"/>
                <w:sz w:val="20"/>
              </w:rPr>
              <w:t>1.00</w:t>
            </w:r>
          </w:p>
        </w:tc>
      </w:tr>
      <w:tr>
        <w:tc>
          <w:tcPr>
            <w:tcW w:type="dxa" w:w="4252"/>
          </w:tcPr>
          <w:p>
            <w:pPr>
              <w:jc w:val="left"/>
            </w:pPr>
            <w:r/>
            <w:r>
              <w:rPr>
                <w:rFonts w:ascii="Times New Roman" w:hAnsi="Times New Roman"/>
                <w:b w:val="0"/>
                <w:sz w:val="20"/>
              </w:rPr>
              <w:t>Music &amp; Performance (Müzik)</w:t>
            </w:r>
          </w:p>
        </w:tc>
        <w:tc>
          <w:tcPr>
            <w:tcW w:type="dxa" w:w="4252"/>
          </w:tcPr>
          <w:p>
            <w:pPr>
              <w:jc w:val="left"/>
            </w:pPr>
            <w:r/>
            <w:r>
              <w:rPr>
                <w:rFonts w:ascii="Times New Roman" w:hAnsi="Times New Roman"/>
                <w:b w:val="0"/>
                <w:sz w:val="20"/>
              </w:rPr>
              <w:t>1.00</w:t>
            </w:r>
          </w:p>
        </w:tc>
      </w:tr>
      <w:tr>
        <w:tc>
          <w:tcPr>
            <w:tcW w:type="dxa" w:w="4252"/>
          </w:tcPr>
          <w:p>
            <w:pPr>
              <w:jc w:val="left"/>
            </w:pPr>
            <w:r/>
            <w:r>
              <w:rPr>
                <w:rFonts w:ascii="Times New Roman" w:hAnsi="Times New Roman"/>
                <w:b w:val="0"/>
                <w:sz w:val="20"/>
              </w:rPr>
              <w:t>Mixed/Unclear</w:t>
            </w:r>
          </w:p>
        </w:tc>
        <w:tc>
          <w:tcPr>
            <w:tcW w:type="dxa" w:w="4252"/>
          </w:tcPr>
          <w:p>
            <w:pPr>
              <w:jc w:val="left"/>
            </w:pPr>
            <w:r/>
            <w:r>
              <w:rPr>
                <w:rFonts w:ascii="Times New Roman" w:hAnsi="Times New Roman"/>
                <w:b w:val="0"/>
                <w:sz w:val="20"/>
              </w:rPr>
              <w:t>1.00</w:t>
            </w:r>
          </w:p>
        </w:tc>
      </w:tr>
      <w:tr>
        <w:tc>
          <w:tcPr>
            <w:tcW w:type="dxa" w:w="4252"/>
          </w:tcPr>
          <w:p>
            <w:pPr>
              <w:jc w:val="left"/>
            </w:pPr>
            <w:r/>
            <w:r>
              <w:rPr>
                <w:rFonts w:ascii="Times New Roman" w:hAnsi="Times New Roman"/>
                <w:b w:val="0"/>
                <w:sz w:val="20"/>
              </w:rPr>
              <w:t>Food &amp; Cooking (Yemek)</w:t>
            </w:r>
          </w:p>
        </w:tc>
        <w:tc>
          <w:tcPr>
            <w:tcW w:type="dxa" w:w="4252"/>
          </w:tcPr>
          <w:p>
            <w:pPr>
              <w:jc w:val="left"/>
            </w:pPr>
            <w:r/>
            <w:r>
              <w:rPr>
                <w:rFonts w:ascii="Times New Roman" w:hAnsi="Times New Roman"/>
                <w:b w:val="0"/>
                <w:sz w:val="20"/>
              </w:rPr>
              <w:t>0.95</w:t>
            </w:r>
          </w:p>
        </w:tc>
      </w:tr>
      <w:tr>
        <w:tc>
          <w:tcPr>
            <w:tcW w:type="dxa" w:w="4252"/>
          </w:tcPr>
          <w:p>
            <w:pPr>
              <w:jc w:val="left"/>
            </w:pPr>
            <w:r/>
            <w:r>
              <w:rPr>
                <w:rFonts w:ascii="Times New Roman" w:hAnsi="Times New Roman"/>
                <w:b w:val="0"/>
                <w:sz w:val="20"/>
              </w:rPr>
              <w:t>Comedy &amp; Entertainment (Komedi)</w:t>
            </w:r>
          </w:p>
        </w:tc>
        <w:tc>
          <w:tcPr>
            <w:tcW w:type="dxa" w:w="4252"/>
          </w:tcPr>
          <w:p>
            <w:pPr>
              <w:jc w:val="left"/>
            </w:pPr>
            <w:r/>
            <w:r>
              <w:rPr>
                <w:rFonts w:ascii="Times New Roman" w:hAnsi="Times New Roman"/>
                <w:b w:val="0"/>
                <w:sz w:val="20"/>
              </w:rPr>
              <w:t>0.90</w:t>
            </w:r>
          </w:p>
        </w:tc>
      </w:tr>
      <w:tr>
        <w:tc>
          <w:tcPr>
            <w:tcW w:type="dxa" w:w="4252"/>
          </w:tcPr>
          <w:p>
            <w:pPr>
              <w:jc w:val="left"/>
            </w:pPr>
            <w:r/>
            <w:r>
              <w:rPr>
                <w:rFonts w:ascii="Times New Roman" w:hAnsi="Times New Roman"/>
                <w:b w:val="0"/>
                <w:sz w:val="20"/>
              </w:rPr>
              <w:t>Gaming (Oyun)</w:t>
            </w:r>
          </w:p>
        </w:tc>
        <w:tc>
          <w:tcPr>
            <w:tcW w:type="dxa" w:w="4252"/>
          </w:tcPr>
          <w:p>
            <w:pPr>
              <w:jc w:val="left"/>
            </w:pPr>
            <w:r/>
            <w:r>
              <w:rPr>
                <w:rFonts w:ascii="Times New Roman" w:hAnsi="Times New Roman"/>
                <w:b w:val="0"/>
                <w:sz w:val="20"/>
              </w:rPr>
              <w:t>0.90</w:t>
            </w:r>
          </w:p>
        </w:tc>
      </w:tr>
      <w:tr>
        <w:tc>
          <w:tcPr>
            <w:tcW w:type="dxa" w:w="4252"/>
          </w:tcPr>
          <w:p>
            <w:pPr>
              <w:jc w:val="left"/>
            </w:pPr>
            <w:r/>
            <w:r>
              <w:rPr>
                <w:rFonts w:ascii="Times New Roman" w:hAnsi="Times New Roman"/>
                <w:b w:val="0"/>
                <w:sz w:val="20"/>
              </w:rPr>
              <w:t>Education &amp; Informative (Eğitim)</w:t>
            </w:r>
          </w:p>
        </w:tc>
        <w:tc>
          <w:tcPr>
            <w:tcW w:type="dxa" w:w="4252"/>
          </w:tcPr>
          <w:p>
            <w:pPr>
              <w:jc w:val="left"/>
            </w:pPr>
            <w:r/>
            <w:r>
              <w:rPr>
                <w:rFonts w:ascii="Times New Roman" w:hAnsi="Times New Roman"/>
                <w:b w:val="0"/>
                <w:sz w:val="20"/>
              </w:rPr>
              <w:t>0.85</w:t>
            </w:r>
          </w:p>
        </w:tc>
      </w:tr>
    </w:tbl>
    <w:p/>
    <w:p>
      <w:pPr>
        <w:pStyle w:val="Heading3"/>
      </w:pPr>
      <w:r>
        <w:rPr>
          <w:rFonts w:ascii="Times New Roman" w:hAnsi="Times New Roman"/>
          <w:b/>
          <w:color w:val="000000"/>
          <w:sz w:val="24"/>
        </w:rPr>
        <w:t>3.2.3. Çok Kriterli Karar Verme (MCDM) Skoru</w:t>
      </w:r>
    </w:p>
    <w:p>
      <w:pPr>
        <w:spacing w:line="360" w:lineRule="exact" w:after="120"/>
        <w:ind w:firstLine="567"/>
        <w:jc w:val="both"/>
      </w:pPr>
      <w:r>
        <w:rPr>
          <w:rFonts w:ascii="Times New Roman" w:hAnsi="Times New Roman"/>
          <w:b w:val="0"/>
          <w:i w:val="0"/>
          <w:sz w:val="24"/>
        </w:rPr>
        <w:t>Birden fazla kriterin bütünleşik biçimde değerlendirilmesi için ağırlıklı doğrusal birleştirme yöntemi kullanılmıştır. Her kriter önce Min-Max normalizasyonuyla [0, 1] aralığına çekilmiş, ardından belirlenen ağırlıklarla ağırlıklı toplamı alınmıştır.</w:t>
      </w:r>
    </w:p>
    <w:p>
      <w:pPr>
        <w:spacing w:before="120" w:after="60"/>
        <w:ind w:firstLine="0"/>
        <w:jc w:val="left"/>
      </w:pPr>
      <w:r>
        <w:rPr>
          <w:rFonts w:ascii="Times New Roman" w:hAnsi="Times New Roman"/>
          <w:b/>
          <w:sz w:val="20"/>
        </w:rPr>
        <w:t>Tablo 3.3. MCDM Kriter Ağırlık Tablosu</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D9D9"/>
          </w:tcPr>
          <w:p>
            <w:pPr>
              <w:jc w:val="left"/>
            </w:pPr>
            <w:r/>
            <w:r>
              <w:rPr>
                <w:rFonts w:ascii="Times New Roman" w:hAnsi="Times New Roman"/>
                <w:b/>
                <w:sz w:val="20"/>
              </w:rPr>
              <w:t>Kriter</w:t>
            </w:r>
          </w:p>
        </w:tc>
        <w:tc>
          <w:tcPr>
            <w:tcW w:type="dxa" w:w="2835"/>
            <w:shd w:val="clear" w:color="auto" w:fill="D9D9D9"/>
          </w:tcPr>
          <w:p>
            <w:pPr>
              <w:jc w:val="left"/>
            </w:pPr>
            <w:r/>
            <w:r>
              <w:rPr>
                <w:rFonts w:ascii="Times New Roman" w:hAnsi="Times New Roman"/>
                <w:b/>
                <w:sz w:val="20"/>
              </w:rPr>
              <w:t>Açıklama</w:t>
            </w:r>
          </w:p>
        </w:tc>
        <w:tc>
          <w:tcPr>
            <w:tcW w:type="dxa" w:w="2835"/>
            <w:shd w:val="clear" w:color="auto" w:fill="D9D9D9"/>
          </w:tcPr>
          <w:p>
            <w:pPr>
              <w:jc w:val="left"/>
            </w:pPr>
            <w:r/>
            <w:r>
              <w:rPr>
                <w:rFonts w:ascii="Times New Roman" w:hAnsi="Times New Roman"/>
                <w:b/>
                <w:sz w:val="20"/>
              </w:rPr>
              <w:t>Ağırlık</w:t>
            </w:r>
          </w:p>
        </w:tc>
      </w:tr>
      <w:tr>
        <w:tc>
          <w:tcPr>
            <w:tcW w:type="dxa" w:w="2835"/>
          </w:tcPr>
          <w:p>
            <w:pPr>
              <w:jc w:val="left"/>
            </w:pPr>
            <w:r/>
            <w:r>
              <w:rPr>
                <w:rFonts w:ascii="Times New Roman" w:hAnsi="Times New Roman"/>
                <w:b w:val="0"/>
                <w:sz w:val="20"/>
              </w:rPr>
              <w:t>Etkileşim Skoru</w:t>
            </w:r>
          </w:p>
        </w:tc>
        <w:tc>
          <w:tcPr>
            <w:tcW w:type="dxa" w:w="2835"/>
          </w:tcPr>
          <w:p>
            <w:pPr>
              <w:jc w:val="left"/>
            </w:pPr>
            <w:r/>
            <w:r>
              <w:rPr>
                <w:rFonts w:ascii="Times New Roman" w:hAnsi="Times New Roman"/>
                <w:b w:val="0"/>
                <w:sz w:val="20"/>
              </w:rPr>
              <w:t>Engagement Proxy</w:t>
            </w:r>
          </w:p>
        </w:tc>
        <w:tc>
          <w:tcPr>
            <w:tcW w:type="dxa" w:w="2835"/>
          </w:tcPr>
          <w:p>
            <w:pPr>
              <w:jc w:val="left"/>
            </w:pPr>
            <w:r/>
            <w:r>
              <w:rPr>
                <w:rFonts w:ascii="Times New Roman" w:hAnsi="Times New Roman"/>
                <w:b w:val="0"/>
                <w:sz w:val="20"/>
              </w:rPr>
              <w:t>%35</w:t>
            </w:r>
          </w:p>
        </w:tc>
      </w:tr>
      <w:tr>
        <w:tc>
          <w:tcPr>
            <w:tcW w:type="dxa" w:w="2835"/>
          </w:tcPr>
          <w:p>
            <w:pPr>
              <w:jc w:val="left"/>
            </w:pPr>
            <w:r/>
            <w:r>
              <w:rPr>
                <w:rFonts w:ascii="Times New Roman" w:hAnsi="Times New Roman"/>
                <w:b w:val="0"/>
                <w:sz w:val="20"/>
              </w:rPr>
              <w:t>Takipçi Büyüklüğü</w:t>
            </w:r>
          </w:p>
        </w:tc>
        <w:tc>
          <w:tcPr>
            <w:tcW w:type="dxa" w:w="2835"/>
          </w:tcPr>
          <w:p>
            <w:pPr>
              <w:jc w:val="left"/>
            </w:pPr>
            <w:r/>
            <w:r>
              <w:rPr>
                <w:rFonts w:ascii="Times New Roman" w:hAnsi="Times New Roman"/>
                <w:b w:val="0"/>
                <w:sz w:val="20"/>
              </w:rPr>
              <w:t>log(1 + followers)</w:t>
            </w:r>
          </w:p>
        </w:tc>
        <w:tc>
          <w:tcPr>
            <w:tcW w:type="dxa" w:w="2835"/>
          </w:tcPr>
          <w:p>
            <w:pPr>
              <w:jc w:val="left"/>
            </w:pPr>
            <w:r/>
            <w:r>
              <w:rPr>
                <w:rFonts w:ascii="Times New Roman" w:hAnsi="Times New Roman"/>
                <w:b w:val="0"/>
                <w:sz w:val="20"/>
              </w:rPr>
              <w:t>%20</w:t>
            </w:r>
          </w:p>
        </w:tc>
      </w:tr>
      <w:tr>
        <w:tc>
          <w:tcPr>
            <w:tcW w:type="dxa" w:w="2835"/>
          </w:tcPr>
          <w:p>
            <w:pPr>
              <w:jc w:val="left"/>
            </w:pPr>
            <w:r/>
            <w:r>
              <w:rPr>
                <w:rFonts w:ascii="Times New Roman" w:hAnsi="Times New Roman"/>
                <w:b w:val="0"/>
                <w:sz w:val="20"/>
              </w:rPr>
              <w:t>Takipçi Başına Beğeni</w:t>
            </w:r>
          </w:p>
        </w:tc>
        <w:tc>
          <w:tcPr>
            <w:tcW w:type="dxa" w:w="2835"/>
          </w:tcPr>
          <w:p>
            <w:pPr>
              <w:jc w:val="left"/>
            </w:pPr>
            <w:r/>
            <w:r>
              <w:rPr>
                <w:rFonts w:ascii="Times New Roman" w:hAnsi="Times New Roman"/>
                <w:b w:val="0"/>
                <w:sz w:val="20"/>
              </w:rPr>
              <w:t>like_per_follower</w:t>
            </w:r>
          </w:p>
        </w:tc>
        <w:tc>
          <w:tcPr>
            <w:tcW w:type="dxa" w:w="2835"/>
          </w:tcPr>
          <w:p>
            <w:pPr>
              <w:jc w:val="left"/>
            </w:pPr>
            <w:r/>
            <w:r>
              <w:rPr>
                <w:rFonts w:ascii="Times New Roman" w:hAnsi="Times New Roman"/>
                <w:b w:val="0"/>
                <w:sz w:val="20"/>
              </w:rPr>
              <w:t>%20</w:t>
            </w:r>
          </w:p>
        </w:tc>
      </w:tr>
      <w:tr>
        <w:tc>
          <w:tcPr>
            <w:tcW w:type="dxa" w:w="2835"/>
          </w:tcPr>
          <w:p>
            <w:pPr>
              <w:jc w:val="left"/>
            </w:pPr>
            <w:r/>
            <w:r>
              <w:rPr>
                <w:rFonts w:ascii="Times New Roman" w:hAnsi="Times New Roman"/>
                <w:b w:val="0"/>
                <w:sz w:val="20"/>
              </w:rPr>
              <w:t>Maliyet Etkinliği</w:t>
            </w:r>
          </w:p>
        </w:tc>
        <w:tc>
          <w:tcPr>
            <w:tcW w:type="dxa" w:w="2835"/>
          </w:tcPr>
          <w:p>
            <w:pPr>
              <w:jc w:val="left"/>
            </w:pPr>
            <w:r/>
            <w:r>
              <w:rPr>
                <w:rFonts w:ascii="Times New Roman" w:hAnsi="Times New Roman"/>
                <w:b w:val="0"/>
                <w:sz w:val="20"/>
              </w:rPr>
              <w:t>log(avg_likes) / tahmini maliyet</w:t>
            </w:r>
          </w:p>
        </w:tc>
        <w:tc>
          <w:tcPr>
            <w:tcW w:type="dxa" w:w="2835"/>
          </w:tcPr>
          <w:p>
            <w:pPr>
              <w:jc w:val="left"/>
            </w:pPr>
            <w:r/>
            <w:r>
              <w:rPr>
                <w:rFonts w:ascii="Times New Roman" w:hAnsi="Times New Roman"/>
                <w:b w:val="0"/>
                <w:sz w:val="20"/>
              </w:rPr>
              <w:t>%15</w:t>
            </w:r>
          </w:p>
        </w:tc>
      </w:tr>
      <w:tr>
        <w:tc>
          <w:tcPr>
            <w:tcW w:type="dxa" w:w="2835"/>
          </w:tcPr>
          <w:p>
            <w:pPr>
              <w:jc w:val="left"/>
            </w:pPr>
            <w:r/>
            <w:r>
              <w:rPr>
                <w:rFonts w:ascii="Times New Roman" w:hAnsi="Times New Roman"/>
                <w:b w:val="0"/>
                <w:sz w:val="20"/>
              </w:rPr>
              <w:t>Video Hacmi</w:t>
            </w:r>
          </w:p>
        </w:tc>
        <w:tc>
          <w:tcPr>
            <w:tcW w:type="dxa" w:w="2835"/>
          </w:tcPr>
          <w:p>
            <w:pPr>
              <w:jc w:val="left"/>
            </w:pPr>
            <w:r/>
            <w:r>
              <w:rPr>
                <w:rFonts w:ascii="Times New Roman" w:hAnsi="Times New Roman"/>
                <w:b w:val="0"/>
                <w:sz w:val="20"/>
              </w:rPr>
              <w:t>Video üretim sayısı</w:t>
            </w:r>
          </w:p>
        </w:tc>
        <w:tc>
          <w:tcPr>
            <w:tcW w:type="dxa" w:w="2835"/>
          </w:tcPr>
          <w:p>
            <w:pPr>
              <w:jc w:val="left"/>
            </w:pPr>
            <w:r/>
            <w:r>
              <w:rPr>
                <w:rFonts w:ascii="Times New Roman" w:hAnsi="Times New Roman"/>
                <w:b w:val="0"/>
                <w:sz w:val="20"/>
              </w:rPr>
              <w:t>%10</w:t>
            </w:r>
          </w:p>
        </w:tc>
      </w:tr>
    </w:tbl>
    <w:p/>
    <w:p>
      <w:pPr>
        <w:spacing w:line="360" w:lineRule="exact" w:after="120"/>
        <w:ind w:firstLine="567"/>
        <w:jc w:val="both"/>
      </w:pPr>
      <w:r>
        <w:rPr>
          <w:rFonts w:ascii="Times New Roman" w:hAnsi="Times New Roman"/>
          <w:b w:val="0"/>
          <w:i w:val="0"/>
          <w:sz w:val="24"/>
        </w:rPr>
        <w:t>MCDM skoru hesaplama formülü: MCDM_Score = 0.35 × c1 + 0.20 × c2 + 0.20 × c3 + 0.15 × c4 + 0.10 × c5. Bu ağırlık yapısının temel tasarım mantığı şudur: etkileşim kalitesi (%55 birleşik ağırlıkla) en güçlü belirleyici unsur iken takipçi sayısının salt büyüklüğü tek başına yeterli kabul edilmemektedir. Maliyet etkinliği (%15) bütçe kullanımını optimize ederken video hacmi (%10) aktif içerik üretimini ödüllendirmektedir.</w:t>
      </w:r>
    </w:p>
    <w:p>
      <w:pPr>
        <w:pStyle w:val="Heading2"/>
      </w:pPr>
      <w:r>
        <w:rPr>
          <w:rFonts w:ascii="Times New Roman" w:hAnsi="Times New Roman"/>
          <w:b/>
          <w:color w:val="000000"/>
          <w:sz w:val="24"/>
        </w:rPr>
        <w:t>3.3. ILP Modelinin Uygulanması ve Gurobi Entegrasyonu</w:t>
      </w:r>
    </w:p>
    <w:p>
      <w:pPr>
        <w:pStyle w:val="Heading3"/>
      </w:pPr>
      <w:r>
        <w:rPr>
          <w:rFonts w:ascii="Times New Roman" w:hAnsi="Times New Roman"/>
          <w:b/>
          <w:color w:val="000000"/>
          <w:sz w:val="24"/>
        </w:rPr>
        <w:t>3.3.1. Matematiksel Model Formülasyonu</w:t>
      </w:r>
    </w:p>
    <w:p>
      <w:pPr>
        <w:spacing w:line="360" w:lineRule="exact" w:after="120"/>
        <w:ind w:firstLine="567"/>
        <w:jc w:val="both"/>
      </w:pPr>
      <w:r>
        <w:rPr>
          <w:rFonts w:ascii="Times New Roman" w:hAnsi="Times New Roman"/>
          <w:b w:val="0"/>
          <w:i w:val="0"/>
          <w:sz w:val="24"/>
        </w:rPr>
        <w:t>MCDM skorları ve maliyet tahminleri hesaplandıktan sonra, influencer seçim problemi bir 0-1 Tam Sayılı Doğrusal Programlama (ILP) modeli olarak kurulmuştur.</w:t>
      </w:r>
    </w:p>
    <w:p>
      <w:pPr>
        <w:spacing w:line="360" w:lineRule="exact" w:after="120"/>
        <w:ind w:firstLine="567"/>
        <w:jc w:val="both"/>
      </w:pPr>
      <w:r>
        <w:rPr>
          <w:rFonts w:ascii="Times New Roman" w:hAnsi="Times New Roman"/>
          <w:b w:val="0"/>
          <w:i w:val="0"/>
          <w:sz w:val="24"/>
        </w:rPr>
        <w:t>Karar Değişkeni: xᵢ ∈ {0, 1}, ∀i ∈ {1, 2, …, n}. xᵢ = 1 ise i. içerik üreticisi portföye dahil edilir; xᵢ = 0 ise seçilmez.</w:t>
      </w:r>
    </w:p>
    <w:p>
      <w:pPr>
        <w:spacing w:line="360" w:lineRule="exact" w:after="120"/>
        <w:ind w:firstLine="567"/>
        <w:jc w:val="both"/>
      </w:pPr>
      <w:r>
        <w:rPr>
          <w:rFonts w:ascii="Times New Roman" w:hAnsi="Times New Roman"/>
          <w:b w:val="0"/>
          <w:i w:val="0"/>
          <w:sz w:val="24"/>
        </w:rPr>
        <w:t>Amaç Fonksiyonu (Maksimizasyon): Z = Σ MCDM_Scoreᵢ × xᵢ. Seçilen influencer'ların kümülatif MCDM skoru maksimize edilmektedir.</w:t>
      </w:r>
    </w:p>
    <w:p>
      <w:pPr>
        <w:spacing w:line="360" w:lineRule="exact" w:after="120"/>
        <w:ind w:firstLine="567"/>
        <w:jc w:val="both"/>
      </w:pPr>
      <w:r>
        <w:rPr>
          <w:rFonts w:ascii="Times New Roman" w:hAnsi="Times New Roman"/>
          <w:b w:val="0"/>
          <w:i w:val="0"/>
          <w:sz w:val="24"/>
        </w:rPr>
        <w:t>Kısıt 1 — Bütçe Kısıtı: Σ costᵢ × xᵢ ≤ B. Seçilen influencer'ların toplam tahmini maliyeti, önceden belirlenen kampanya bütçesi B'yi aşamaz.</w:t>
      </w:r>
    </w:p>
    <w:p>
      <w:pPr>
        <w:spacing w:line="360" w:lineRule="exact" w:after="120"/>
        <w:ind w:firstLine="567"/>
        <w:jc w:val="both"/>
      </w:pPr>
      <w:r>
        <w:rPr>
          <w:rFonts w:ascii="Times New Roman" w:hAnsi="Times New Roman"/>
          <w:b w:val="0"/>
          <w:i w:val="0"/>
          <w:sz w:val="24"/>
        </w:rPr>
        <w:t>Kısıt 2 — Minimum Çeşitlilik: Σ xᵢ ≥ n_min. Risk dağıtımı ve kampanya çeşitliliği için en az n_min influencer seçimi zorunludur. Tüm bütçenin tek bir hesaba yatırılması hem finansal hem de PR riski taşımaktadır.</w:t>
      </w:r>
    </w:p>
    <w:p>
      <w:pPr>
        <w:spacing w:line="360" w:lineRule="exact" w:after="120"/>
        <w:ind w:firstLine="567"/>
        <w:jc w:val="both"/>
      </w:pPr>
      <w:r>
        <w:rPr>
          <w:rFonts w:ascii="Times New Roman" w:hAnsi="Times New Roman"/>
          <w:b w:val="0"/>
          <w:i w:val="0"/>
          <w:sz w:val="24"/>
        </w:rPr>
        <w:t>Kısıt 3 — Maksimum Portföy Büyüklüğü (İsteğe Bağlı): Σ xᵢ ≤ n_max. Yönetilebilirlik açısından maksimum influencer sayısı sınırlandırılabilir.</w:t>
      </w:r>
    </w:p>
    <w:p>
      <w:pPr>
        <w:spacing w:line="360" w:lineRule="exact" w:after="120"/>
        <w:ind w:firstLine="567"/>
        <w:jc w:val="both"/>
      </w:pPr>
      <w:r>
        <w:rPr>
          <w:rFonts w:ascii="Times New Roman" w:hAnsi="Times New Roman"/>
          <w:b w:val="0"/>
          <w:i w:val="0"/>
          <w:sz w:val="24"/>
        </w:rPr>
        <w:t>Kısıt 4 — Tier Bazlı Üst Sınır (İsteğe Bağlı): Belirli bir kademedeki influencer sayısı sınırlandırılarak portföy risk dengesi yönetilir.</w:t>
      </w:r>
    </w:p>
    <w:p>
      <w:pPr>
        <w:spacing w:line="360" w:lineRule="exact" w:after="120"/>
        <w:ind w:firstLine="567"/>
        <w:jc w:val="both"/>
      </w:pPr>
      <w:r>
        <w:rPr>
          <w:rFonts w:ascii="Times New Roman" w:hAnsi="Times New Roman"/>
          <w:b w:val="0"/>
          <w:i w:val="0"/>
          <w:sz w:val="24"/>
        </w:rPr>
        <w:t>Kısıt 5 — Zorunlu Kategori Temsili (İsteğe Bağlı): Kullanıcı tarafından belirlenen sektör kategorilerinden en az bir influencer seçilmesi sağlanır.</w:t>
      </w:r>
    </w:p>
    <w:p>
      <w:pPr>
        <w:spacing w:line="360" w:lineRule="exact" w:after="120"/>
        <w:ind w:firstLine="567"/>
        <w:jc w:val="both"/>
      </w:pPr>
      <w:r>
        <w:rPr>
          <w:rFonts w:ascii="Times New Roman" w:hAnsi="Times New Roman"/>
          <w:b w:val="0"/>
          <w:i w:val="0"/>
          <w:sz w:val="24"/>
        </w:rPr>
        <w:t>Kısıt 6 — Kara Liste (Blacklist): xₖ = 0, ∀k ∈ K_black. Kara listede yer alan influencer'lar hiçbir koşulda seçilmez. Bu kısıt, markanın itibar yönetimi kararlarını matematiksel garanti altına almaktadır.</w:t>
      </w:r>
    </w:p>
    <w:p>
      <w:pPr>
        <w:pStyle w:val="Heading3"/>
      </w:pPr>
      <w:r>
        <w:rPr>
          <w:rFonts w:ascii="Times New Roman" w:hAnsi="Times New Roman"/>
          <w:b/>
          <w:color w:val="000000"/>
          <w:sz w:val="24"/>
        </w:rPr>
        <w:t>3.3.2. Gurobi Parametre Yapılandırması</w:t>
      </w:r>
    </w:p>
    <w:p>
      <w:pPr>
        <w:spacing w:before="120" w:after="60"/>
        <w:ind w:firstLine="0"/>
        <w:jc w:val="left"/>
      </w:pPr>
      <w:r>
        <w:rPr>
          <w:rFonts w:ascii="Times New Roman" w:hAnsi="Times New Roman"/>
          <w:b/>
          <w:sz w:val="20"/>
        </w:rPr>
        <w:t>Tablo 3.4. Gurobi Çözücü Parametre Tablosu</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D9D9"/>
          </w:tcPr>
          <w:p>
            <w:pPr>
              <w:jc w:val="left"/>
            </w:pPr>
            <w:r/>
            <w:r>
              <w:rPr>
                <w:rFonts w:ascii="Times New Roman" w:hAnsi="Times New Roman"/>
                <w:b/>
                <w:sz w:val="20"/>
              </w:rPr>
              <w:t>Parametre</w:t>
            </w:r>
          </w:p>
        </w:tc>
        <w:tc>
          <w:tcPr>
            <w:tcW w:type="dxa" w:w="2835"/>
            <w:shd w:val="clear" w:color="auto" w:fill="D9D9D9"/>
          </w:tcPr>
          <w:p>
            <w:pPr>
              <w:jc w:val="left"/>
            </w:pPr>
            <w:r/>
            <w:r>
              <w:rPr>
                <w:rFonts w:ascii="Times New Roman" w:hAnsi="Times New Roman"/>
                <w:b/>
                <w:sz w:val="20"/>
              </w:rPr>
              <w:t>Değer</w:t>
            </w:r>
          </w:p>
        </w:tc>
        <w:tc>
          <w:tcPr>
            <w:tcW w:type="dxa" w:w="2835"/>
            <w:shd w:val="clear" w:color="auto" w:fill="D9D9D9"/>
          </w:tcPr>
          <w:p>
            <w:pPr>
              <w:jc w:val="left"/>
            </w:pPr>
            <w:r/>
            <w:r>
              <w:rPr>
                <w:rFonts w:ascii="Times New Roman" w:hAnsi="Times New Roman"/>
                <w:b/>
                <w:sz w:val="20"/>
              </w:rPr>
              <w:t>Açıklama</w:t>
            </w:r>
          </w:p>
        </w:tc>
      </w:tr>
      <w:tr>
        <w:tc>
          <w:tcPr>
            <w:tcW w:type="dxa" w:w="2835"/>
          </w:tcPr>
          <w:p>
            <w:pPr>
              <w:jc w:val="left"/>
            </w:pPr>
            <w:r/>
            <w:r>
              <w:rPr>
                <w:rFonts w:ascii="Times New Roman" w:hAnsi="Times New Roman"/>
                <w:b w:val="0"/>
                <w:sz w:val="20"/>
              </w:rPr>
              <w:t>TimeLimit</w:t>
            </w:r>
          </w:p>
        </w:tc>
        <w:tc>
          <w:tcPr>
            <w:tcW w:type="dxa" w:w="2835"/>
          </w:tcPr>
          <w:p>
            <w:pPr>
              <w:jc w:val="left"/>
            </w:pPr>
            <w:r/>
            <w:r>
              <w:rPr>
                <w:rFonts w:ascii="Times New Roman" w:hAnsi="Times New Roman"/>
                <w:b w:val="0"/>
                <w:sz w:val="20"/>
              </w:rPr>
              <w:t>60 saniye</w:t>
            </w:r>
          </w:p>
        </w:tc>
        <w:tc>
          <w:tcPr>
            <w:tcW w:type="dxa" w:w="2835"/>
          </w:tcPr>
          <w:p>
            <w:pPr>
              <w:jc w:val="left"/>
            </w:pPr>
            <w:r/>
            <w:r>
              <w:rPr>
                <w:rFonts w:ascii="Times New Roman" w:hAnsi="Times New Roman"/>
                <w:b w:val="0"/>
                <w:sz w:val="20"/>
              </w:rPr>
              <w:t>Maksimum çözüm süresi</w:t>
            </w:r>
          </w:p>
        </w:tc>
      </w:tr>
      <w:tr>
        <w:tc>
          <w:tcPr>
            <w:tcW w:type="dxa" w:w="2835"/>
          </w:tcPr>
          <w:p>
            <w:pPr>
              <w:jc w:val="left"/>
            </w:pPr>
            <w:r/>
            <w:r>
              <w:rPr>
                <w:rFonts w:ascii="Times New Roman" w:hAnsi="Times New Roman"/>
                <w:b w:val="0"/>
                <w:sz w:val="20"/>
              </w:rPr>
              <w:t>MIPGap</w:t>
            </w:r>
          </w:p>
        </w:tc>
        <w:tc>
          <w:tcPr>
            <w:tcW w:type="dxa" w:w="2835"/>
          </w:tcPr>
          <w:p>
            <w:pPr>
              <w:jc w:val="left"/>
            </w:pPr>
            <w:r/>
            <w:r>
              <w:rPr>
                <w:rFonts w:ascii="Times New Roman" w:hAnsi="Times New Roman"/>
                <w:b w:val="0"/>
                <w:sz w:val="20"/>
              </w:rPr>
              <w:t>0.001</w:t>
            </w:r>
          </w:p>
        </w:tc>
        <w:tc>
          <w:tcPr>
            <w:tcW w:type="dxa" w:w="2835"/>
          </w:tcPr>
          <w:p>
            <w:pPr>
              <w:jc w:val="left"/>
            </w:pPr>
            <w:r/>
            <w:r>
              <w:rPr>
                <w:rFonts w:ascii="Times New Roman" w:hAnsi="Times New Roman"/>
                <w:b w:val="0"/>
                <w:sz w:val="20"/>
              </w:rPr>
              <w:t>%0.1 optimallik toleransı</w:t>
            </w:r>
          </w:p>
        </w:tc>
      </w:tr>
      <w:tr>
        <w:tc>
          <w:tcPr>
            <w:tcW w:type="dxa" w:w="2835"/>
          </w:tcPr>
          <w:p>
            <w:pPr>
              <w:jc w:val="left"/>
            </w:pPr>
            <w:r/>
            <w:r>
              <w:rPr>
                <w:rFonts w:ascii="Times New Roman" w:hAnsi="Times New Roman"/>
                <w:b w:val="0"/>
                <w:sz w:val="20"/>
              </w:rPr>
              <w:t>Threads</w:t>
            </w:r>
          </w:p>
        </w:tc>
        <w:tc>
          <w:tcPr>
            <w:tcW w:type="dxa" w:w="2835"/>
          </w:tcPr>
          <w:p>
            <w:pPr>
              <w:jc w:val="left"/>
            </w:pPr>
            <w:r/>
            <w:r>
              <w:rPr>
                <w:rFonts w:ascii="Times New Roman" w:hAnsi="Times New Roman"/>
                <w:b w:val="0"/>
                <w:sz w:val="20"/>
              </w:rPr>
              <w:t>4</w:t>
            </w:r>
          </w:p>
        </w:tc>
        <w:tc>
          <w:tcPr>
            <w:tcW w:type="dxa" w:w="2835"/>
          </w:tcPr>
          <w:p>
            <w:pPr>
              <w:jc w:val="left"/>
            </w:pPr>
            <w:r/>
            <w:r>
              <w:rPr>
                <w:rFonts w:ascii="Times New Roman" w:hAnsi="Times New Roman"/>
                <w:b w:val="0"/>
                <w:sz w:val="20"/>
              </w:rPr>
              <w:t>Paralel iş parçacığı sayısı</w:t>
            </w:r>
          </w:p>
        </w:tc>
      </w:tr>
      <w:tr>
        <w:tc>
          <w:tcPr>
            <w:tcW w:type="dxa" w:w="2835"/>
          </w:tcPr>
          <w:p>
            <w:pPr>
              <w:jc w:val="left"/>
            </w:pPr>
            <w:r/>
            <w:r>
              <w:rPr>
                <w:rFonts w:ascii="Times New Roman" w:hAnsi="Times New Roman"/>
                <w:b w:val="0"/>
                <w:sz w:val="20"/>
              </w:rPr>
              <w:t>MIPFocus</w:t>
            </w:r>
          </w:p>
        </w:tc>
        <w:tc>
          <w:tcPr>
            <w:tcW w:type="dxa" w:w="2835"/>
          </w:tcPr>
          <w:p>
            <w:pPr>
              <w:jc w:val="left"/>
            </w:pPr>
            <w:r/>
            <w:r>
              <w:rPr>
                <w:rFonts w:ascii="Times New Roman" w:hAnsi="Times New Roman"/>
                <w:b w:val="0"/>
                <w:sz w:val="20"/>
              </w:rPr>
              <w:t>1</w:t>
            </w:r>
          </w:p>
        </w:tc>
        <w:tc>
          <w:tcPr>
            <w:tcW w:type="dxa" w:w="2835"/>
          </w:tcPr>
          <w:p>
            <w:pPr>
              <w:jc w:val="left"/>
            </w:pPr>
            <w:r/>
            <w:r>
              <w:rPr>
                <w:rFonts w:ascii="Times New Roman" w:hAnsi="Times New Roman"/>
                <w:b w:val="0"/>
                <w:sz w:val="20"/>
              </w:rPr>
              <w:t>İyi çözüm bulmaya odaklan</w:t>
            </w:r>
          </w:p>
        </w:tc>
      </w:tr>
      <w:tr>
        <w:tc>
          <w:tcPr>
            <w:tcW w:type="dxa" w:w="2835"/>
          </w:tcPr>
          <w:p>
            <w:pPr>
              <w:jc w:val="left"/>
            </w:pPr>
            <w:r/>
            <w:r>
              <w:rPr>
                <w:rFonts w:ascii="Times New Roman" w:hAnsi="Times New Roman"/>
                <w:b w:val="0"/>
                <w:sz w:val="20"/>
              </w:rPr>
              <w:t>Presolve</w:t>
            </w:r>
          </w:p>
        </w:tc>
        <w:tc>
          <w:tcPr>
            <w:tcW w:type="dxa" w:w="2835"/>
          </w:tcPr>
          <w:p>
            <w:pPr>
              <w:jc w:val="left"/>
            </w:pPr>
            <w:r/>
            <w:r>
              <w:rPr>
                <w:rFonts w:ascii="Times New Roman" w:hAnsi="Times New Roman"/>
                <w:b w:val="0"/>
                <w:sz w:val="20"/>
              </w:rPr>
              <w:t>2</w:t>
            </w:r>
          </w:p>
        </w:tc>
        <w:tc>
          <w:tcPr>
            <w:tcW w:type="dxa" w:w="2835"/>
          </w:tcPr>
          <w:p>
            <w:pPr>
              <w:jc w:val="left"/>
            </w:pPr>
            <w:r/>
            <w:r>
              <w:rPr>
                <w:rFonts w:ascii="Times New Roman" w:hAnsi="Times New Roman"/>
                <w:b w:val="0"/>
                <w:sz w:val="20"/>
              </w:rPr>
              <w:t>Agresif ön-çözme</w:t>
            </w:r>
          </w:p>
        </w:tc>
      </w:tr>
    </w:tbl>
    <w:p/>
    <w:p>
      <w:pPr>
        <w:spacing w:line="360" w:lineRule="exact" w:after="120"/>
        <w:ind w:firstLine="567"/>
        <w:jc w:val="both"/>
      </w:pPr>
      <w:r>
        <w:rPr>
          <w:rFonts w:ascii="Times New Roman" w:hAnsi="Times New Roman"/>
          <w:b w:val="0"/>
          <w:i w:val="0"/>
          <w:sz w:val="24"/>
        </w:rPr>
        <w:t>Model, optimal çözüme ulaştığında (Optimal), zaman limitine yakın çözüm bulduğunda (TimeLimit) veya uygulanabilir olmadığını tespit ettiğinde (Infeasible) olmak üzere farklı sonuç durumlarını raporlamakta ve arayüze aktarmaktadır.</w:t>
      </w:r>
    </w:p>
    <w:p>
      <w:pPr>
        <w:pStyle w:val="Heading2"/>
      </w:pPr>
      <w:r>
        <w:rPr>
          <w:rFonts w:ascii="Times New Roman" w:hAnsi="Times New Roman"/>
          <w:b/>
          <w:color w:val="000000"/>
          <w:sz w:val="24"/>
        </w:rPr>
        <w:t>3.4. Streamlit Tabanlı Karar Destek Arayüzü</w:t>
      </w:r>
    </w:p>
    <w:p>
      <w:pPr>
        <w:spacing w:line="360" w:lineRule="exact" w:after="120"/>
        <w:ind w:firstLine="567"/>
        <w:jc w:val="both"/>
      </w:pPr>
      <w:r>
        <w:rPr>
          <w:rFonts w:ascii="Times New Roman" w:hAnsi="Times New Roman"/>
          <w:b w:val="0"/>
          <w:i w:val="0"/>
          <w:sz w:val="24"/>
        </w:rPr>
        <w:t>Gurobi modeli, Tiktokoptimizerphase2v3gurobi.py modülü içinde kapsüllenmiştir. Bu modül, streamlit_app.py aracılığıyla interaktif bir web uygulamasına entegre edilmektedir.</w:t>
      </w:r>
    </w:p>
    <w:p>
      <w:pPr>
        <w:spacing w:line="360" w:lineRule="exact" w:after="120"/>
        <w:ind w:firstLine="567"/>
        <w:jc w:val="both"/>
      </w:pPr>
      <w:r>
        <w:rPr>
          <w:rFonts w:ascii="Times New Roman" w:hAnsi="Times New Roman"/>
          <w:b w:val="0"/>
          <w:i w:val="0"/>
          <w:sz w:val="24"/>
        </w:rPr>
        <w:t>Arayüz özellikleri şu şekilde sıralanabilir. Bütçe Slaydırı aracılığıyla kullanıcı, kampanya bütçesini 1.000 TL ile 10.000.000 TL arasında dinamik olarak belirleyebilir. Kategori Seçimi ile zorunlu kategori kısıtları çoklu seçim kutucuklarıyla tanımlanabilir. Kara Liste Yönetimi sayesinde istenmediği düşünülen influencer'lar listeden seçilerek otomatik olarak model dışında tutulur; kara listedeki hesapların profil görselleri de arayüzde görüntülenmektedir. Sonuç Görüntüleme ekranında optimizasyon çalıştırıldığında; seçilen kişi sayısı, harcanan bütçe, kalan bütçe ve toplam MCDM skoru metrik kartlarda özetlenmektedir. Seçilen influencer'lar ızgara düzeninde fotoğrafları, kategorileri, takipçi sayıları, tahmini maliyetleri ve MCDM skorlarıyla birlikte listelenmektedir.</w:t>
      </w:r>
    </w:p>
    <w:p>
      <w:r>
        <w:br w:type="page"/>
      </w:r>
    </w:p>
    <w:p>
      <w:pPr>
        <w:pStyle w:val="Heading1"/>
      </w:pPr>
      <w:r>
        <w:rPr>
          <w:rFonts w:ascii="Times New Roman" w:hAnsi="Times New Roman"/>
          <w:b/>
          <w:color w:val="000000"/>
          <w:sz w:val="24"/>
        </w:rPr>
        <w:t>4. SONUÇ VE ÖNERİLER</w:t>
      </w:r>
    </w:p>
    <w:p>
      <w:pPr>
        <w:spacing w:line="360" w:lineRule="exact" w:after="120"/>
        <w:ind w:firstLine="567"/>
        <w:jc w:val="both"/>
      </w:pPr>
      <w:r>
        <w:rPr>
          <w:rFonts w:ascii="Times New Roman" w:hAnsi="Times New Roman"/>
          <w:b w:val="0"/>
          <w:i w:val="0"/>
          <w:sz w:val="24"/>
        </w:rPr>
        <w:t>Bu çalışmanın ikinci dönem (ENM458) ilk altı haftasında gerçekleştirilen çalışmalar ve ulaşılan sonuçlar şu şekilde özetlenebilir.</w:t>
      </w:r>
    </w:p>
    <w:p>
      <w:pPr>
        <w:spacing w:line="360" w:lineRule="exact" w:after="120"/>
        <w:ind w:firstLine="567"/>
        <w:jc w:val="both"/>
      </w:pPr>
      <w:r>
        <w:rPr>
          <w:rFonts w:ascii="Times New Roman" w:hAnsi="Times New Roman"/>
          <w:b w:val="0"/>
          <w:i w:val="0"/>
          <w:sz w:val="24"/>
        </w:rPr>
        <w:t>Birinci dönemde Selenium tabanlı web kazıma yöntemiyle oluşturulan TikTok veri seti, ikinci dönemde analitik dönüşüm süreçlerinden geçirilerek optimizasyon modeline hazır hale getirilmiştir. Etkileşim vekili hesaplamaları, takipçi sayısının tek başına performansı açıklamadaki yetersizliğini bir kez daha doğrulamıştır; yüksek takipçili bazı hesapların, düşük takipçili ama etkileşim odaklı hesapların gerisinde MCDM skoru aldığı gözlemlenmiştir.</w:t>
      </w:r>
    </w:p>
    <w:p>
      <w:pPr>
        <w:spacing w:line="360" w:lineRule="exact" w:after="120"/>
        <w:ind w:firstLine="567"/>
        <w:jc w:val="both"/>
      </w:pPr>
      <w:r>
        <w:rPr>
          <w:rFonts w:ascii="Times New Roman" w:hAnsi="Times New Roman"/>
          <w:b w:val="0"/>
          <w:i w:val="0"/>
          <w:sz w:val="24"/>
        </w:rPr>
        <w:t>Gurobi ILP modeli, farklı bütçe senaryolarında (50K, 150K, 300K, 600K TL) tutarlı ve matematiksel olarak optimal portföyler üretmektedir. Model, geleneksel sezgisel yaklaşımların aksine, portföy bütçesini katmanlar arasında dengeleyerek hem maliyet etkinliğini hem de kategori çeşitliliğini optimize etmektedir.</w:t>
      </w:r>
    </w:p>
    <w:p>
      <w:pPr>
        <w:spacing w:line="360" w:lineRule="exact" w:after="120"/>
        <w:ind w:firstLine="567"/>
        <w:jc w:val="both"/>
      </w:pPr>
      <w:r>
        <w:rPr>
          <w:rFonts w:ascii="Times New Roman" w:hAnsi="Times New Roman"/>
          <w:b w:val="0"/>
          <w:i w:val="0"/>
          <w:sz w:val="24"/>
        </w:rPr>
        <w:t>Çalışmanın sınırlılıkları değerlendirildiğinde, maliyet modelinin gerçek piyasa fiyatlarının sektör benchmarklarına dayanan bir tahmini olduğu ve bireysel pazarlık koşullarını yansıtmadığı görülmektedir. Veri seti yalnızca belirli bir zaman dilimini kapsamakta olup influencer performansı zaman içinde dalgalanabilmektedir. Web kazıma yöntemi yalnızca herkese açık profillerle sınırlıdır.</w:t>
      </w:r>
    </w:p>
    <w:p>
      <w:pPr>
        <w:spacing w:line="360" w:lineRule="exact" w:after="120"/>
        <w:ind w:firstLine="567"/>
        <w:jc w:val="both"/>
      </w:pPr>
      <w:r>
        <w:rPr>
          <w:rFonts w:ascii="Times New Roman" w:hAnsi="Times New Roman"/>
          <w:b w:val="0"/>
          <w:i w:val="0"/>
          <w:sz w:val="24"/>
        </w:rPr>
        <w:t>Sonraki aşamada (Hafta 7-14) planlananlara bakıldığında, farklı bütçe seviyeleri ve kriter ağırlık kombinasyonları için kapsamlı duyarlılık analizi (Sensitivity Analysis) gerçekleştirilecektir. Modelin farklı marka profilleri için örnek vaka çalışmaları hazırlanacaktır. Streamlit arayüzüne senaryo karşılaştırma ve sonuç dışa aktarma özellikleri eklenecektir. Tüm çalışma, ENM458 tez yazım kılavuzuna uygun biçimde formatlanarak nihai forma taşınacaktır.</w:t>
      </w:r>
    </w:p>
    <w:p>
      <w:r>
        <w:br w:type="page"/>
      </w:r>
    </w:p>
    <w:p>
      <w:pPr>
        <w:pStyle w:val="Heading1"/>
      </w:pPr>
      <w:r>
        <w:rPr>
          <w:rFonts w:ascii="Times New Roman" w:hAnsi="Times New Roman"/>
          <w:b/>
          <w:color w:val="000000"/>
          <w:sz w:val="24"/>
        </w:rPr>
        <w:t>KAYNAKÇA</w:t>
      </w:r>
    </w:p>
    <w:p>
      <w:pPr>
        <w:spacing w:line="360" w:lineRule="exact" w:after="60"/>
        <w:ind w:firstLine="0" w:left="567"/>
        <w:jc w:val="both"/>
      </w:pPr>
      <w:r>
        <w:rPr>
          <w:rFonts w:ascii="Times New Roman" w:hAnsi="Times New Roman"/>
          <w:sz w:val="24"/>
        </w:rPr>
        <w:t>[1]</w:t>
        <w:tab/>
        <w:t>Johnson, M., &amp; Alvarez, L. (2021). The Rise of Digital Influencers: Shaping the Future of Marketing. Journal of Digital Communication, 14(3), 210–225.</w:t>
      </w:r>
    </w:p>
    <w:p>
      <w:pPr>
        <w:spacing w:line="360" w:lineRule="exact" w:after="60"/>
        <w:ind w:firstLine="0" w:left="567"/>
        <w:jc w:val="both"/>
      </w:pPr>
      <w:r>
        <w:rPr>
          <w:rFonts w:ascii="Times New Roman" w:hAnsi="Times New Roman"/>
          <w:sz w:val="24"/>
        </w:rPr>
        <w:t>[2]</w:t>
        <w:tab/>
        <w:t>Kumar, R., &amp; Lee, D. (2020). Influencer Marketing with Social Platforms. Social Media Research Journal, 8(4), 112–130.</w:t>
      </w:r>
    </w:p>
    <w:p>
      <w:pPr>
        <w:spacing w:line="360" w:lineRule="exact" w:after="60"/>
        <w:ind w:firstLine="0" w:left="567"/>
        <w:jc w:val="both"/>
      </w:pPr>
      <w:r>
        <w:rPr>
          <w:rFonts w:ascii="Times New Roman" w:hAnsi="Times New Roman"/>
          <w:sz w:val="24"/>
        </w:rPr>
        <w:t>[3]</w:t>
        <w:tab/>
        <w:t>Zhang, P., &amp; Han, Y. (2023). Social Media Influencer Marketing: Foundations, Trends and Research Directions. International Journal of Marketing Science, 19(1), 55–74.</w:t>
      </w:r>
    </w:p>
    <w:p>
      <w:pPr>
        <w:spacing w:line="360" w:lineRule="exact" w:after="60"/>
        <w:ind w:firstLine="0" w:left="567"/>
        <w:jc w:val="both"/>
      </w:pPr>
      <w:r>
        <w:rPr>
          <w:rFonts w:ascii="Times New Roman" w:hAnsi="Times New Roman"/>
          <w:sz w:val="24"/>
        </w:rPr>
        <w:t>[4]</w:t>
        <w:tab/>
        <w:t>Andersson, S., &amp; Bergström, E. (2020). Instagram and Influencer Marketing: An Empirical Study of the Parameters Behind Success. Procedia Economics and Business, 7(2), 89–101.</w:t>
      </w:r>
    </w:p>
    <w:p>
      <w:pPr>
        <w:spacing w:line="360" w:lineRule="exact" w:after="60"/>
        <w:ind w:firstLine="0" w:left="567"/>
        <w:jc w:val="both"/>
      </w:pPr>
      <w:r>
        <w:rPr>
          <w:rFonts w:ascii="Times New Roman" w:hAnsi="Times New Roman"/>
          <w:sz w:val="24"/>
        </w:rPr>
        <w:t>[5]</w:t>
        <w:tab/>
        <w:t>De Veirman, M., Cauberghe, V., &amp; Hudders, L. (2017). Marketing through Instagram influencers: The impact of number of followers and product divergence. International Journal of Advertising, 36(5), 798–828.</w:t>
      </w:r>
    </w:p>
    <w:p>
      <w:pPr>
        <w:spacing w:line="360" w:lineRule="exact" w:after="60"/>
        <w:ind w:firstLine="0" w:left="567"/>
        <w:jc w:val="both"/>
      </w:pPr>
      <w:r>
        <w:rPr>
          <w:rFonts w:ascii="Times New Roman" w:hAnsi="Times New Roman"/>
          <w:sz w:val="24"/>
        </w:rPr>
        <w:t>[6]</w:t>
        <w:tab/>
        <w:t>Lou, C., &amp; Yuan, S. (2019). Influencer marketing: How message value and credibility affect consumer trust. Journal of Interactive Advertising, 19(1), 58–73.</w:t>
      </w:r>
    </w:p>
    <w:p>
      <w:pPr>
        <w:spacing w:line="360" w:lineRule="exact" w:after="60"/>
        <w:ind w:firstLine="0" w:left="567"/>
        <w:jc w:val="both"/>
      </w:pPr>
      <w:r>
        <w:rPr>
          <w:rFonts w:ascii="Times New Roman" w:hAnsi="Times New Roman"/>
          <w:sz w:val="24"/>
        </w:rPr>
        <w:t>[7]</w:t>
        <w:tab/>
        <w:t>Saito, M., &amp; Kobayashi, K. (2019). A SI Model for Social Media Influencer Maximization. IEEE Access, 7, 150876–150889.</w:t>
      </w:r>
    </w:p>
    <w:p>
      <w:pPr>
        <w:spacing w:line="360" w:lineRule="exact" w:after="60"/>
        <w:ind w:firstLine="0" w:left="567"/>
        <w:jc w:val="both"/>
      </w:pPr>
      <w:r>
        <w:rPr>
          <w:rFonts w:ascii="Times New Roman" w:hAnsi="Times New Roman"/>
          <w:sz w:val="24"/>
        </w:rPr>
        <w:t>[8]</w:t>
        <w:tab/>
        <w:t>Tiukhova, L., Korovin, D., &amp; Melnikov, P. (2022). Influencer Prediction with Dynamic Graph Neural Networks. Neural Networks, 154, 145–159.</w:t>
      </w:r>
    </w:p>
    <w:p>
      <w:pPr>
        <w:spacing w:line="360" w:lineRule="exact" w:after="60"/>
        <w:ind w:firstLine="0" w:left="567"/>
        <w:jc w:val="both"/>
      </w:pPr>
      <w:r>
        <w:rPr>
          <w:rFonts w:ascii="Times New Roman" w:hAnsi="Times New Roman"/>
          <w:sz w:val="24"/>
        </w:rPr>
        <w:t>[9]</w:t>
        <w:tab/>
        <w:t>Li, C., &amp; Wang, H. (2022). Computational Studies in Influencer Marketing. Expert Systems with Applications, 193, 116–127.</w:t>
      </w:r>
    </w:p>
    <w:p>
      <w:pPr>
        <w:spacing w:line="360" w:lineRule="exact" w:after="60"/>
        <w:ind w:firstLine="0" w:left="567"/>
        <w:jc w:val="both"/>
      </w:pPr>
      <w:r>
        <w:rPr>
          <w:rFonts w:ascii="Times New Roman" w:hAnsi="Times New Roman"/>
          <w:sz w:val="24"/>
        </w:rPr>
        <w:t>[10]</w:t>
        <w:tab/>
        <w:t>Kim, S., &amp; Cho, Y. (2023). Optimal Influencer Marketing Campaign under Budget Constraints. Journal of Business Analytics, 12(3), 180–195.</w:t>
      </w:r>
    </w:p>
    <w:p>
      <w:pPr>
        <w:spacing w:line="360" w:lineRule="exact" w:after="60"/>
        <w:ind w:firstLine="0" w:left="567"/>
        <w:jc w:val="both"/>
      </w:pPr>
      <w:r>
        <w:rPr>
          <w:rFonts w:ascii="Times New Roman" w:hAnsi="Times New Roman"/>
          <w:sz w:val="24"/>
        </w:rPr>
        <w:t>[11]</w:t>
        <w:tab/>
        <w:t>López-Dawn, A., &amp; Giovanidis, A. (2021). Budgeted Portfolio Optimization Model for Social Media Influencer Selection. Journal of Applied Optimization, 18(4), 300–315.</w:t>
      </w:r>
    </w:p>
    <w:p>
      <w:pPr>
        <w:spacing w:line="360" w:lineRule="exact" w:after="60"/>
        <w:ind w:firstLine="0" w:left="567"/>
        <w:jc w:val="both"/>
      </w:pPr>
      <w:r>
        <w:rPr>
          <w:rFonts w:ascii="Times New Roman" w:hAnsi="Times New Roman"/>
          <w:sz w:val="24"/>
        </w:rPr>
        <w:t>[12]</w:t>
        <w:tab/>
        <w:t>Araujo, T., Neijens, P., &amp; Vliegenthart, R. (2019). Discovering Effective Influencers. Computers in Human Behavior, 98, 10–20.</w:t>
      </w:r>
    </w:p>
    <w:p>
      <w:pPr>
        <w:spacing w:line="360" w:lineRule="exact" w:after="60"/>
        <w:ind w:firstLine="0" w:left="567"/>
        <w:jc w:val="both"/>
      </w:pPr>
      <w:r>
        <w:rPr>
          <w:rFonts w:ascii="Times New Roman" w:hAnsi="Times New Roman"/>
          <w:sz w:val="24"/>
        </w:rPr>
        <w:t>[13]</w:t>
        <w:tab/>
        <w:t>Phua, J., Jin, S. V., &amp; Kim, J. (2020). The roles of celebrity endorsers' credibility and attractiveness in influencer marketing. Computers in Human Behavior, 102, 310–321.</w:t>
      </w:r>
    </w:p>
    <w:p>
      <w:pPr>
        <w:spacing w:line="360" w:lineRule="exact" w:after="60"/>
        <w:ind w:firstLine="0" w:left="567"/>
        <w:jc w:val="both"/>
      </w:pPr>
      <w:r>
        <w:rPr>
          <w:rFonts w:ascii="Times New Roman" w:hAnsi="Times New Roman"/>
          <w:sz w:val="24"/>
        </w:rPr>
        <w:t>[14]</w:t>
        <w:tab/>
        <w:t>Influencer Marketing Hub. (2023). Influencer Marketing Benchmark Report 2023. Global Industry Review Series.</w:t>
      </w:r>
    </w:p>
    <w:p>
      <w:pPr>
        <w:spacing w:line="360" w:lineRule="exact" w:after="60"/>
        <w:ind w:firstLine="0" w:left="567"/>
        <w:jc w:val="both"/>
      </w:pPr>
      <w:r>
        <w:rPr>
          <w:rFonts w:ascii="Times New Roman" w:hAnsi="Times New Roman"/>
          <w:sz w:val="24"/>
        </w:rPr>
        <w:t>[15]</w:t>
        <w:tab/>
        <w:t>Dwivedi, Y. K., et al. (2021). Setting the future of digital and social media marketing research. International Journal of Information Management, 59, 102168.</w:t>
      </w:r>
    </w:p>
    <w:p>
      <w:r>
        <w:br w:type="page"/>
      </w:r>
    </w:p>
    <w:p>
      <w:pPr>
        <w:pStyle w:val="Heading1"/>
      </w:pPr>
      <w:r>
        <w:rPr>
          <w:rFonts w:ascii="Times New Roman" w:hAnsi="Times New Roman"/>
          <w:b/>
          <w:color w:val="000000"/>
          <w:sz w:val="24"/>
        </w:rPr>
        <w:t>EKLER</w:t>
      </w:r>
    </w:p>
    <w:p>
      <w:pPr>
        <w:pStyle w:val="Heading2"/>
      </w:pPr>
      <w:r>
        <w:rPr>
          <w:rFonts w:ascii="Times New Roman" w:hAnsi="Times New Roman"/>
          <w:b/>
          <w:color w:val="000000"/>
          <w:sz w:val="24"/>
        </w:rPr>
        <w:t>Tablo E.1. İş-Zaman Çizelgesi</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D9D9"/>
          </w:tcPr>
          <w:p>
            <w:pPr>
              <w:jc w:val="left"/>
            </w:pPr>
            <w:r/>
            <w:r>
              <w:rPr>
                <w:rFonts w:ascii="Times New Roman" w:hAnsi="Times New Roman"/>
                <w:b/>
                <w:sz w:val="20"/>
              </w:rPr>
              <w:t>No</w:t>
            </w:r>
          </w:p>
        </w:tc>
        <w:tc>
          <w:tcPr>
            <w:tcW w:type="dxa" w:w="2126"/>
            <w:shd w:val="clear" w:color="auto" w:fill="D9D9D9"/>
          </w:tcPr>
          <w:p>
            <w:pPr>
              <w:jc w:val="left"/>
            </w:pPr>
            <w:r/>
            <w:r>
              <w:rPr>
                <w:rFonts w:ascii="Times New Roman" w:hAnsi="Times New Roman"/>
                <w:b/>
                <w:sz w:val="20"/>
              </w:rPr>
              <w:t>İş Paketinin Adı</w:t>
            </w:r>
          </w:p>
        </w:tc>
        <w:tc>
          <w:tcPr>
            <w:tcW w:type="dxa" w:w="2126"/>
            <w:shd w:val="clear" w:color="auto" w:fill="D9D9D9"/>
          </w:tcPr>
          <w:p>
            <w:pPr>
              <w:jc w:val="left"/>
            </w:pPr>
            <w:r/>
            <w:r>
              <w:rPr>
                <w:rFonts w:ascii="Times New Roman" w:hAnsi="Times New Roman"/>
                <w:b/>
                <w:sz w:val="20"/>
              </w:rPr>
              <w:t>Zaman Aralığı</w:t>
            </w:r>
          </w:p>
        </w:tc>
        <w:tc>
          <w:tcPr>
            <w:tcW w:type="dxa" w:w="2126"/>
            <w:shd w:val="clear" w:color="auto" w:fill="D9D9D9"/>
          </w:tcPr>
          <w:p>
            <w:pPr>
              <w:jc w:val="left"/>
            </w:pPr>
            <w:r/>
            <w:r>
              <w:rPr>
                <w:rFonts w:ascii="Times New Roman" w:hAnsi="Times New Roman"/>
                <w:b/>
                <w:sz w:val="20"/>
              </w:rPr>
              <w:t>Takım Lideri</w:t>
            </w:r>
          </w:p>
        </w:tc>
      </w:tr>
      <w:tr>
        <w:tc>
          <w:tcPr>
            <w:tcW w:type="dxa" w:w="2126"/>
          </w:tcPr>
          <w:p>
            <w:pPr>
              <w:jc w:val="left"/>
            </w:pPr>
            <w:r/>
            <w:r>
              <w:rPr>
                <w:rFonts w:ascii="Times New Roman" w:hAnsi="Times New Roman"/>
                <w:b w:val="0"/>
                <w:sz w:val="20"/>
              </w:rPr>
              <w:t>1</w:t>
            </w:r>
          </w:p>
        </w:tc>
        <w:tc>
          <w:tcPr>
            <w:tcW w:type="dxa" w:w="2126"/>
          </w:tcPr>
          <w:p>
            <w:pPr>
              <w:jc w:val="left"/>
            </w:pPr>
            <w:r/>
            <w:r>
              <w:rPr>
                <w:rFonts w:ascii="Times New Roman" w:hAnsi="Times New Roman"/>
                <w:b w:val="0"/>
                <w:sz w:val="20"/>
              </w:rPr>
              <w:t>Veri Toplama Stratejisinin Belirlenmesi ve Ön Analiz</w:t>
            </w:r>
          </w:p>
        </w:tc>
        <w:tc>
          <w:tcPr>
            <w:tcW w:type="dxa" w:w="2126"/>
          </w:tcPr>
          <w:p>
            <w:pPr>
              <w:jc w:val="left"/>
            </w:pPr>
            <w:r/>
            <w:r>
              <w:rPr>
                <w:rFonts w:ascii="Times New Roman" w:hAnsi="Times New Roman"/>
                <w:b w:val="0"/>
                <w:sz w:val="20"/>
              </w:rPr>
              <w:t>Ekim – Kasım 2025</w:t>
            </w:r>
          </w:p>
        </w:tc>
        <w:tc>
          <w:tcPr>
            <w:tcW w:type="dxa" w:w="2126"/>
          </w:tcPr>
          <w:p>
            <w:pPr>
              <w:jc w:val="left"/>
            </w:pPr>
            <w:r/>
            <w:r>
              <w:rPr>
                <w:rFonts w:ascii="Times New Roman" w:hAnsi="Times New Roman"/>
                <w:b w:val="0"/>
                <w:sz w:val="20"/>
              </w:rPr>
              <w:t>Esra Zeyrek</w:t>
            </w:r>
          </w:p>
        </w:tc>
      </w:tr>
      <w:tr>
        <w:tc>
          <w:tcPr>
            <w:tcW w:type="dxa" w:w="2126"/>
          </w:tcPr>
          <w:p>
            <w:pPr>
              <w:jc w:val="left"/>
            </w:pPr>
            <w:r/>
            <w:r>
              <w:rPr>
                <w:rFonts w:ascii="Times New Roman" w:hAnsi="Times New Roman"/>
                <w:b w:val="0"/>
                <w:sz w:val="20"/>
              </w:rPr>
              <w:t>2</w:t>
            </w:r>
          </w:p>
        </w:tc>
        <w:tc>
          <w:tcPr>
            <w:tcW w:type="dxa" w:w="2126"/>
          </w:tcPr>
          <w:p>
            <w:pPr>
              <w:jc w:val="left"/>
            </w:pPr>
            <w:r/>
            <w:r>
              <w:rPr>
                <w:rFonts w:ascii="Times New Roman" w:hAnsi="Times New Roman"/>
                <w:b w:val="0"/>
                <w:sz w:val="20"/>
              </w:rPr>
              <w:t>Kapsamlı Verinin Toplanması ve Veri Temizleme</w:t>
            </w:r>
          </w:p>
        </w:tc>
        <w:tc>
          <w:tcPr>
            <w:tcW w:type="dxa" w:w="2126"/>
          </w:tcPr>
          <w:p>
            <w:pPr>
              <w:jc w:val="left"/>
            </w:pPr>
            <w:r/>
            <w:r>
              <w:rPr>
                <w:rFonts w:ascii="Times New Roman" w:hAnsi="Times New Roman"/>
                <w:b w:val="0"/>
                <w:sz w:val="20"/>
              </w:rPr>
              <w:t>Kasım – Aralık 2025</w:t>
            </w:r>
          </w:p>
        </w:tc>
        <w:tc>
          <w:tcPr>
            <w:tcW w:type="dxa" w:w="2126"/>
          </w:tcPr>
          <w:p>
            <w:pPr>
              <w:jc w:val="left"/>
            </w:pPr>
            <w:r/>
            <w:r>
              <w:rPr>
                <w:rFonts w:ascii="Times New Roman" w:hAnsi="Times New Roman"/>
                <w:b w:val="0"/>
                <w:sz w:val="20"/>
              </w:rPr>
              <w:t>A. Raif Yıldırım</w:t>
            </w:r>
          </w:p>
        </w:tc>
      </w:tr>
      <w:tr>
        <w:tc>
          <w:tcPr>
            <w:tcW w:type="dxa" w:w="2126"/>
          </w:tcPr>
          <w:p>
            <w:pPr>
              <w:jc w:val="left"/>
            </w:pPr>
            <w:r/>
            <w:r>
              <w:rPr>
                <w:rFonts w:ascii="Times New Roman" w:hAnsi="Times New Roman"/>
                <w:b w:val="0"/>
                <w:sz w:val="20"/>
              </w:rPr>
              <w:t>3</w:t>
            </w:r>
          </w:p>
        </w:tc>
        <w:tc>
          <w:tcPr>
            <w:tcW w:type="dxa" w:w="2126"/>
          </w:tcPr>
          <w:p>
            <w:pPr>
              <w:jc w:val="left"/>
            </w:pPr>
            <w:r/>
            <w:r>
              <w:rPr>
                <w:rFonts w:ascii="Times New Roman" w:hAnsi="Times New Roman"/>
                <w:b w:val="0"/>
                <w:sz w:val="20"/>
              </w:rPr>
              <w:t>Verilerin İşlenmesi ve Keşifsel İstatistiksel Analiz</w:t>
            </w:r>
          </w:p>
        </w:tc>
        <w:tc>
          <w:tcPr>
            <w:tcW w:type="dxa" w:w="2126"/>
          </w:tcPr>
          <w:p>
            <w:pPr>
              <w:jc w:val="left"/>
            </w:pPr>
            <w:r/>
            <w:r>
              <w:rPr>
                <w:rFonts w:ascii="Times New Roman" w:hAnsi="Times New Roman"/>
                <w:b w:val="0"/>
                <w:sz w:val="20"/>
              </w:rPr>
              <w:t>Aralık 2025 – Ocak 2026</w:t>
            </w:r>
          </w:p>
        </w:tc>
        <w:tc>
          <w:tcPr>
            <w:tcW w:type="dxa" w:w="2126"/>
          </w:tcPr>
          <w:p>
            <w:pPr>
              <w:jc w:val="left"/>
            </w:pPr>
            <w:r/>
            <w:r>
              <w:rPr>
                <w:rFonts w:ascii="Times New Roman" w:hAnsi="Times New Roman"/>
                <w:b w:val="0"/>
                <w:sz w:val="20"/>
              </w:rPr>
              <w:t>Oğuzhan Dikmen</w:t>
            </w:r>
          </w:p>
        </w:tc>
      </w:tr>
      <w:tr>
        <w:tc>
          <w:tcPr>
            <w:tcW w:type="dxa" w:w="2126"/>
          </w:tcPr>
          <w:p>
            <w:pPr>
              <w:jc w:val="left"/>
            </w:pPr>
            <w:r/>
            <w:r>
              <w:rPr>
                <w:rFonts w:ascii="Times New Roman" w:hAnsi="Times New Roman"/>
                <w:b w:val="0"/>
                <w:sz w:val="20"/>
              </w:rPr>
              <w:t>4</w:t>
            </w:r>
          </w:p>
        </w:tc>
        <w:tc>
          <w:tcPr>
            <w:tcW w:type="dxa" w:w="2126"/>
          </w:tcPr>
          <w:p>
            <w:pPr>
              <w:jc w:val="left"/>
            </w:pPr>
            <w:r/>
            <w:r>
              <w:rPr>
                <w:rFonts w:ascii="Times New Roman" w:hAnsi="Times New Roman"/>
                <w:b w:val="0"/>
                <w:sz w:val="20"/>
              </w:rPr>
              <w:t>Engagement Proxy, MCDM Skoru ve Maliyet Modeli Geliştirme</w:t>
            </w:r>
          </w:p>
        </w:tc>
        <w:tc>
          <w:tcPr>
            <w:tcW w:type="dxa" w:w="2126"/>
          </w:tcPr>
          <w:p>
            <w:pPr>
              <w:jc w:val="left"/>
            </w:pPr>
            <w:r/>
            <w:r>
              <w:rPr>
                <w:rFonts w:ascii="Times New Roman" w:hAnsi="Times New Roman"/>
                <w:b w:val="0"/>
                <w:sz w:val="20"/>
              </w:rPr>
              <w:t>Ocak – Şubat 2026</w:t>
            </w:r>
          </w:p>
        </w:tc>
        <w:tc>
          <w:tcPr>
            <w:tcW w:type="dxa" w:w="2126"/>
          </w:tcPr>
          <w:p>
            <w:pPr>
              <w:jc w:val="left"/>
            </w:pPr>
            <w:r/>
            <w:r>
              <w:rPr>
                <w:rFonts w:ascii="Times New Roman" w:hAnsi="Times New Roman"/>
                <w:b w:val="0"/>
                <w:sz w:val="20"/>
              </w:rPr>
              <w:t>A. Raif Yıldırım</w:t>
            </w:r>
          </w:p>
        </w:tc>
      </w:tr>
      <w:tr>
        <w:tc>
          <w:tcPr>
            <w:tcW w:type="dxa" w:w="2126"/>
          </w:tcPr>
          <w:p>
            <w:pPr>
              <w:jc w:val="left"/>
            </w:pPr>
            <w:r/>
            <w:r>
              <w:rPr>
                <w:rFonts w:ascii="Times New Roman" w:hAnsi="Times New Roman"/>
                <w:b w:val="0"/>
                <w:sz w:val="20"/>
              </w:rPr>
              <w:t>5</w:t>
            </w:r>
          </w:p>
        </w:tc>
        <w:tc>
          <w:tcPr>
            <w:tcW w:type="dxa" w:w="2126"/>
          </w:tcPr>
          <w:p>
            <w:pPr>
              <w:jc w:val="left"/>
            </w:pPr>
            <w:r/>
            <w:r>
              <w:rPr>
                <w:rFonts w:ascii="Times New Roman" w:hAnsi="Times New Roman"/>
                <w:b w:val="0"/>
                <w:sz w:val="20"/>
              </w:rPr>
              <w:t>ILP Modelinin Kurulması, Gurobi Entegrasyonu ve Streamlit</w:t>
            </w:r>
          </w:p>
        </w:tc>
        <w:tc>
          <w:tcPr>
            <w:tcW w:type="dxa" w:w="2126"/>
          </w:tcPr>
          <w:p>
            <w:pPr>
              <w:jc w:val="left"/>
            </w:pPr>
            <w:r/>
            <w:r>
              <w:rPr>
                <w:rFonts w:ascii="Times New Roman" w:hAnsi="Times New Roman"/>
                <w:b w:val="0"/>
                <w:sz w:val="20"/>
              </w:rPr>
              <w:t>Şubat – Mart 2026</w:t>
            </w:r>
          </w:p>
        </w:tc>
        <w:tc>
          <w:tcPr>
            <w:tcW w:type="dxa" w:w="2126"/>
          </w:tcPr>
          <w:p>
            <w:pPr>
              <w:jc w:val="left"/>
            </w:pPr>
            <w:r/>
            <w:r>
              <w:rPr>
                <w:rFonts w:ascii="Times New Roman" w:hAnsi="Times New Roman"/>
                <w:b w:val="0"/>
                <w:sz w:val="20"/>
              </w:rPr>
              <w:t>Esra Zeyrek</w:t>
            </w:r>
          </w:p>
        </w:tc>
      </w:tr>
      <w:tr>
        <w:tc>
          <w:tcPr>
            <w:tcW w:type="dxa" w:w="2126"/>
          </w:tcPr>
          <w:p>
            <w:pPr>
              <w:jc w:val="left"/>
            </w:pPr>
            <w:r/>
            <w:r>
              <w:rPr>
                <w:rFonts w:ascii="Times New Roman" w:hAnsi="Times New Roman"/>
                <w:b w:val="0"/>
                <w:sz w:val="20"/>
              </w:rPr>
              <w:t>6</w:t>
            </w:r>
          </w:p>
        </w:tc>
        <w:tc>
          <w:tcPr>
            <w:tcW w:type="dxa" w:w="2126"/>
          </w:tcPr>
          <w:p>
            <w:pPr>
              <w:jc w:val="left"/>
            </w:pPr>
            <w:r/>
            <w:r>
              <w:rPr>
                <w:rFonts w:ascii="Times New Roman" w:hAnsi="Times New Roman"/>
                <w:b w:val="0"/>
                <w:sz w:val="20"/>
              </w:rPr>
              <w:t>Senaryo Analizleri, Duyarlılık Testi ve Model Doğrulama</w:t>
            </w:r>
          </w:p>
        </w:tc>
        <w:tc>
          <w:tcPr>
            <w:tcW w:type="dxa" w:w="2126"/>
          </w:tcPr>
          <w:p>
            <w:pPr>
              <w:jc w:val="left"/>
            </w:pPr>
            <w:r/>
            <w:r>
              <w:rPr>
                <w:rFonts w:ascii="Times New Roman" w:hAnsi="Times New Roman"/>
                <w:b w:val="0"/>
                <w:sz w:val="20"/>
              </w:rPr>
              <w:t>Nisan – Mayıs 2026</w:t>
            </w:r>
          </w:p>
        </w:tc>
        <w:tc>
          <w:tcPr>
            <w:tcW w:type="dxa" w:w="2126"/>
          </w:tcPr>
          <w:p>
            <w:pPr>
              <w:jc w:val="left"/>
            </w:pPr>
            <w:r/>
            <w:r>
              <w:rPr>
                <w:rFonts w:ascii="Times New Roman" w:hAnsi="Times New Roman"/>
                <w:b w:val="0"/>
                <w:sz w:val="20"/>
              </w:rPr>
              <w:t>Oğuzhan Dikmen</w:t>
            </w:r>
          </w:p>
        </w:tc>
      </w:tr>
      <w:tr>
        <w:tc>
          <w:tcPr>
            <w:tcW w:type="dxa" w:w="2126"/>
          </w:tcPr>
          <w:p>
            <w:pPr>
              <w:jc w:val="left"/>
            </w:pPr>
            <w:r/>
            <w:r>
              <w:rPr>
                <w:rFonts w:ascii="Times New Roman" w:hAnsi="Times New Roman"/>
                <w:b w:val="0"/>
                <w:sz w:val="20"/>
              </w:rPr>
              <w:t>7</w:t>
            </w:r>
          </w:p>
        </w:tc>
        <w:tc>
          <w:tcPr>
            <w:tcW w:type="dxa" w:w="2126"/>
          </w:tcPr>
          <w:p>
            <w:pPr>
              <w:jc w:val="left"/>
            </w:pPr>
            <w:r/>
            <w:r>
              <w:rPr>
                <w:rFonts w:ascii="Times New Roman" w:hAnsi="Times New Roman"/>
                <w:b w:val="0"/>
                <w:sz w:val="20"/>
              </w:rPr>
              <w:t>Sonuçların Değerlendirilmesi, Raporlama ve Tez Yazımı</w:t>
            </w:r>
          </w:p>
        </w:tc>
        <w:tc>
          <w:tcPr>
            <w:tcW w:type="dxa" w:w="2126"/>
          </w:tcPr>
          <w:p>
            <w:pPr>
              <w:jc w:val="left"/>
            </w:pPr>
            <w:r/>
            <w:r>
              <w:rPr>
                <w:rFonts w:ascii="Times New Roman" w:hAnsi="Times New Roman"/>
                <w:b w:val="0"/>
                <w:sz w:val="20"/>
              </w:rPr>
              <w:t>Mayıs 2026</w:t>
            </w:r>
          </w:p>
        </w:tc>
        <w:tc>
          <w:tcPr>
            <w:tcW w:type="dxa" w:w="2126"/>
          </w:tcPr>
          <w:p>
            <w:pPr>
              <w:jc w:val="left"/>
            </w:pPr>
            <w:r/>
            <w:r>
              <w:rPr>
                <w:rFonts w:ascii="Times New Roman" w:hAnsi="Times New Roman"/>
                <w:b w:val="0"/>
                <w:sz w:val="20"/>
              </w:rPr>
              <w:t>Esra Zeyrek</w:t>
            </w:r>
          </w:p>
        </w:tc>
      </w:tr>
    </w:tbl>
    <w:p/>
    <w:p>
      <w:pPr>
        <w:pStyle w:val="Heading2"/>
      </w:pPr>
      <w:r>
        <w:rPr>
          <w:rFonts w:ascii="Times New Roman" w:hAnsi="Times New Roman"/>
          <w:b/>
          <w:color w:val="000000"/>
          <w:sz w:val="24"/>
        </w:rPr>
        <w:t>Tablo E.2. Risk Yönetim Tablosu (B Planı)</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D9D9"/>
          </w:tcPr>
          <w:p>
            <w:pPr>
              <w:jc w:val="left"/>
            </w:pPr>
            <w:r/>
            <w:r>
              <w:rPr>
                <w:rFonts w:ascii="Times New Roman" w:hAnsi="Times New Roman"/>
                <w:b/>
                <w:sz w:val="20"/>
              </w:rPr>
              <w:t>No</w:t>
            </w:r>
          </w:p>
        </w:tc>
        <w:tc>
          <w:tcPr>
            <w:tcW w:type="dxa" w:w="2835"/>
            <w:shd w:val="clear" w:color="auto" w:fill="D9D9D9"/>
          </w:tcPr>
          <w:p>
            <w:pPr>
              <w:jc w:val="left"/>
            </w:pPr>
            <w:r/>
            <w:r>
              <w:rPr>
                <w:rFonts w:ascii="Times New Roman" w:hAnsi="Times New Roman"/>
                <w:b/>
                <w:sz w:val="20"/>
              </w:rPr>
              <w:t>En Büyük Riskler</w:t>
            </w:r>
          </w:p>
        </w:tc>
        <w:tc>
          <w:tcPr>
            <w:tcW w:type="dxa" w:w="2835"/>
            <w:shd w:val="clear" w:color="auto" w:fill="D9D9D9"/>
          </w:tcPr>
          <w:p>
            <w:pPr>
              <w:jc w:val="left"/>
            </w:pPr>
            <w:r/>
            <w:r>
              <w:rPr>
                <w:rFonts w:ascii="Times New Roman" w:hAnsi="Times New Roman"/>
                <w:b/>
                <w:sz w:val="20"/>
              </w:rPr>
              <w:t>Risk Yönetimi (B Planı)</w:t>
            </w:r>
          </w:p>
        </w:tc>
      </w:tr>
      <w:tr>
        <w:tc>
          <w:tcPr>
            <w:tcW w:type="dxa" w:w="2835"/>
          </w:tcPr>
          <w:p>
            <w:pPr>
              <w:jc w:val="left"/>
            </w:pPr>
            <w:r/>
            <w:r>
              <w:rPr>
                <w:rFonts w:ascii="Times New Roman" w:hAnsi="Times New Roman"/>
                <w:b w:val="0"/>
                <w:sz w:val="20"/>
              </w:rPr>
              <w:t>1</w:t>
            </w:r>
          </w:p>
        </w:tc>
        <w:tc>
          <w:tcPr>
            <w:tcW w:type="dxa" w:w="2835"/>
          </w:tcPr>
          <w:p>
            <w:pPr>
              <w:jc w:val="left"/>
            </w:pPr>
            <w:r/>
            <w:r>
              <w:rPr>
                <w:rFonts w:ascii="Times New Roman" w:hAnsi="Times New Roman"/>
                <w:b w:val="0"/>
                <w:sz w:val="20"/>
              </w:rPr>
              <w:t>TikTok'un veri erişimini kısıtlaması veya doğrulama mekanizmalarını artırması</w:t>
            </w:r>
          </w:p>
        </w:tc>
        <w:tc>
          <w:tcPr>
            <w:tcW w:type="dxa" w:w="2835"/>
          </w:tcPr>
          <w:p>
            <w:pPr>
              <w:jc w:val="left"/>
            </w:pPr>
            <w:r/>
            <w:r>
              <w:rPr>
                <w:rFonts w:ascii="Times New Roman" w:hAnsi="Times New Roman"/>
                <w:b w:val="0"/>
                <w:sz w:val="20"/>
              </w:rPr>
              <w:t>Esnek scraper yapısı kullanılmaktadır. Kısıtlama artarsa veri çekme hızı azaltılacak, mevcut veri seti ek kaynaklarla zenginleştirilecektir.</w:t>
            </w:r>
          </w:p>
        </w:tc>
      </w:tr>
      <w:tr>
        <w:tc>
          <w:tcPr>
            <w:tcW w:type="dxa" w:w="2835"/>
          </w:tcPr>
          <w:p>
            <w:pPr>
              <w:jc w:val="left"/>
            </w:pPr>
            <w:r/>
            <w:r>
              <w:rPr>
                <w:rFonts w:ascii="Times New Roman" w:hAnsi="Times New Roman"/>
                <w:b w:val="0"/>
                <w:sz w:val="20"/>
              </w:rPr>
              <w:t>2</w:t>
            </w:r>
          </w:p>
        </w:tc>
        <w:tc>
          <w:tcPr>
            <w:tcW w:type="dxa" w:w="2835"/>
          </w:tcPr>
          <w:p>
            <w:pPr>
              <w:jc w:val="left"/>
            </w:pPr>
            <w:r/>
            <w:r>
              <w:rPr>
                <w:rFonts w:ascii="Times New Roman" w:hAnsi="Times New Roman"/>
                <w:b w:val="0"/>
                <w:sz w:val="20"/>
              </w:rPr>
              <w:t>Toplanan verinin analiz için yetersiz kalması</w:t>
            </w:r>
          </w:p>
        </w:tc>
        <w:tc>
          <w:tcPr>
            <w:tcW w:type="dxa" w:w="2835"/>
          </w:tcPr>
          <w:p>
            <w:pPr>
              <w:jc w:val="left"/>
            </w:pPr>
            <w:r/>
            <w:r>
              <w:rPr>
                <w:rFonts w:ascii="Times New Roman" w:hAnsi="Times New Roman"/>
                <w:b w:val="0"/>
                <w:sz w:val="20"/>
              </w:rPr>
              <w:t>Başlangıç örneklemi genişletilebilir biçimde tasarlanmıştır. Yetersizlik durumunda kullanıcı sayısı artırılacak veya normalize metrikler kullanılacaktır.</w:t>
            </w:r>
          </w:p>
        </w:tc>
      </w:tr>
      <w:tr>
        <w:tc>
          <w:tcPr>
            <w:tcW w:type="dxa" w:w="2835"/>
          </w:tcPr>
          <w:p>
            <w:pPr>
              <w:jc w:val="left"/>
            </w:pPr>
            <w:r/>
            <w:r>
              <w:rPr>
                <w:rFonts w:ascii="Times New Roman" w:hAnsi="Times New Roman"/>
                <w:b w:val="0"/>
                <w:sz w:val="20"/>
              </w:rPr>
              <w:t>3</w:t>
            </w:r>
          </w:p>
        </w:tc>
        <w:tc>
          <w:tcPr>
            <w:tcW w:type="dxa" w:w="2835"/>
          </w:tcPr>
          <w:p>
            <w:pPr>
              <w:jc w:val="left"/>
            </w:pPr>
            <w:r/>
            <w:r>
              <w:rPr>
                <w:rFonts w:ascii="Times New Roman" w:hAnsi="Times New Roman"/>
                <w:b w:val="0"/>
                <w:sz w:val="20"/>
              </w:rPr>
              <w:t>API eksikliği nedeniyle veri tutarlılığının sağlanamaması</w:t>
            </w:r>
          </w:p>
        </w:tc>
        <w:tc>
          <w:tcPr>
            <w:tcW w:type="dxa" w:w="2835"/>
          </w:tcPr>
          <w:p>
            <w:pPr>
              <w:jc w:val="left"/>
            </w:pPr>
            <w:r/>
            <w:r>
              <w:rPr>
                <w:rFonts w:ascii="Times New Roman" w:hAnsi="Times New Roman"/>
                <w:b w:val="0"/>
                <w:sz w:val="20"/>
              </w:rPr>
              <w:t>Veriler yalnızca herkese açık kaynaklardan toplanmış, veri temizleme ve çapraz doğrulama ile tutarlılık güvence altına alınmıştır.</w:t>
            </w:r>
          </w:p>
        </w:tc>
      </w:tr>
      <w:tr>
        <w:tc>
          <w:tcPr>
            <w:tcW w:type="dxa" w:w="2835"/>
          </w:tcPr>
          <w:p>
            <w:pPr>
              <w:jc w:val="left"/>
            </w:pPr>
            <w:r/>
            <w:r>
              <w:rPr>
                <w:rFonts w:ascii="Times New Roman" w:hAnsi="Times New Roman"/>
                <w:b w:val="0"/>
                <w:sz w:val="20"/>
              </w:rPr>
              <w:t>4</w:t>
            </w:r>
          </w:p>
        </w:tc>
        <w:tc>
          <w:tcPr>
            <w:tcW w:type="dxa" w:w="2835"/>
          </w:tcPr>
          <w:p>
            <w:pPr>
              <w:jc w:val="left"/>
            </w:pPr>
            <w:r/>
            <w:r>
              <w:rPr>
                <w:rFonts w:ascii="Times New Roman" w:hAnsi="Times New Roman"/>
                <w:b w:val="0"/>
                <w:sz w:val="20"/>
              </w:rPr>
              <w:t>Web kazıma sürecinde teknik hatalar veya kesintiler yaşanması</w:t>
            </w:r>
          </w:p>
        </w:tc>
        <w:tc>
          <w:tcPr>
            <w:tcW w:type="dxa" w:w="2835"/>
          </w:tcPr>
          <w:p>
            <w:pPr>
              <w:jc w:val="left"/>
            </w:pPr>
            <w:r/>
            <w:r>
              <w:rPr>
                <w:rFonts w:ascii="Times New Roman" w:hAnsi="Times New Roman"/>
                <w:b w:val="0"/>
                <w:sz w:val="20"/>
              </w:rPr>
              <w:t>Ara kayıt (checkpoint) mekanizmalarıyla veri kaybı önlenmiştir. Hata durumunda süreç kaldığı yerden devam eder.</w:t>
            </w:r>
          </w:p>
        </w:tc>
      </w:tr>
      <w:tr>
        <w:tc>
          <w:tcPr>
            <w:tcW w:type="dxa" w:w="2835"/>
          </w:tcPr>
          <w:p>
            <w:pPr>
              <w:jc w:val="left"/>
            </w:pPr>
            <w:r/>
            <w:r>
              <w:rPr>
                <w:rFonts w:ascii="Times New Roman" w:hAnsi="Times New Roman"/>
                <w:b w:val="0"/>
                <w:sz w:val="20"/>
              </w:rPr>
              <w:t>5</w:t>
            </w:r>
          </w:p>
        </w:tc>
        <w:tc>
          <w:tcPr>
            <w:tcW w:type="dxa" w:w="2835"/>
          </w:tcPr>
          <w:p>
            <w:pPr>
              <w:jc w:val="left"/>
            </w:pPr>
            <w:r/>
            <w:r>
              <w:rPr>
                <w:rFonts w:ascii="Times New Roman" w:hAnsi="Times New Roman"/>
                <w:b w:val="0"/>
                <w:sz w:val="20"/>
              </w:rPr>
              <w:t>Optimizasyon modelinde uygulanabilir çözüm bulunamaması (infeasible)</w:t>
            </w:r>
          </w:p>
        </w:tc>
        <w:tc>
          <w:tcPr>
            <w:tcW w:type="dxa" w:w="2835"/>
          </w:tcPr>
          <w:p>
            <w:pPr>
              <w:jc w:val="left"/>
            </w:pPr>
            <w:r/>
            <w:r>
              <w:rPr>
                <w:rFonts w:ascii="Times New Roman" w:hAnsi="Times New Roman"/>
                <w:b w:val="0"/>
                <w:sz w:val="20"/>
              </w:rPr>
              <w:t>Bütçe artırılacak, kategori kısıtları esnetilecek veya kara liste daraltılacaktır. Arayüz bu durumda kullanıcıya öneride bulunmaktadır.</w:t>
            </w:r>
          </w:p>
        </w:tc>
      </w:tr>
      <w:tr>
        <w:tc>
          <w:tcPr>
            <w:tcW w:type="dxa" w:w="2835"/>
          </w:tcPr>
          <w:p>
            <w:pPr>
              <w:jc w:val="left"/>
            </w:pPr>
            <w:r/>
            <w:r>
              <w:rPr>
                <w:rFonts w:ascii="Times New Roman" w:hAnsi="Times New Roman"/>
                <w:b w:val="0"/>
                <w:sz w:val="20"/>
              </w:rPr>
              <w:t>6</w:t>
            </w:r>
          </w:p>
        </w:tc>
        <w:tc>
          <w:tcPr>
            <w:tcW w:type="dxa" w:w="2835"/>
          </w:tcPr>
          <w:p>
            <w:pPr>
              <w:jc w:val="left"/>
            </w:pPr>
            <w:r/>
            <w:r>
              <w:rPr>
                <w:rFonts w:ascii="Times New Roman" w:hAnsi="Times New Roman"/>
                <w:b w:val="0"/>
                <w:sz w:val="20"/>
              </w:rPr>
              <w:t>Gurobi lisans sorunları yaşanması</w:t>
            </w:r>
          </w:p>
        </w:tc>
        <w:tc>
          <w:tcPr>
            <w:tcW w:type="dxa" w:w="2835"/>
          </w:tcPr>
          <w:p>
            <w:pPr>
              <w:jc w:val="left"/>
            </w:pPr>
            <w:r/>
            <w:r>
              <w:rPr>
                <w:rFonts w:ascii="Times New Roman" w:hAnsi="Times New Roman"/>
                <w:b w:val="0"/>
                <w:sz w:val="20"/>
              </w:rPr>
              <w:t>PuLP + CBC (açık kaynak) çözücüsüne geçiş B planı olarak hazır tutulmaktadır. Model bu geçişe uyumlu biçimde kodlanmıştır.</w:t>
            </w:r>
          </w:p>
        </w:tc>
      </w:tr>
      <w:tr>
        <w:tc>
          <w:tcPr>
            <w:tcW w:type="dxa" w:w="2835"/>
          </w:tcPr>
          <w:p>
            <w:pPr>
              <w:jc w:val="left"/>
            </w:pPr>
            <w:r/>
            <w:r>
              <w:rPr>
                <w:rFonts w:ascii="Times New Roman" w:hAnsi="Times New Roman"/>
                <w:b w:val="0"/>
                <w:sz w:val="20"/>
              </w:rPr>
              <w:t>7</w:t>
            </w:r>
          </w:p>
        </w:tc>
        <w:tc>
          <w:tcPr>
            <w:tcW w:type="dxa" w:w="2835"/>
          </w:tcPr>
          <w:p>
            <w:pPr>
              <w:jc w:val="left"/>
            </w:pPr>
            <w:r/>
            <w:r>
              <w:rPr>
                <w:rFonts w:ascii="Times New Roman" w:hAnsi="Times New Roman"/>
                <w:b w:val="0"/>
                <w:sz w:val="20"/>
              </w:rPr>
              <w:t>Zaman planına uyulamaması</w:t>
            </w:r>
          </w:p>
        </w:tc>
        <w:tc>
          <w:tcPr>
            <w:tcW w:type="dxa" w:w="2835"/>
          </w:tcPr>
          <w:p>
            <w:pPr>
              <w:jc w:val="left"/>
            </w:pPr>
            <w:r/>
            <w:r>
              <w:rPr>
                <w:rFonts w:ascii="Times New Roman" w:hAnsi="Times New Roman"/>
                <w:b w:val="0"/>
                <w:sz w:val="20"/>
              </w:rPr>
              <w:t>İş paketleri paralel planlanmıştır. Gecikme durumunda kapsam daraltılarak temel model tutulacak, gelişmiş özellikler sonraki versiyona aktarılacaktır.</w:t>
            </w:r>
          </w:p>
        </w:tc>
      </w:tr>
    </w:tbl>
    <w:sectPr w:rsidR="00FC693F" w:rsidRPr="0006063C" w:rsidSect="00034616">
      <w:pgSz w:w="11906" w:h="16838"/>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6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6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