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Brikon</w:t>
      </w:r>
      <w:r>
        <w:t xml:space="preserve"> </w:t>
      </w:r>
      <w:r>
        <w:t xml:space="preserve">Yapı</w:t>
      </w:r>
      <w:r>
        <w:t xml:space="preserve"> </w:t>
      </w:r>
      <w:r>
        <w:t xml:space="preserve">—</w:t>
      </w:r>
      <w:r>
        <w:t xml:space="preserve"> </w:t>
      </w:r>
      <w:r>
        <w:t xml:space="preserve">Kat</w:t>
      </w:r>
      <w:r>
        <w:t xml:space="preserve"> </w:t>
      </w:r>
      <w:r>
        <w:t xml:space="preserve">Maliki</w:t>
      </w:r>
      <w:r>
        <w:t xml:space="preserve"> </w:t>
      </w:r>
      <w:r>
        <w:t xml:space="preserve">Ödeme</w:t>
      </w:r>
      <w:r>
        <w:t xml:space="preserve"> </w:t>
      </w:r>
      <w:r>
        <w:t xml:space="preserve">Uygulaması</w:t>
      </w:r>
      <w:r>
        <w:t xml:space="preserve"> </w:t>
      </w:r>
      <w:r>
        <w:t xml:space="preserve">(Mobil)</w:t>
      </w:r>
      <w:r>
        <w:t xml:space="preserve"> </w:t>
      </w:r>
      <w:r>
        <w:t xml:space="preserve">Teklifi</w:t>
      </w:r>
    </w:p>
    <w:p>
      <w:pPr>
        <w:pStyle w:val="Author"/>
      </w:pPr>
      <w:r>
        <w:t xml:space="preserve">Hazırlayan:</w:t>
      </w:r>
      <w:r>
        <w:t xml:space="preserve"> </w:t>
      </w:r>
      <w:r>
        <w:t xml:space="preserve">Oğuzhan</w:t>
      </w:r>
      <w:r>
        <w:t xml:space="preserve"> </w:t>
      </w:r>
      <w:r>
        <w:t xml:space="preserve">Kurt</w:t>
      </w:r>
    </w:p>
    <w:p>
      <w:pPr>
        <w:pStyle w:val="Date"/>
      </w:pPr>
      <w:r>
        <w:t xml:space="preserve">Tarih:</w:t>
      </w:r>
      <w:r>
        <w:t xml:space="preserve"> </w:t>
      </w:r>
      <w:r>
        <w:t xml:space="preserve">20</w:t>
      </w:r>
      <w:r>
        <w:t xml:space="preserve"> </w:t>
      </w:r>
      <w:r>
        <w:t xml:space="preserve">Temmuz</w:t>
      </w:r>
      <w:r>
        <w:t xml:space="preserve"> </w:t>
      </w:r>
      <w:r>
        <w:t xml:space="preserve">2026</w:t>
      </w:r>
    </w:p>
    <w:p>
      <w:pPr>
        <w:pStyle w:val="Heading1"/>
      </w:pPr>
      <w:bookmarkStart w:id="20" w:name="giriş"/>
      <w:r>
        <w:t xml:space="preserve">1. Giriş</w:t>
      </w:r>
      <w:bookmarkEnd w:id="20"/>
    </w:p>
    <w:p>
      <w:pPr>
        <w:pStyle w:val="FirstParagraph"/>
      </w:pPr>
      <w:r>
        <w:t xml:space="preserve">Bu doküman, Brikon Yapı için planlanan</w:t>
      </w:r>
      <w:r>
        <w:t xml:space="preserve"> </w:t>
      </w:r>
      <w:r>
        <w:rPr>
          <w:b/>
        </w:rPr>
        <w:t xml:space="preserve">Kat Maliki Ödeme Portalı</w:t>
      </w:r>
      <w:r>
        <w:t xml:space="preserve">’nın mobil uygulama (iOS + Android) olarak hayata geçirilmesine yönelik taslak teklifi içermektedir. Web teklifiyle aynı özellik kapsamını, mobil platforma özgü ek gereksinimlerle (push bildirim, uygulama mağazası süreçleri) birlikte kapsar. Toplantıda netleşecek detaylara göre kapsam ve fiyatlandırma güncellenecektir.</w:t>
      </w:r>
    </w:p>
    <w:p>
      <w:pPr>
        <w:pStyle w:val="Heading2"/>
      </w:pPr>
      <w:bookmarkStart w:id="21" w:name="talep-özeti"/>
      <w:r>
        <w:t xml:space="preserve">Talep Özeti</w:t>
      </w:r>
      <w:bookmarkEnd w:id="21"/>
    </w:p>
    <w:p>
      <w:pPr>
        <w:numPr>
          <w:ilvl w:val="0"/>
          <w:numId w:val="1001"/>
        </w:numPr>
        <w:pStyle w:val="Compact"/>
      </w:pPr>
      <w:r>
        <w:t xml:space="preserve">Kat maliklerinin kullanıcı adı / şifre ile giriş yapabileceği bir mobil uygulama</w:t>
      </w:r>
    </w:p>
    <w:p>
      <w:pPr>
        <w:numPr>
          <w:ilvl w:val="0"/>
          <w:numId w:val="1001"/>
        </w:numPr>
        <w:pStyle w:val="Compact"/>
      </w:pPr>
      <w:r>
        <w:t xml:space="preserve">Her malikin kendi bağımsız bölümünün inşaat ilerleme yüzdesini görebilmesi</w:t>
      </w:r>
    </w:p>
    <w:p>
      <w:pPr>
        <w:numPr>
          <w:ilvl w:val="0"/>
          <w:numId w:val="1001"/>
        </w:numPr>
        <w:pStyle w:val="Compact"/>
      </w:pPr>
      <w:r>
        <w:t xml:space="preserve">Hakedişe göre belirlenen ödeme zamanlarının ve tutarlarının görüntülenmesi</w:t>
      </w:r>
    </w:p>
    <w:p>
      <w:pPr>
        <w:numPr>
          <w:ilvl w:val="0"/>
          <w:numId w:val="1001"/>
        </w:numPr>
        <w:pStyle w:val="Compact"/>
      </w:pPr>
      <w:r>
        <w:t xml:space="preserve">Ödemenin havale/EFT veya kredi kartı ile (taksitli) yapılabilmesi</w:t>
      </w:r>
    </w:p>
    <w:p>
      <w:pPr>
        <w:numPr>
          <w:ilvl w:val="0"/>
          <w:numId w:val="1001"/>
        </w:numPr>
        <w:pStyle w:val="Compact"/>
      </w:pPr>
      <w:r>
        <w:t xml:space="preserve">Ödeme zamanı geldiğinde malike bildirim gönderilmesi (mobilde push bildirim + SMS/e-posta)</w:t>
      </w:r>
    </w:p>
    <w:p>
      <w:pPr>
        <w:pStyle w:val="Heading1"/>
      </w:pPr>
      <w:bookmarkStart w:id="22" w:name="kapsam"/>
      <w:r>
        <w:t xml:space="preserve">2. Kapsam</w:t>
      </w:r>
      <w:bookmarkEnd w:id="22"/>
    </w:p>
    <w:p>
      <w:pPr>
        <w:pStyle w:val="Heading2"/>
      </w:pPr>
      <w:bookmarkStart w:id="23" w:name="kat-maliki-girişi-ve-profil"/>
      <w:r>
        <w:t xml:space="preserve">2.1 Kat Maliki Girişi ve Profil</w:t>
      </w:r>
      <w:bookmarkEnd w:id="23"/>
    </w:p>
    <w:p>
      <w:pPr>
        <w:numPr>
          <w:ilvl w:val="0"/>
          <w:numId w:val="1002"/>
        </w:numPr>
        <w:pStyle w:val="Compact"/>
      </w:pPr>
      <w:r>
        <w:t xml:space="preserve">Web teklifindeki backend/API (kullanıcı yönetimi, roller, yetkilendirme) mobil uygulama tarafından da kullanılır.</w:t>
      </w:r>
    </w:p>
    <w:p>
      <w:pPr>
        <w:numPr>
          <w:ilvl w:val="0"/>
          <w:numId w:val="1002"/>
        </w:numPr>
        <w:pStyle w:val="Compact"/>
      </w:pPr>
      <w:r>
        <w:t xml:space="preserve">Uygulama içi giriş ekranı, şifremi unuttum akışı, oturum yönetimi (token bazlı).</w:t>
      </w:r>
    </w:p>
    <w:p>
      <w:pPr>
        <w:numPr>
          <w:ilvl w:val="0"/>
          <w:numId w:val="1002"/>
        </w:numPr>
        <w:pStyle w:val="Compact"/>
      </w:pPr>
      <w:r>
        <w:t xml:space="preserve">Malik profili görüntüleme ve iletişim bilgisi güncelleme.</w:t>
      </w:r>
    </w:p>
    <w:p>
      <w:pPr>
        <w:pStyle w:val="Heading2"/>
      </w:pPr>
      <w:bookmarkStart w:id="24" w:name="ilerleme-yüzdesi-gösterimi"/>
      <w:r>
        <w:t xml:space="preserve">2.2 İlerleme Yüzdesi Gösterimi</w:t>
      </w:r>
      <w:bookmarkEnd w:id="24"/>
    </w:p>
    <w:p>
      <w:pPr>
        <w:numPr>
          <w:ilvl w:val="0"/>
          <w:numId w:val="1003"/>
        </w:numPr>
        <w:pStyle w:val="Compact"/>
      </w:pPr>
      <w:r>
        <w:t xml:space="preserve">Ana ekranda bağımsız bölüm bazlı ilerleme çubuğu ve güncel fotoğraf/durum bilgisi.</w:t>
      </w:r>
    </w:p>
    <w:p>
      <w:pPr>
        <w:numPr>
          <w:ilvl w:val="0"/>
          <w:numId w:val="1003"/>
        </w:numPr>
        <w:pStyle w:val="Compact"/>
      </w:pPr>
      <w:r>
        <w:t xml:space="preserve">Offline görüntüleme için son verinin cihazda önbelleklenmesi.</w:t>
      </w:r>
    </w:p>
    <w:p>
      <w:pPr>
        <w:pStyle w:val="Heading2"/>
      </w:pPr>
      <w:bookmarkStart w:id="25" w:name="hakedişe-göre-ödeme-planı"/>
      <w:r>
        <w:t xml:space="preserve">2.3 Hakedişe Göre Ödeme Planı</w:t>
      </w:r>
      <w:bookmarkEnd w:id="25"/>
    </w:p>
    <w:p>
      <w:pPr>
        <w:numPr>
          <w:ilvl w:val="0"/>
          <w:numId w:val="1004"/>
        </w:numPr>
        <w:pStyle w:val="Compact"/>
      </w:pPr>
      <w:r>
        <w:t xml:space="preserve">Yaklaşan/geciken/ödenen ödeme kalemlerinin listelendiği ekran.</w:t>
      </w:r>
    </w:p>
    <w:p>
      <w:pPr>
        <w:numPr>
          <w:ilvl w:val="0"/>
          <w:numId w:val="1004"/>
        </w:numPr>
        <w:pStyle w:val="Compact"/>
      </w:pPr>
      <w:r>
        <w:t xml:space="preserve">Ödeme detayına dokunarak tutar, vade tarihi ve açıklamanın görülmesi.</w:t>
      </w:r>
    </w:p>
    <w:p>
      <w:pPr>
        <w:pStyle w:val="Heading2"/>
      </w:pPr>
      <w:bookmarkStart w:id="26" w:name="ödeme-alma-havale-ve-kredi-kartı"/>
      <w:r>
        <w:t xml:space="preserve">2.4 Ödeme Alma (Havale ve Kredi Kartı)</w:t>
      </w:r>
      <w:bookmarkEnd w:id="26"/>
    </w:p>
    <w:p>
      <w:pPr>
        <w:numPr>
          <w:ilvl w:val="0"/>
          <w:numId w:val="1005"/>
        </w:numPr>
        <w:pStyle w:val="Compact"/>
      </w:pPr>
      <w:r>
        <w:rPr>
          <w:b/>
        </w:rPr>
        <w:t xml:space="preserve">Havale/EFT:</w:t>
      </w:r>
      <w:r>
        <w:t xml:space="preserve"> </w:t>
      </w:r>
      <w:r>
        <w:t xml:space="preserve">Uygulama üzerinden banka bilgilerinin görüntülenmesi, dekont fotoğrafı yükleme.</w:t>
      </w:r>
    </w:p>
    <w:p>
      <w:pPr>
        <w:numPr>
          <w:ilvl w:val="0"/>
          <w:numId w:val="1005"/>
        </w:numPr>
        <w:pStyle w:val="Compact"/>
      </w:pPr>
      <w:r>
        <w:rPr>
          <w:b/>
        </w:rPr>
        <w:t xml:space="preserve">Kredi kartı (taksitli):</w:t>
      </w:r>
      <w:r>
        <w:t xml:space="preserve"> </w:t>
      </w:r>
      <w:r>
        <w:t xml:space="preserve">Mobil sanal pos SDK’sı (iyzico/PayTR/Param mobil SDK) ile uygulama içinden taksitli ödeme, 3D Secure akışı uygulama içi tarayıcı ile.</w:t>
      </w:r>
    </w:p>
    <w:p>
      <w:pPr>
        <w:numPr>
          <w:ilvl w:val="0"/>
          <w:numId w:val="1005"/>
        </w:numPr>
        <w:pStyle w:val="Compact"/>
      </w:pPr>
      <w:r>
        <w:t xml:space="preserve">Ödeme sonucunun anlık olarak ekrana ve geçmişe yansıması.</w:t>
      </w:r>
    </w:p>
    <w:p>
      <w:pPr>
        <w:pStyle w:val="Heading2"/>
      </w:pPr>
      <w:bookmarkStart w:id="27" w:name="bildirimler"/>
      <w:r>
        <w:t xml:space="preserve">2.5 Bildirimler</w:t>
      </w:r>
      <w:bookmarkEnd w:id="27"/>
    </w:p>
    <w:p>
      <w:pPr>
        <w:numPr>
          <w:ilvl w:val="0"/>
          <w:numId w:val="1006"/>
        </w:numPr>
        <w:pStyle w:val="Compact"/>
      </w:pPr>
      <w:r>
        <w:rPr>
          <w:b/>
        </w:rPr>
        <w:t xml:space="preserve">Push bildirim</w:t>
      </w:r>
      <w:r>
        <w:t xml:space="preserve"> </w:t>
      </w:r>
      <w:r>
        <w:t xml:space="preserve">(Firebase Cloud Messaging / Apple Push Notification) ile ödeme hatırlatmaları ve teyitleri.</w:t>
      </w:r>
    </w:p>
    <w:p>
      <w:pPr>
        <w:numPr>
          <w:ilvl w:val="0"/>
          <w:numId w:val="1006"/>
        </w:numPr>
        <w:pStyle w:val="Compact"/>
      </w:pPr>
      <w:r>
        <w:t xml:space="preserve">Push bildirime ek olarak SMS ve e-posta bildirimleri (web ile ortak backend servisi üzerinden).</w:t>
      </w:r>
    </w:p>
    <w:p>
      <w:pPr>
        <w:numPr>
          <w:ilvl w:val="0"/>
          <w:numId w:val="1006"/>
        </w:numPr>
        <w:pStyle w:val="Compact"/>
      </w:pPr>
      <w:r>
        <w:t xml:space="preserve">Bildirim tercihlerinin uygulama içinden yönetilebilmesi (aç/kapat).</w:t>
      </w:r>
    </w:p>
    <w:p>
      <w:pPr>
        <w:pStyle w:val="Heading1"/>
      </w:pPr>
      <w:bookmarkStart w:id="28" w:name="teknik-yaklaşım"/>
      <w:r>
        <w:t xml:space="preserve">3. Teknik Yaklaşım</w:t>
      </w:r>
      <w:bookmarkEnd w:id="28"/>
    </w:p>
    <w:p>
      <w:pPr>
        <w:numPr>
          <w:ilvl w:val="0"/>
          <w:numId w:val="1007"/>
        </w:numPr>
        <w:pStyle w:val="Compact"/>
      </w:pPr>
      <w:r>
        <w:t xml:space="preserve">Uygulama, web teklifinde tanımlanan backend API’yi (kullanıcı, ödeme planı, ödeme işlemleri) ortak kullanır; böylece veri tabanı ve iş mantığı tekrar yazılmaz.</w:t>
      </w:r>
    </w:p>
    <w:p>
      <w:pPr>
        <w:numPr>
          <w:ilvl w:val="0"/>
          <w:numId w:val="1007"/>
        </w:numPr>
        <w:pStyle w:val="Compact"/>
      </w:pPr>
      <w:r>
        <w:rPr>
          <w:b/>
        </w:rPr>
        <w:t xml:space="preserve">Platform önerisi:</w:t>
      </w:r>
      <w:r>
        <w:t xml:space="preserve"> </w:t>
      </w:r>
      <w:r>
        <w:t xml:space="preserve">React Native veya Flutter ile tek kod tabanından hem iOS hem Android — native performans ihtiyacı doğarsa ayrı native geliştirme de değerlendirilebilir (toplantıda tercihe göre netleştirilir).</w:t>
      </w:r>
    </w:p>
    <w:p>
      <w:pPr>
        <w:numPr>
          <w:ilvl w:val="0"/>
          <w:numId w:val="1007"/>
        </w:numPr>
        <w:pStyle w:val="Compact"/>
      </w:pPr>
      <w:r>
        <w:t xml:space="preserve">Kimlik doğrulama: JWT/token bazlı, mevcut Identity altyapısına REST API katmanı eklenerek.</w:t>
      </w:r>
    </w:p>
    <w:p>
      <w:pPr>
        <w:numPr>
          <w:ilvl w:val="0"/>
          <w:numId w:val="1007"/>
        </w:numPr>
        <w:pStyle w:val="Compact"/>
      </w:pPr>
      <w:r>
        <w:t xml:space="preserve">Push bildirim altyapısı: Firebase Cloud Messaging (Android + iOS).</w:t>
      </w:r>
    </w:p>
    <w:p>
      <w:pPr>
        <w:numPr>
          <w:ilvl w:val="0"/>
          <w:numId w:val="1007"/>
        </w:numPr>
        <w:pStyle w:val="Compact"/>
      </w:pPr>
      <w:r>
        <w:t xml:space="preserve">Uygulama mağazası hesapları: Apple Developer Program ve Google Play Console hesaplarının Brikon Yapı adına açılmış olması gerekir (yoksa kurulum süreci bu teklife eklenir).</w:t>
      </w:r>
    </w:p>
    <w:p>
      <w:pPr>
        <w:pStyle w:val="Heading1"/>
      </w:pPr>
      <w:bookmarkStart w:id="29" w:name="iş-planı-ve-süre-tahmini"/>
      <w:r>
        <w:t xml:space="preserve">4. İş Planı ve Süre Tahmini</w:t>
      </w:r>
      <w:bookmarkEnd w:id="29"/>
    </w:p>
    <w:tbl>
      <w:tblPr>
        <w:tblStyle w:val="Table"/>
        <w:tblW w:type="dxa" w:w="9360"/>
        <w:tblLook w:firstRow="1"/>
      </w:tblPr>
      <w:tblGrid>
        <w:gridCol w:w="1500"/>
        <w:gridCol w:w="5000"/>
        <w:gridCol w:w="2860"/>
      </w:tblGrid>
      <w:tr>
        <w:trPr>
          <w:cnfStyle w:firstRow="1"/>
        </w:trPr>
        <w:tc>
          <w:tcPr>
            <w:tcW w:type="dxa" w:w="1500"/>
            <w:tcBorders>
              <w:bottom w:val="single"/>
            </w:tcBorders>
            <w:vAlign w:val="bottom"/>
          </w:tcPr>
          <w:p>
            <w:pPr>
              <w:pStyle w:val="Compact"/>
              <w:jc w:val="left"/>
            </w:pPr>
            <w:r>
              <w:t xml:space="preserve">Aşama</w:t>
            </w:r>
          </w:p>
        </w:tc>
        <w:tc>
          <w:tcPr>
            <w:tcW w:type="dxa" w:w="5000"/>
            <w:tcBorders>
              <w:bottom w:val="single"/>
            </w:tcBorders>
            <w:vAlign w:val="bottom"/>
          </w:tcPr>
          <w:p>
            <w:pPr>
              <w:pStyle w:val="Compact"/>
              <w:jc w:val="left"/>
            </w:pPr>
            <w:r>
              <w:t xml:space="preserve">İçerik</w:t>
            </w:r>
          </w:p>
        </w:tc>
        <w:tc>
          <w:tcPr>
            <w:tcW w:type="dxa" w:w="2860"/>
            <w:tcBorders>
              <w:bottom w:val="single"/>
            </w:tcBorders>
            <w:vAlign w:val="bottom"/>
          </w:tcPr>
          <w:p>
            <w:pPr>
              <w:pStyle w:val="Compact"/>
              <w:jc w:val="left"/>
            </w:pPr>
            <w:r>
              <w:t xml:space="preserve">Tahmini Süre</w:t>
            </w:r>
          </w:p>
        </w:tc>
      </w:tr>
      <w:tr>
        <w:tc>
          <w:tcPr>
            <w:tcW w:type="dxa" w:w="1500"/>
          </w:tcPr>
          <w:p>
            <w:pPr>
              <w:pStyle w:val="Compact"/>
              <w:jc w:val="left"/>
            </w:pPr>
            <w:r>
              <w:t xml:space="preserve">1</w:t>
            </w:r>
          </w:p>
        </w:tc>
        <w:tc>
          <w:tcPr>
            <w:tcW w:type="dxa" w:w="5000"/>
          </w:tcPr>
          <w:p>
            <w:pPr>
              <w:pStyle w:val="Compact"/>
              <w:jc w:val="left"/>
            </w:pPr>
            <w:r>
              <w:t xml:space="preserve">Analiz, UI/UX tasarım onayı (mobil ekranlar)</w:t>
            </w:r>
          </w:p>
        </w:tc>
        <w:tc>
          <w:tcPr>
            <w:tcW w:type="dxa" w:w="2860"/>
          </w:tcPr>
          <w:p>
            <w:pPr>
              <w:pStyle w:val="Compact"/>
              <w:jc w:val="left"/>
            </w:pPr>
            <w:r>
              <w:t xml:space="preserve">1,5 hafta</w:t>
            </w:r>
          </w:p>
        </w:tc>
      </w:tr>
      <w:tr>
        <w:tc>
          <w:tcPr>
            <w:tcW w:type="dxa" w:w="1500"/>
          </w:tcPr>
          <w:p>
            <w:pPr>
              <w:pStyle w:val="Compact"/>
              <w:jc w:val="left"/>
            </w:pPr>
            <w:r>
              <w:t xml:space="preserve">2</w:t>
            </w:r>
          </w:p>
        </w:tc>
        <w:tc>
          <w:tcPr>
            <w:tcW w:type="dxa" w:w="5000"/>
          </w:tcPr>
          <w:p>
            <w:pPr>
              <w:pStyle w:val="Compact"/>
              <w:jc w:val="left"/>
            </w:pPr>
            <w:r>
              <w:t xml:space="preserve">Backend API genişletmesi (web ile ortak, paralel yürütülebilir)</w:t>
            </w:r>
          </w:p>
        </w:tc>
        <w:tc>
          <w:tcPr>
            <w:tcW w:type="dxa" w:w="2860"/>
          </w:tcPr>
          <w:p>
            <w:pPr>
              <w:pStyle w:val="Compact"/>
              <w:jc w:val="left"/>
            </w:pPr>
            <w:r>
              <w:t xml:space="preserve">1 hafta</w:t>
            </w:r>
          </w:p>
        </w:tc>
      </w:tr>
      <w:tr>
        <w:tc>
          <w:tcPr>
            <w:tcW w:type="dxa" w:w="1500"/>
          </w:tcPr>
          <w:p>
            <w:pPr>
              <w:pStyle w:val="Compact"/>
              <w:jc w:val="left"/>
            </w:pPr>
            <w:r>
              <w:t xml:space="preserve">3</w:t>
            </w:r>
          </w:p>
        </w:tc>
        <w:tc>
          <w:tcPr>
            <w:tcW w:type="dxa" w:w="5000"/>
          </w:tcPr>
          <w:p>
            <w:pPr>
              <w:pStyle w:val="Compact"/>
              <w:jc w:val="left"/>
            </w:pPr>
            <w:r>
              <w:t xml:space="preserve">Giriş, profil ve ilerleme yüzdesi ekranları</w:t>
            </w:r>
          </w:p>
        </w:tc>
        <w:tc>
          <w:tcPr>
            <w:tcW w:type="dxa" w:w="2860"/>
          </w:tcPr>
          <w:p>
            <w:pPr>
              <w:pStyle w:val="Compact"/>
              <w:jc w:val="left"/>
            </w:pPr>
            <w:r>
              <w:t xml:space="preserve">1,5 hafta</w:t>
            </w:r>
          </w:p>
        </w:tc>
      </w:tr>
      <w:tr>
        <w:tc>
          <w:tcPr>
            <w:tcW w:type="dxa" w:w="1500"/>
          </w:tcPr>
          <w:p>
            <w:pPr>
              <w:pStyle w:val="Compact"/>
              <w:jc w:val="left"/>
            </w:pPr>
            <w:r>
              <w:t xml:space="preserve">4</w:t>
            </w:r>
          </w:p>
        </w:tc>
        <w:tc>
          <w:tcPr>
            <w:tcW w:type="dxa" w:w="5000"/>
          </w:tcPr>
          <w:p>
            <w:pPr>
              <w:pStyle w:val="Compact"/>
              <w:jc w:val="left"/>
            </w:pPr>
            <w:r>
              <w:t xml:space="preserve">Hakedişe göre ödeme planı ekranları</w:t>
            </w:r>
          </w:p>
        </w:tc>
        <w:tc>
          <w:tcPr>
            <w:tcW w:type="dxa" w:w="2860"/>
          </w:tcPr>
          <w:p>
            <w:pPr>
              <w:pStyle w:val="Compact"/>
              <w:jc w:val="left"/>
            </w:pPr>
            <w:r>
              <w:t xml:space="preserve">1,5 hafta</w:t>
            </w:r>
          </w:p>
        </w:tc>
      </w:tr>
      <w:tr>
        <w:tc>
          <w:tcPr>
            <w:tcW w:type="dxa" w:w="1500"/>
          </w:tcPr>
          <w:p>
            <w:pPr>
              <w:pStyle w:val="Compact"/>
              <w:jc w:val="left"/>
            </w:pPr>
            <w:r>
              <w:t xml:space="preserve">5</w:t>
            </w:r>
          </w:p>
        </w:tc>
        <w:tc>
          <w:tcPr>
            <w:tcW w:type="dxa" w:w="5000"/>
          </w:tcPr>
          <w:p>
            <w:pPr>
              <w:pStyle w:val="Compact"/>
              <w:jc w:val="left"/>
            </w:pPr>
            <w:r>
              <w:t xml:space="preserve">Kredi kartı (mobil sanal pos) ve havale bildirimi entegrasyonu</w:t>
            </w:r>
          </w:p>
        </w:tc>
        <w:tc>
          <w:tcPr>
            <w:tcW w:type="dxa" w:w="2860"/>
          </w:tcPr>
          <w:p>
            <w:pPr>
              <w:pStyle w:val="Compact"/>
              <w:jc w:val="left"/>
            </w:pPr>
            <w:r>
              <w:t xml:space="preserve">2,5 hafta</w:t>
            </w:r>
          </w:p>
        </w:tc>
      </w:tr>
      <w:tr>
        <w:tc>
          <w:tcPr>
            <w:tcW w:type="dxa" w:w="1500"/>
          </w:tcPr>
          <w:p>
            <w:pPr>
              <w:pStyle w:val="Compact"/>
              <w:jc w:val="left"/>
            </w:pPr>
            <w:r>
              <w:t xml:space="preserve">6</w:t>
            </w:r>
          </w:p>
        </w:tc>
        <w:tc>
          <w:tcPr>
            <w:tcW w:type="dxa" w:w="5000"/>
          </w:tcPr>
          <w:p>
            <w:pPr>
              <w:pStyle w:val="Compact"/>
              <w:jc w:val="left"/>
            </w:pPr>
            <w:r>
              <w:t xml:space="preserve">Push bildirim + SMS/e-posta entegrasyonu</w:t>
            </w:r>
          </w:p>
        </w:tc>
        <w:tc>
          <w:tcPr>
            <w:tcW w:type="dxa" w:w="2860"/>
          </w:tcPr>
          <w:p>
            <w:pPr>
              <w:pStyle w:val="Compact"/>
              <w:jc w:val="left"/>
            </w:pPr>
            <w:r>
              <w:t xml:space="preserve">1,5 hafta</w:t>
            </w:r>
          </w:p>
        </w:tc>
      </w:tr>
      <w:tr>
        <w:tc>
          <w:tcPr>
            <w:tcW w:type="dxa" w:w="1500"/>
          </w:tcPr>
          <w:p>
            <w:pPr>
              <w:pStyle w:val="Compact"/>
              <w:jc w:val="left"/>
            </w:pPr>
            <w:r>
              <w:t xml:space="preserve">7</w:t>
            </w:r>
          </w:p>
        </w:tc>
        <w:tc>
          <w:tcPr>
            <w:tcW w:type="dxa" w:w="5000"/>
          </w:tcPr>
          <w:p>
            <w:pPr>
              <w:pStyle w:val="Compact"/>
              <w:jc w:val="left"/>
            </w:pPr>
            <w:r>
              <w:t xml:space="preserve">Test (iOS/Android), mağaza başvurusu ve yayına alma</w:t>
            </w:r>
          </w:p>
        </w:tc>
        <w:tc>
          <w:tcPr>
            <w:tcW w:type="dxa" w:w="2860"/>
          </w:tcPr>
          <w:p>
            <w:pPr>
              <w:pStyle w:val="Compact"/>
              <w:jc w:val="left"/>
            </w:pPr>
            <w:r>
              <w:t xml:space="preserve">2 hafta</w:t>
            </w:r>
          </w:p>
        </w:tc>
      </w:tr>
      <w:tr>
        <w:tc>
          <w:tcPr>
            <w:tcW w:type="dxa" w:w="1500"/>
          </w:tcPr>
          <w:p>
            <w:pPr>
              <w:pStyle w:val="Compact"/>
              <w:jc w:val="left"/>
            </w:pPr>
            <w:r>
              <w:rPr>
                <w:b/>
              </w:rPr>
              <w:t xml:space="preserve">Toplam</w:t>
            </w:r>
          </w:p>
        </w:tc>
        <w:tc>
          <w:tcPr>
            <w:tcW w:type="dxa" w:w="5000"/>
          </w:tcPr>
          <w:p/>
        </w:tc>
        <w:tc>
          <w:tcPr>
            <w:tcW w:type="dxa" w:w="2860"/>
          </w:tcPr>
          <w:p>
            <w:pPr>
              <w:pStyle w:val="Compact"/>
              <w:jc w:val="left"/>
            </w:pPr>
            <w:r>
              <w:rPr>
                <w:b/>
              </w:rPr>
              <w:t xml:space="preserve">~11-12 hafta</w:t>
            </w:r>
          </w:p>
        </w:tc>
      </w:tr>
    </w:tbl>
    <w:p>
      <w:pPr>
        <w:pStyle w:val="BodyText"/>
      </w:pPr>
      <w:r>
        <w:t xml:space="preserve">Not: Apple/Google mağaza inceleme süreçleri (genelde 1–2 hafta) firma onay sürelerine bağlı olarak bu tahminin dışında ek gecikmeye yol açabilir.</w:t>
      </w:r>
    </w:p>
    <w:p>
      <w:pPr>
        <w:pStyle w:val="Heading1"/>
      </w:pPr>
      <w:bookmarkStart w:id="30" w:name="fiyatlandırma-taslak"/>
      <w:r>
        <w:t xml:space="preserve">5. Fiyatlandırma (Taslak)</w:t>
      </w:r>
      <w:bookmarkEnd w:id="30"/>
    </w:p>
    <w:p>
      <w:pPr>
        <w:pStyle w:val="BlockText"/>
      </w:pPr>
      <w:r>
        <w:t xml:space="preserve">Aşağıdaki tutarlar toplantı öncesi hazırlanmış</w:t>
      </w:r>
      <w:r>
        <w:t xml:space="preserve"> </w:t>
      </w:r>
      <w:r>
        <w:rPr>
          <w:b/>
        </w:rPr>
        <w:t xml:space="preserve">taslak/öneri</w:t>
      </w:r>
      <w:r>
        <w:t xml:space="preserve"> </w:t>
      </w:r>
      <w:r>
        <w:t xml:space="preserve">niteliğindedir; platform tercihi (React Native/Flutter/native) ve sanal pos sağlayıcısı netleştikten sonra kesinleşecektir.</w:t>
      </w:r>
    </w:p>
    <w:tbl>
      <w:tblPr>
        <w:tblStyle w:val="Table"/>
        <w:tblW w:type="dxa" w:w="9360"/>
        <w:tblLook w:firstRow="1"/>
      </w:tblPr>
      <w:tblGrid>
        <w:gridCol w:w="5150"/>
        <w:gridCol w:w="4210"/>
      </w:tblGrid>
      <w:tr>
        <w:trPr>
          <w:cnfStyle w:firstRow="1"/>
        </w:trPr>
        <w:tc>
          <w:tcPr>
            <w:tcW w:type="dxa" w:w="5150"/>
            <w:tcBorders>
              <w:bottom w:val="single"/>
            </w:tcBorders>
            <w:vAlign w:val="bottom"/>
          </w:tcPr>
          <w:p>
            <w:pPr>
              <w:pStyle w:val="Compact"/>
              <w:jc w:val="left"/>
            </w:pPr>
            <w:r>
              <w:t xml:space="preserve">Kalem</w:t>
            </w:r>
          </w:p>
        </w:tc>
        <w:tc>
          <w:tcPr>
            <w:tcW w:type="dxa" w:w="4210"/>
            <w:tcBorders>
              <w:bottom w:val="single"/>
            </w:tcBorders>
            <w:vAlign w:val="bottom"/>
          </w:tcPr>
          <w:p>
            <w:pPr>
              <w:pStyle w:val="Compact"/>
              <w:jc w:val="left"/>
            </w:pPr>
            <w:r>
              <w:t xml:space="preserve">Tutar (TL, taslak)</w:t>
            </w:r>
          </w:p>
        </w:tc>
      </w:tr>
      <w:tr>
        <w:tc>
          <w:tcPr>
            <w:tcW w:type="dxa" w:w="5150"/>
          </w:tcPr>
          <w:p>
            <w:pPr>
              <w:pStyle w:val="Compact"/>
              <w:jc w:val="left"/>
            </w:pPr>
            <w:r>
              <w:t xml:space="preserve">UI/UX tasarım (mobil)</w:t>
            </w:r>
          </w:p>
        </w:tc>
        <w:tc>
          <w:tcPr>
            <w:tcW w:type="dxa" w:w="4210"/>
          </w:tcPr>
          <w:p>
            <w:pPr>
              <w:pStyle w:val="Compact"/>
              <w:jc w:val="left"/>
            </w:pPr>
            <w:r>
              <w:t xml:space="preserve">25.000 – 35.000</w:t>
            </w:r>
          </w:p>
        </w:tc>
      </w:tr>
      <w:tr>
        <w:tc>
          <w:tcPr>
            <w:tcW w:type="dxa" w:w="5150"/>
          </w:tcPr>
          <w:p>
            <w:pPr>
              <w:pStyle w:val="Compact"/>
              <w:jc w:val="left"/>
            </w:pPr>
            <w:r>
              <w:t xml:space="preserve">Backend API genişletmesi</w:t>
            </w:r>
          </w:p>
        </w:tc>
        <w:tc>
          <w:tcPr>
            <w:tcW w:type="dxa" w:w="4210"/>
          </w:tcPr>
          <w:p>
            <w:pPr>
              <w:pStyle w:val="Compact"/>
              <w:jc w:val="left"/>
            </w:pPr>
            <w:r>
              <w:t xml:space="preserve">25.000 – 35.000</w:t>
            </w:r>
          </w:p>
        </w:tc>
      </w:tr>
      <w:tr>
        <w:tc>
          <w:tcPr>
            <w:tcW w:type="dxa" w:w="5150"/>
          </w:tcPr>
          <w:p>
            <w:pPr>
              <w:pStyle w:val="Compact"/>
              <w:jc w:val="left"/>
            </w:pPr>
            <w:r>
              <w:t xml:space="preserve">Giriş, profil, ilerleme ekranları</w:t>
            </w:r>
          </w:p>
        </w:tc>
        <w:tc>
          <w:tcPr>
            <w:tcW w:type="dxa" w:w="4210"/>
          </w:tcPr>
          <w:p>
            <w:pPr>
              <w:pStyle w:val="Compact"/>
              <w:jc w:val="left"/>
            </w:pPr>
            <w:r>
              <w:t xml:space="preserve">35.000 – 50.000</w:t>
            </w:r>
          </w:p>
        </w:tc>
      </w:tr>
      <w:tr>
        <w:tc>
          <w:tcPr>
            <w:tcW w:type="dxa" w:w="5150"/>
          </w:tcPr>
          <w:p>
            <w:pPr>
              <w:pStyle w:val="Compact"/>
              <w:jc w:val="left"/>
            </w:pPr>
            <w:r>
              <w:t xml:space="preserve">Hakedişe göre ödeme planı ekranları</w:t>
            </w:r>
          </w:p>
        </w:tc>
        <w:tc>
          <w:tcPr>
            <w:tcW w:type="dxa" w:w="4210"/>
          </w:tcPr>
          <w:p>
            <w:pPr>
              <w:pStyle w:val="Compact"/>
              <w:jc w:val="left"/>
            </w:pPr>
            <w:r>
              <w:t xml:space="preserve">35.000 – 50.000</w:t>
            </w:r>
          </w:p>
        </w:tc>
      </w:tr>
      <w:tr>
        <w:tc>
          <w:tcPr>
            <w:tcW w:type="dxa" w:w="5150"/>
          </w:tcPr>
          <w:p>
            <w:pPr>
              <w:pStyle w:val="Compact"/>
              <w:jc w:val="left"/>
            </w:pPr>
            <w:r>
              <w:t xml:space="preserve">Kredi kartı + havale entegrasyonu (mobil)</w:t>
            </w:r>
          </w:p>
        </w:tc>
        <w:tc>
          <w:tcPr>
            <w:tcW w:type="dxa" w:w="4210"/>
          </w:tcPr>
          <w:p>
            <w:pPr>
              <w:pStyle w:val="Compact"/>
              <w:jc w:val="left"/>
            </w:pPr>
            <w:r>
              <w:t xml:space="preserve">65.000 – 90.000</w:t>
            </w:r>
          </w:p>
        </w:tc>
      </w:tr>
      <w:tr>
        <w:tc>
          <w:tcPr>
            <w:tcW w:type="dxa" w:w="5150"/>
          </w:tcPr>
          <w:p>
            <w:pPr>
              <w:pStyle w:val="Compact"/>
              <w:jc w:val="left"/>
            </w:pPr>
            <w:r>
              <w:t xml:space="preserve">Push bildirim + SMS/e-posta</w:t>
            </w:r>
          </w:p>
        </w:tc>
        <w:tc>
          <w:tcPr>
            <w:tcW w:type="dxa" w:w="4210"/>
          </w:tcPr>
          <w:p>
            <w:pPr>
              <w:pStyle w:val="Compact"/>
              <w:jc w:val="left"/>
            </w:pPr>
            <w:r>
              <w:t xml:space="preserve">25.000 – 35.000</w:t>
            </w:r>
          </w:p>
        </w:tc>
      </w:tr>
      <w:tr>
        <w:tc>
          <w:tcPr>
            <w:tcW w:type="dxa" w:w="5150"/>
          </w:tcPr>
          <w:p>
            <w:pPr>
              <w:pStyle w:val="Compact"/>
              <w:jc w:val="left"/>
            </w:pPr>
            <w:r>
              <w:t xml:space="preserve">Test, mağaza başvurusu, yayına alma</w:t>
            </w:r>
          </w:p>
        </w:tc>
        <w:tc>
          <w:tcPr>
            <w:tcW w:type="dxa" w:w="4210"/>
          </w:tcPr>
          <w:p>
            <w:pPr>
              <w:pStyle w:val="Compact"/>
              <w:jc w:val="left"/>
            </w:pPr>
            <w:r>
              <w:t xml:space="preserve">25.000 – 35.000</w:t>
            </w:r>
          </w:p>
        </w:tc>
      </w:tr>
      <w:tr>
        <w:tc>
          <w:tcPr>
            <w:tcW w:type="dxa" w:w="5150"/>
          </w:tcPr>
          <w:p>
            <w:pPr>
              <w:pStyle w:val="Compact"/>
              <w:jc w:val="left"/>
            </w:pPr>
            <w:r>
              <w:rPr>
                <w:b/>
              </w:rPr>
              <w:t xml:space="preserve">Toplam (taslak aralık)</w:t>
            </w:r>
          </w:p>
        </w:tc>
        <w:tc>
          <w:tcPr>
            <w:tcW w:type="dxa" w:w="4210"/>
          </w:tcPr>
          <w:p>
            <w:pPr>
              <w:pStyle w:val="Compact"/>
              <w:jc w:val="left"/>
            </w:pPr>
            <w:r>
              <w:rPr>
                <w:b/>
              </w:rPr>
              <w:t xml:space="preserve">235.000 – 330.000 TL</w:t>
            </w:r>
          </w:p>
        </w:tc>
      </w:tr>
    </w:tbl>
    <w:p>
      <w:pPr>
        <w:pStyle w:val="BodyText"/>
      </w:pPr>
      <w:r>
        <w:t xml:space="preserve">Apple Developer Program (yıllık ~99 USD) ve Google Play Console (tek seferlik ~25 USD) hesap ücretleri bu tutara dahil değildir. Sanal pos sağlayıcısının işlem komisyonları da ayrıdır.</w:t>
      </w:r>
    </w:p>
    <w:p>
      <w:pPr>
        <w:pStyle w:val="Heading1"/>
      </w:pPr>
      <w:bookmarkStart w:id="31" w:name="varsayımlar-ve-kapsam-dışı"/>
      <w:r>
        <w:t xml:space="preserve">6. Varsayımlar ve Kapsam Dışı</w:t>
      </w:r>
      <w:bookmarkEnd w:id="31"/>
    </w:p>
    <w:p>
      <w:pPr>
        <w:numPr>
          <w:ilvl w:val="0"/>
          <w:numId w:val="1008"/>
        </w:numPr>
        <w:pStyle w:val="Compact"/>
      </w:pPr>
      <w:r>
        <w:t xml:space="preserve">Web ve mobil aynı backend’i paylaştığından, iki teklif birlikte hayata geçirilirse backend maliyeti mükerrer hesaplanmamalı; iki proje ayrı ayrı yürütülecekse bu husus toplantıda netleştirilecektir.</w:t>
      </w:r>
    </w:p>
    <w:p>
      <w:pPr>
        <w:numPr>
          <w:ilvl w:val="0"/>
          <w:numId w:val="1008"/>
        </w:numPr>
        <w:pStyle w:val="Compact"/>
      </w:pPr>
      <w:r>
        <w:t xml:space="preserve">Apple/Google geliştirici hesaplarının açılması ve firma doğrulama süreci proje sahipleri tarafından yürütülür (destek verilir).</w:t>
      </w:r>
    </w:p>
    <w:p>
      <w:pPr>
        <w:numPr>
          <w:ilvl w:val="0"/>
          <w:numId w:val="1008"/>
        </w:numPr>
        <w:pStyle w:val="Compact"/>
      </w:pPr>
      <w:r>
        <w:t xml:space="preserve">Uygulama içi canlı destek/chat gibi ek özellikler kapsam dışıdır.</w:t>
      </w:r>
    </w:p>
    <w:p>
      <w:pPr>
        <w:pStyle w:val="Heading1"/>
      </w:pPr>
      <w:bookmarkStart w:id="32" w:name="sonraki-adımlar"/>
      <w:r>
        <w:t xml:space="preserve">7. Sonraki Adımlar</w:t>
      </w:r>
      <w:bookmarkEnd w:id="32"/>
    </w:p>
    <w:p>
      <w:pPr>
        <w:numPr>
          <w:ilvl w:val="0"/>
          <w:numId w:val="1009"/>
        </w:numPr>
        <w:pStyle w:val="Compact"/>
      </w:pPr>
      <w:r>
        <w:t xml:space="preserve">Toplantıda kapsamın, platform tercihinin (React Native/Flutter/native) ve önceliklerin netleştirilmesi</w:t>
      </w:r>
    </w:p>
    <w:p>
      <w:pPr>
        <w:numPr>
          <w:ilvl w:val="0"/>
          <w:numId w:val="1009"/>
        </w:numPr>
        <w:pStyle w:val="Compact"/>
      </w:pPr>
      <w:r>
        <w:t xml:space="preserve">Web ve mobilin birlikte mi yoksa ayrı ayrı mı yürütüleceğine karar verilmesi</w:t>
      </w:r>
    </w:p>
    <w:p>
      <w:pPr>
        <w:numPr>
          <w:ilvl w:val="0"/>
          <w:numId w:val="1009"/>
        </w:numPr>
        <w:pStyle w:val="Compact"/>
      </w:pPr>
      <w:r>
        <w:t xml:space="preserve">Onaylanan kapsama göre teklifin kesinleştirilmesi ve sözleşme</w:t>
      </w:r>
    </w:p>
    <w:sectPr>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Brikon Yapı — Kat Maliki Ödeme Uygulaması (Mobil) Teklifi</dc:title>
  <dc:creator>Hazırlayan: Oğuzhan Kurt</dc:creator>
  <cp:keywords/>
  <dcterms:created xsi:type="dcterms:W3CDTF">2026-07-20T15:13:04Z</dcterms:created>
  <dcterms:modified xsi:type="dcterms:W3CDTF">2026-07-20T15:13:04Z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Tarih: 20 Temmuz 2026</vt:lpwstr>
  </property>
</Properties>
</file>