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Brikon</w:t>
      </w:r>
      <w:r>
        <w:t xml:space="preserve"> </w:t>
      </w:r>
      <w:r>
        <w:t xml:space="preserve">Yapı</w:t>
      </w:r>
      <w:r>
        <w:t xml:space="preserve"> </w:t>
      </w:r>
      <w:r>
        <w:t xml:space="preserve">—</w:t>
      </w:r>
      <w:r>
        <w:t xml:space="preserve"> </w:t>
      </w:r>
      <w:r>
        <w:t xml:space="preserve">Kat</w:t>
      </w:r>
      <w:r>
        <w:t xml:space="preserve"> </w:t>
      </w:r>
      <w:r>
        <w:t xml:space="preserve">Maliki</w:t>
      </w:r>
      <w:r>
        <w:t xml:space="preserve"> </w:t>
      </w:r>
      <w:r>
        <w:t xml:space="preserve">Ödeme</w:t>
      </w:r>
      <w:r>
        <w:t xml:space="preserve"> </w:t>
      </w:r>
      <w:r>
        <w:t xml:space="preserve">Portalı</w:t>
      </w:r>
      <w:r>
        <w:t xml:space="preserve"> </w:t>
      </w:r>
      <w:r>
        <w:t xml:space="preserve">(Web</w:t>
      </w:r>
      <w:r>
        <w:t xml:space="preserve"> </w:t>
      </w:r>
      <w:r>
        <w:t xml:space="preserve">Uygulaması)</w:t>
      </w:r>
      <w:r>
        <w:t xml:space="preserve"> </w:t>
      </w:r>
      <w:r>
        <w:t xml:space="preserve">Teklifi</w:t>
      </w:r>
    </w:p>
    <w:p>
      <w:pPr>
        <w:pStyle w:val="Author"/>
      </w:pPr>
      <w:r>
        <w:t xml:space="preserve">Hazırlayan:</w:t>
      </w:r>
      <w:r>
        <w:t xml:space="preserve"> </w:t>
      </w:r>
      <w:r>
        <w:t xml:space="preserve">Oğuzhan</w:t>
      </w:r>
      <w:r>
        <w:t xml:space="preserve"> </w:t>
      </w:r>
      <w:r>
        <w:t xml:space="preserve">Kurt</w:t>
      </w:r>
    </w:p>
    <w:p>
      <w:pPr>
        <w:pStyle w:val="Date"/>
      </w:pPr>
      <w:r>
        <w:t xml:space="preserve">Tarih:</w:t>
      </w:r>
      <w:r>
        <w:t xml:space="preserve"> </w:t>
      </w:r>
      <w:r>
        <w:t xml:space="preserve">20</w:t>
      </w:r>
      <w:r>
        <w:t xml:space="preserve"> </w:t>
      </w:r>
      <w:r>
        <w:t xml:space="preserve">Temmuz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giriş"/>
      <w:r>
        <w:t xml:space="preserve">1. Giriş</w:t>
      </w:r>
      <w:bookmarkEnd w:id="20"/>
    </w:p>
    <w:p>
      <w:pPr>
        <w:pStyle w:val="FirstParagraph"/>
      </w:pPr>
      <w:r>
        <w:t xml:space="preserve">Bu doküman, Brikon Yapı’nın mevcut kurumsal web sitesine (brikonyapi.com) eklenecek olan</w:t>
      </w:r>
      <w:r>
        <w:t xml:space="preserve"> </w:t>
      </w:r>
      <w:r>
        <w:rPr>
          <w:b/>
        </w:rPr>
        <w:t xml:space="preserve">Kat Maliki Ödeme Portalı</w:t>
      </w:r>
      <w:r>
        <w:t xml:space="preserve"> </w:t>
      </w:r>
      <w:r>
        <w:t xml:space="preserve">modülü için hazırlanmış taslak teklifi içermektedir. Toplantıda netleşecek detaylara göre kapsam ve fiyatlandırma güncellenecektir.</w:t>
      </w:r>
    </w:p>
    <w:p>
      <w:pPr>
        <w:pStyle w:val="Heading2"/>
      </w:pPr>
      <w:bookmarkStart w:id="21" w:name="talep-özeti"/>
      <w:r>
        <w:t xml:space="preserve">Talep Özeti</w:t>
      </w:r>
      <w:bookmarkEnd w:id="21"/>
    </w:p>
    <w:p>
      <w:pPr>
        <w:pStyle w:val="FirstParagraph"/>
      </w:pPr>
      <w:r>
        <w:t xml:space="preserve">Proje sahiplerinin ilettiği talep şu şekildedir:</w:t>
      </w:r>
    </w:p>
    <w:p>
      <w:pPr>
        <w:numPr>
          <w:ilvl w:val="0"/>
          <w:numId w:val="1001"/>
        </w:numPr>
        <w:pStyle w:val="Compact"/>
      </w:pPr>
      <w:r>
        <w:t xml:space="preserve">Kat maliklerinin kullanıcı adı / şifre ile giriş yapabileceği kişiye özel bir portal</w:t>
      </w:r>
    </w:p>
    <w:p>
      <w:pPr>
        <w:numPr>
          <w:ilvl w:val="0"/>
          <w:numId w:val="1001"/>
        </w:numPr>
        <w:pStyle w:val="Compact"/>
      </w:pPr>
      <w:r>
        <w:t xml:space="preserve">Her malikin kendi bağımsız bölümünün/şantiyesinin inşaat ilerleme yüzdesini görebilmesi</w:t>
      </w:r>
    </w:p>
    <w:p>
      <w:pPr>
        <w:numPr>
          <w:ilvl w:val="0"/>
          <w:numId w:val="1001"/>
        </w:numPr>
        <w:pStyle w:val="Compact"/>
      </w:pPr>
      <w:r>
        <w:t xml:space="preserve">Hakedişe göre belirlenen ödeme zamanlarının ve tutarlarının görüntülenmesi</w:t>
      </w:r>
    </w:p>
    <w:p>
      <w:pPr>
        <w:numPr>
          <w:ilvl w:val="0"/>
          <w:numId w:val="1001"/>
        </w:numPr>
        <w:pStyle w:val="Compact"/>
      </w:pPr>
      <w:r>
        <w:t xml:space="preserve">Ödemenin havale/EFT veya kredi kartı ile (taksitli) yapılabilmesi</w:t>
      </w:r>
    </w:p>
    <w:p>
      <w:pPr>
        <w:numPr>
          <w:ilvl w:val="0"/>
          <w:numId w:val="1001"/>
        </w:numPr>
        <w:pStyle w:val="Compact"/>
      </w:pPr>
      <w:r>
        <w:t xml:space="preserve">Ödeme zamanı geldiğinde malike SMS ve/veya e-posta ile bildirim gönderilmesi</w:t>
      </w:r>
    </w:p>
    <w:p>
      <w:pPr>
        <w:pStyle w:val="Heading1"/>
      </w:pPr>
      <w:bookmarkStart w:id="22" w:name="kapsam"/>
      <w:r>
        <w:t xml:space="preserve">2. Kapsam</w:t>
      </w:r>
      <w:bookmarkEnd w:id="22"/>
    </w:p>
    <w:p>
      <w:pPr>
        <w:pStyle w:val="Heading2"/>
      </w:pPr>
      <w:bookmarkStart w:id="23" w:name="kat-maliki-girişi-ve-profil"/>
      <w:r>
        <w:t xml:space="preserve">2.1 Kat Maliki Girişi ve Profil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Mevcut sistemdeki ASP.NET Core Identity altyapısı genişletilerek yeni bir</w:t>
      </w:r>
      <w:r>
        <w:t xml:space="preserve"> </w:t>
      </w:r>
      <w:r>
        <w:t xml:space="preserve">“</w:t>
      </w:r>
      <w:r>
        <w:t xml:space="preserve">Kat Maliki</w:t>
      </w:r>
      <w:r>
        <w:t xml:space="preserve">”</w:t>
      </w:r>
      <w:r>
        <w:t xml:space="preserve"> </w:t>
      </w:r>
      <w:r>
        <w:t xml:space="preserve">rolü tanımlanır.</w:t>
      </w:r>
    </w:p>
    <w:p>
      <w:pPr>
        <w:numPr>
          <w:ilvl w:val="0"/>
          <w:numId w:val="1002"/>
        </w:numPr>
        <w:pStyle w:val="Compact"/>
      </w:pPr>
      <w:r>
        <w:t xml:space="preserve">Her malik, sadece kendi bağımsız bölümüne/projesine ait bilgileri görebilecek şekilde yetkilendirilir.</w:t>
      </w:r>
    </w:p>
    <w:p>
      <w:pPr>
        <w:numPr>
          <w:ilvl w:val="0"/>
          <w:numId w:val="1002"/>
        </w:numPr>
        <w:pStyle w:val="Compact"/>
      </w:pPr>
      <w:r>
        <w:t xml:space="preserve">Malik profili: ad-soyad, iletişim bilgileri (telefon/e-posta), bağımsız bölüm no, proje/şantiye eşleştirmesi.</w:t>
      </w:r>
    </w:p>
    <w:p>
      <w:pPr>
        <w:numPr>
          <w:ilvl w:val="0"/>
          <w:numId w:val="1002"/>
        </w:numPr>
        <w:pStyle w:val="Compact"/>
      </w:pPr>
      <w:r>
        <w:t xml:space="preserve">Admin panelinden malik hesaplarının toplu veya tekil olarak oluşturulması.</w:t>
      </w:r>
    </w:p>
    <w:p>
      <w:pPr>
        <w:pStyle w:val="Heading2"/>
      </w:pPr>
      <w:bookmarkStart w:id="24" w:name="ilerleme-yüzdesi-gösterimi"/>
      <w:r>
        <w:t xml:space="preserve">2.2 İlerleme Yüzdesi Gösterimi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tablosuna bağlı, bağımsız bölüm bazlı ilerleme yüzdesi alanı.</w:t>
      </w:r>
    </w:p>
    <w:p>
      <w:pPr>
        <w:numPr>
          <w:ilvl w:val="0"/>
          <w:numId w:val="1003"/>
        </w:numPr>
        <w:pStyle w:val="Compact"/>
      </w:pPr>
      <w:r>
        <w:t xml:space="preserve">Saha ekibi/yönetici tarafından admin panelinden periyodik güncelleme.</w:t>
      </w:r>
    </w:p>
    <w:p>
      <w:pPr>
        <w:numPr>
          <w:ilvl w:val="0"/>
          <w:numId w:val="1003"/>
        </w:numPr>
        <w:pStyle w:val="Compact"/>
      </w:pPr>
      <w:r>
        <w:t xml:space="preserve">Malik panelinde görsel ilerleme çubuğu ve güncelleme tarihi.</w:t>
      </w:r>
    </w:p>
    <w:p>
      <w:pPr>
        <w:pStyle w:val="Heading2"/>
      </w:pPr>
      <w:bookmarkStart w:id="25" w:name="hakedişe-göre-ödeme-planı"/>
      <w:r>
        <w:t xml:space="preserve">2.3 Hakedişe Göre Ödeme Planı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Yeni bir</w:t>
      </w:r>
      <w:r>
        <w:t xml:space="preserve"> </w:t>
      </w:r>
      <w:r>
        <w:t xml:space="preserve">“</w:t>
      </w:r>
      <w:r>
        <w:t xml:space="preserve">Ödeme Planı / Hakediş</w:t>
      </w:r>
      <w:r>
        <w:t xml:space="preserve">”</w:t>
      </w:r>
      <w:r>
        <w:t xml:space="preserve"> </w:t>
      </w:r>
      <w:r>
        <w:t xml:space="preserve">modülü: her bağımsız bölüm için taksit/ödeme kalemleri (tutar, vade tarihi, açıklama, durum: bekliyor/ödendi/gecikti).</w:t>
      </w:r>
    </w:p>
    <w:p>
      <w:pPr>
        <w:numPr>
          <w:ilvl w:val="0"/>
          <w:numId w:val="1004"/>
        </w:numPr>
        <w:pStyle w:val="Compact"/>
      </w:pPr>
      <w:r>
        <w:t xml:space="preserve">Admin tarafından hakediş onaylandıkça ödeme kalemlerinin oluşturulması veya güncellenmesi.</w:t>
      </w:r>
    </w:p>
    <w:p>
      <w:pPr>
        <w:numPr>
          <w:ilvl w:val="0"/>
          <w:numId w:val="1004"/>
        </w:numPr>
        <w:pStyle w:val="Compact"/>
      </w:pPr>
      <w:r>
        <w:t xml:space="preserve">Malik panelinde ödeme geçmişi ve yaklaşan ödemelerin listesi.</w:t>
      </w:r>
    </w:p>
    <w:p>
      <w:pPr>
        <w:pStyle w:val="Heading2"/>
      </w:pPr>
      <w:bookmarkStart w:id="26" w:name="ödeme-alma-havale-ve-kredi-kartı"/>
      <w:r>
        <w:t xml:space="preserve">2.4 Ödeme Alma (Havale ve Kredi Kartı)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Havale/EFT:</w:t>
      </w:r>
      <w:r>
        <w:t xml:space="preserve"> </w:t>
      </w:r>
      <w:r>
        <w:t xml:space="preserve">Malik</w:t>
      </w:r>
      <w:r>
        <w:t xml:space="preserve"> </w:t>
      </w:r>
      <w:r>
        <w:t xml:space="preserve">“</w:t>
      </w:r>
      <w:r>
        <w:t xml:space="preserve">havale ile ödedim</w:t>
      </w:r>
      <w:r>
        <w:t xml:space="preserve">”</w:t>
      </w:r>
      <w:r>
        <w:t xml:space="preserve"> </w:t>
      </w:r>
      <w:r>
        <w:t xml:space="preserve">bildirimi yapar, dekont yükleyebilir; admin onayı ile ödeme kalemi</w:t>
      </w:r>
      <w:r>
        <w:t xml:space="preserve"> </w:t>
      </w:r>
      <w:r>
        <w:t xml:space="preserve">“</w:t>
      </w:r>
      <w:r>
        <w:t xml:space="preserve">ödendi</w:t>
      </w:r>
      <w:r>
        <w:t xml:space="preserve">”</w:t>
      </w:r>
      <w:r>
        <w:t xml:space="preserve"> </w:t>
      </w:r>
      <w:r>
        <w:t xml:space="preserve">olarak işaretlenir.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Kredi kartı (taksitli):</w:t>
      </w:r>
      <w:r>
        <w:t xml:space="preserve"> </w:t>
      </w:r>
      <w:r>
        <w:t xml:space="preserve">Bir sanal pos sağlayıcısı (iyzico, PayTR veya Param — tercih toplantıda netleştirilecek) entegre edilir; malik taksit seçeneklerini görüp kartla öder, ödeme durumu otomatik güncellenir.</w:t>
      </w:r>
    </w:p>
    <w:p>
      <w:pPr>
        <w:numPr>
          <w:ilvl w:val="0"/>
          <w:numId w:val="1005"/>
        </w:numPr>
        <w:pStyle w:val="Compact"/>
      </w:pPr>
      <w:r>
        <w:t xml:space="preserve">3D Secure akışı ve KVKK’ya uygun kart bilgisi işleme (kart bilgileri sistemde saklanmaz, sağlayıcı üzerinden geçer).</w:t>
      </w:r>
    </w:p>
    <w:p>
      <w:pPr>
        <w:pStyle w:val="Heading2"/>
      </w:pPr>
      <w:bookmarkStart w:id="27" w:name="bildirimler"/>
      <w:r>
        <w:t xml:space="preserve">2.5 Bildirimler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Ödeme vadesi yaklaşan veya geciken malike otomatik</w:t>
      </w:r>
      <w:r>
        <w:t xml:space="preserve"> </w:t>
      </w:r>
      <w:r>
        <w:rPr>
          <w:b/>
        </w:rPr>
        <w:t xml:space="preserve">SMS</w:t>
      </w:r>
      <w:r>
        <w:t xml:space="preserve"> </w:t>
      </w:r>
      <w:r>
        <w:t xml:space="preserve">(Netgsm/İleti Merkezi gibi bir sağlayıcı ile) ve</w:t>
      </w:r>
      <w:r>
        <w:t xml:space="preserve"> </w:t>
      </w:r>
      <w:r>
        <w:rPr>
          <w:b/>
        </w:rPr>
        <w:t xml:space="preserve">e-posta</w:t>
      </w:r>
      <w:r>
        <w:t xml:space="preserve"> </w:t>
      </w:r>
      <w:r>
        <w:t xml:space="preserve">bildirimi.</w:t>
      </w:r>
    </w:p>
    <w:p>
      <w:pPr>
        <w:numPr>
          <w:ilvl w:val="0"/>
          <w:numId w:val="1006"/>
        </w:numPr>
        <w:pStyle w:val="Compact"/>
      </w:pPr>
      <w:r>
        <w:t xml:space="preserve">Ödeme onaylandığında/işlendiğinde teyit bildirimi.</w:t>
      </w:r>
    </w:p>
    <w:p>
      <w:pPr>
        <w:numPr>
          <w:ilvl w:val="0"/>
          <w:numId w:val="1006"/>
        </w:numPr>
        <w:pStyle w:val="Compact"/>
      </w:pPr>
      <w:r>
        <w:t xml:space="preserve">Bildirim şablonlarının admin panelinden düzenlenebilmesi.</w:t>
      </w:r>
    </w:p>
    <w:p>
      <w:pPr>
        <w:pStyle w:val="Heading1"/>
      </w:pPr>
      <w:bookmarkStart w:id="28" w:name="teknik-yaklaşım"/>
      <w:r>
        <w:t xml:space="preserve">3. Teknik Yaklaşım</w:t>
      </w:r>
      <w:bookmarkEnd w:id="28"/>
    </w:p>
    <w:p>
      <w:pPr>
        <w:pStyle w:val="FirstParagraph"/>
      </w:pPr>
      <w:r>
        <w:t xml:space="preserve">Mevcut altyapı (ASP.NET Core 8.0, PostgreSQL, Identity) üzerine inşa edilecektir; sıfırdan bir sistem kurulmayacaktır. Eklenecek başlıca bileşenler:</w:t>
      </w:r>
    </w:p>
    <w:p>
      <w:pPr>
        <w:numPr>
          <w:ilvl w:val="0"/>
          <w:numId w:val="1007"/>
        </w:numPr>
        <w:pStyle w:val="Compact"/>
      </w:pPr>
      <w:r>
        <w:t xml:space="preserve">Yeni EF Core entity’leri: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NotificationLog</w:t>
      </w:r>
    </w:p>
    <w:p>
      <w:pPr>
        <w:numPr>
          <w:ilvl w:val="0"/>
          <w:numId w:val="1007"/>
        </w:numPr>
        <w:pStyle w:val="Compact"/>
      </w:pPr>
      <w:r>
        <w:t xml:space="preserve">Kat Maliki alanı için ayrı bir Area (</w:t>
      </w:r>
      <w:r>
        <w:rPr>
          <w:rStyle w:val="VerbatimChar"/>
        </w:rPr>
        <w:t xml:space="preserve">/Owner/...</w:t>
      </w:r>
      <w:r>
        <w:t xml:space="preserve">), mevcut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alanına benzer yapıda</w:t>
      </w:r>
    </w:p>
    <w:p>
      <w:pPr>
        <w:numPr>
          <w:ilvl w:val="0"/>
          <w:numId w:val="1007"/>
        </w:numPr>
        <w:pStyle w:val="Compact"/>
      </w:pPr>
      <w:r>
        <w:t xml:space="preserve">Sanal pos sağlayıcısı SDK/REST entegrasyonu</w:t>
      </w:r>
    </w:p>
    <w:p>
      <w:pPr>
        <w:numPr>
          <w:ilvl w:val="0"/>
          <w:numId w:val="1007"/>
        </w:numPr>
        <w:pStyle w:val="Compact"/>
      </w:pPr>
      <w:r>
        <w:t xml:space="preserve">SMS sağlayıcısı REST entegrasyonu (mevcut SMTP altyapısı e-posta için zaten var)</w:t>
      </w:r>
    </w:p>
    <w:p>
      <w:pPr>
        <w:numPr>
          <w:ilvl w:val="0"/>
          <w:numId w:val="1007"/>
        </w:numPr>
        <w:pStyle w:val="Compact"/>
      </w:pPr>
      <w:r>
        <w:t xml:space="preserve">Arka planda çalışan bir bildirim zamanlayıcısı (ör. vadesi yaklaşan ödemeleri günlük tarayan bir servis)</w:t>
      </w:r>
    </w:p>
    <w:p>
      <w:pPr>
        <w:pStyle w:val="Heading1"/>
      </w:pPr>
      <w:bookmarkStart w:id="29" w:name="iş-planı-ve-süre-tahmini"/>
      <w:r>
        <w:t xml:space="preserve">4. İş Planı ve Süre Tahmini</w:t>
      </w:r>
      <w:bookmarkEnd w:id="29"/>
    </w:p>
    <w:tbl>
      <w:tblPr>
        <w:tblStyle w:val="Table"/>
        <w:tblW w:type="dxa" w:w="9360"/>
        <w:tblLook w:firstRow="1"/>
      </w:tblPr>
      <w:tblGrid>
        <w:gridCol w:w="1500"/>
        <w:gridCol w:w="5000"/>
        <w:gridCol w:w="2860"/>
      </w:tblGrid>
      <w:tr>
        <w:trPr>
          <w:cnfStyle w:firstRow="1"/>
        </w:trPr>
        <w:tc>
          <w:tcPr>
            <w:tcW w:type="dxa" w:w="15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Aşama</w:t>
            </w:r>
          </w:p>
        </w:tc>
        <w:tc>
          <w:tcPr>
            <w:tcW w:type="dxa" w:w="50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İçerik</w:t>
            </w:r>
          </w:p>
        </w:tc>
        <w:tc>
          <w:tcPr>
            <w:tcW w:type="dxa" w:w="28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Tahmini Süre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5000"/>
          </w:tcPr>
          <w:p>
            <w:pPr>
              <w:pStyle w:val="Compact"/>
              <w:jc w:val="left"/>
            </w:pPr>
            <w:r>
              <w:t xml:space="preserve">Analiz, veri modeli ve UI tasarımı onayı</w:t>
            </w:r>
          </w:p>
        </w:tc>
        <w:tc>
          <w:tcPr>
            <w:tcW w:type="dxa" w:w="2860"/>
          </w:tcPr>
          <w:p>
            <w:pPr>
              <w:pStyle w:val="Compact"/>
              <w:jc w:val="left"/>
            </w:pPr>
            <w:r>
              <w:t xml:space="preserve">1 hafta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5000"/>
          </w:tcPr>
          <w:p>
            <w:pPr>
              <w:pStyle w:val="Compact"/>
              <w:jc w:val="left"/>
            </w:pPr>
            <w:r>
              <w:t xml:space="preserve">Kat maliki girişi, profil ve ilerleme yüzdesi ekranı</w:t>
            </w:r>
          </w:p>
        </w:tc>
        <w:tc>
          <w:tcPr>
            <w:tcW w:type="dxa" w:w="2860"/>
          </w:tcPr>
          <w:p>
            <w:pPr>
              <w:pStyle w:val="Compact"/>
              <w:jc w:val="left"/>
            </w:pPr>
            <w:r>
              <w:t xml:space="preserve">1,5 hafta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5000"/>
          </w:tcPr>
          <w:p>
            <w:pPr>
              <w:pStyle w:val="Compact"/>
              <w:jc w:val="left"/>
            </w:pPr>
            <w:r>
              <w:t xml:space="preserve">Hakedişe göre ödeme planı modülü</w:t>
            </w:r>
          </w:p>
        </w:tc>
        <w:tc>
          <w:tcPr>
            <w:tcW w:type="dxa" w:w="2860"/>
          </w:tcPr>
          <w:p>
            <w:pPr>
              <w:pStyle w:val="Compact"/>
              <w:jc w:val="left"/>
            </w:pPr>
            <w:r>
              <w:t xml:space="preserve">1,5 hafta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5000"/>
          </w:tcPr>
          <w:p>
            <w:pPr>
              <w:pStyle w:val="Compact"/>
              <w:jc w:val="left"/>
            </w:pPr>
            <w:r>
              <w:t xml:space="preserve">Kredi kartı (sanal pos) ve havale bildirimi entegrasyonu</w:t>
            </w:r>
          </w:p>
        </w:tc>
        <w:tc>
          <w:tcPr>
            <w:tcW w:type="dxa" w:w="2860"/>
          </w:tcPr>
          <w:p>
            <w:pPr>
              <w:pStyle w:val="Compact"/>
              <w:jc w:val="left"/>
            </w:pPr>
            <w:r>
              <w:t xml:space="preserve">2 hafta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5000"/>
          </w:tcPr>
          <w:p>
            <w:pPr>
              <w:pStyle w:val="Compact"/>
              <w:jc w:val="left"/>
            </w:pPr>
            <w:r>
              <w:t xml:space="preserve">SMS/e-posta bildirim sistemi</w:t>
            </w:r>
          </w:p>
        </w:tc>
        <w:tc>
          <w:tcPr>
            <w:tcW w:type="dxa" w:w="2860"/>
          </w:tcPr>
          <w:p>
            <w:pPr>
              <w:pStyle w:val="Compact"/>
              <w:jc w:val="left"/>
            </w:pPr>
            <w:r>
              <w:t xml:space="preserve">1 hafta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5000"/>
          </w:tcPr>
          <w:p>
            <w:pPr>
              <w:pStyle w:val="Compact"/>
              <w:jc w:val="left"/>
            </w:pPr>
            <w:r>
              <w:t xml:space="preserve">Test, düzeltmeler ve canlıya alma</w:t>
            </w:r>
          </w:p>
        </w:tc>
        <w:tc>
          <w:tcPr>
            <w:tcW w:type="dxa" w:w="2860"/>
          </w:tcPr>
          <w:p>
            <w:pPr>
              <w:pStyle w:val="Compact"/>
              <w:jc w:val="left"/>
            </w:pPr>
            <w:r>
              <w:t xml:space="preserve">1 hafta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Toplam</w:t>
            </w:r>
          </w:p>
        </w:tc>
        <w:tc>
          <w:tcPr>
            <w:tcW w:type="dxa" w:w="5000"/>
          </w:tcPr>
          <w:p/>
        </w:tc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~8 hafta</w:t>
            </w:r>
          </w:p>
        </w:tc>
      </w:tr>
    </w:tbl>
    <w:p>
      <w:pPr>
        <w:pStyle w:val="Heading1"/>
      </w:pPr>
      <w:bookmarkStart w:id="30" w:name="fiyatlandırma"/>
      <w:r>
        <w:t xml:space="preserve">5. Fiyatlandırma</w:t>
      </w:r>
      <w:bookmarkEnd w:id="30"/>
    </w:p>
    <w:tbl>
      <w:tblPr>
        <w:tblStyle w:val="Table"/>
        <w:tblW w:type="dxa" w:w="9360"/>
        <w:tblLook w:firstRow="1"/>
      </w:tblPr>
      <w:tblGrid>
        <w:gridCol w:w="5150"/>
        <w:gridCol w:w="4210"/>
      </w:tblGrid>
      <w:tr>
        <w:trPr>
          <w:cnfStyle w:firstRow="1"/>
        </w:trPr>
        <w:tc>
          <w:tcPr>
            <w:tcW w:type="dxa" w:w="515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Kalem</w:t>
            </w:r>
          </w:p>
        </w:tc>
        <w:tc>
          <w:tcPr>
            <w:tcW w:type="dxa" w:w="42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Tutar (TL)</w:t>
            </w:r>
          </w:p>
        </w:tc>
      </w:tr>
      <w:tr>
        <w:tc>
          <w:tcPr>
            <w:tcW w:type="dxa" w:w="5150"/>
          </w:tcPr>
          <w:p>
            <w:pPr>
              <w:pStyle w:val="Compact"/>
              <w:jc w:val="left"/>
            </w:pPr>
            <w:r>
              <w:t xml:space="preserve">Kat maliki girişi + ilerleme modülü</w:t>
            </w:r>
          </w:p>
        </w:tc>
        <w:tc>
          <w:tcPr>
            <w:tcW w:type="dxa" w:w="4210"/>
          </w:tcPr>
          <w:p>
            <w:pPr>
              <w:pStyle w:val="Compact"/>
              <w:jc w:val="left"/>
            </w:pPr>
            <w:r>
              <w:t xml:space="preserve">11.000</w:t>
            </w:r>
          </w:p>
        </w:tc>
      </w:tr>
      <w:tr>
        <w:tc>
          <w:tcPr>
            <w:tcW w:type="dxa" w:w="5150"/>
          </w:tcPr>
          <w:p>
            <w:pPr>
              <w:pStyle w:val="Compact"/>
              <w:jc w:val="left"/>
            </w:pPr>
            <w:r>
              <w:t xml:space="preserve">Hakedişe göre ödeme planı modülü</w:t>
            </w:r>
          </w:p>
        </w:tc>
        <w:tc>
          <w:tcPr>
            <w:tcW w:type="dxa" w:w="4210"/>
          </w:tcPr>
          <w:p>
            <w:pPr>
              <w:pStyle w:val="Compact"/>
              <w:jc w:val="left"/>
            </w:pPr>
            <w:r>
              <w:t xml:space="preserve">9.500</w:t>
            </w:r>
          </w:p>
        </w:tc>
      </w:tr>
      <w:tr>
        <w:tc>
          <w:tcPr>
            <w:tcW w:type="dxa" w:w="5150"/>
          </w:tcPr>
          <w:p>
            <w:pPr>
              <w:pStyle w:val="Compact"/>
              <w:jc w:val="left"/>
            </w:pPr>
            <w:r>
              <w:t xml:space="preserve">Sanal pos + havale entegrasyonu</w:t>
            </w:r>
          </w:p>
        </w:tc>
        <w:tc>
          <w:tcPr>
            <w:tcW w:type="dxa" w:w="4210"/>
          </w:tcPr>
          <w:p>
            <w:pPr>
              <w:pStyle w:val="Compact"/>
              <w:jc w:val="left"/>
            </w:pPr>
            <w:r>
              <w:t xml:space="preserve">17.000</w:t>
            </w:r>
          </w:p>
        </w:tc>
      </w:tr>
      <w:tr>
        <w:tc>
          <w:tcPr>
            <w:tcW w:type="dxa" w:w="5150"/>
          </w:tcPr>
          <w:p>
            <w:pPr>
              <w:pStyle w:val="Compact"/>
              <w:jc w:val="left"/>
            </w:pPr>
            <w:r>
              <w:t xml:space="preserve">SMS/e-posta bildirim sistemi</w:t>
            </w:r>
          </w:p>
        </w:tc>
        <w:tc>
          <w:tcPr>
            <w:tcW w:type="dxa" w:w="4210"/>
          </w:tcPr>
          <w:p>
            <w:pPr>
              <w:pStyle w:val="Compact"/>
              <w:jc w:val="left"/>
            </w:pPr>
            <w:r>
              <w:t xml:space="preserve">7.000</w:t>
            </w:r>
          </w:p>
        </w:tc>
      </w:tr>
      <w:tr>
        <w:tc>
          <w:tcPr>
            <w:tcW w:type="dxa" w:w="5150"/>
          </w:tcPr>
          <w:p>
            <w:pPr>
              <w:pStyle w:val="Compact"/>
              <w:jc w:val="left"/>
            </w:pPr>
            <w:r>
              <w:t xml:space="preserve">Test ve canlıya alma</w:t>
            </w:r>
          </w:p>
        </w:tc>
        <w:tc>
          <w:tcPr>
            <w:tcW w:type="dxa" w:w="4210"/>
          </w:tcPr>
          <w:p>
            <w:pPr>
              <w:pStyle w:val="Compact"/>
              <w:jc w:val="left"/>
            </w:pPr>
            <w:r>
              <w:t xml:space="preserve">5.500</w:t>
            </w:r>
          </w:p>
        </w:tc>
      </w:tr>
      <w:tr>
        <w:tc>
          <w:tcPr>
            <w:tcW w:type="dxa" w:w="5150"/>
          </w:tcPr>
          <w:p>
            <w:pPr>
              <w:pStyle w:val="Compact"/>
              <w:jc w:val="left"/>
            </w:pPr>
            <w:r>
              <w:t xml:space="preserve">Ara Toplam (KDV Hariç)</w:t>
            </w:r>
          </w:p>
        </w:tc>
        <w:tc>
          <w:tcPr>
            <w:tcW w:type="dxa" w:w="4210"/>
          </w:tcPr>
          <w:p>
            <w:pPr>
              <w:pStyle w:val="Compact"/>
              <w:jc w:val="left"/>
            </w:pPr>
            <w:r>
              <w:t xml:space="preserve">50.000</w:t>
            </w:r>
          </w:p>
        </w:tc>
      </w:tr>
      <w:tr>
        <w:tc>
          <w:tcPr>
            <w:tcW w:type="dxa" w:w="5150"/>
          </w:tcPr>
          <w:p>
            <w:pPr>
              <w:pStyle w:val="Compact"/>
              <w:jc w:val="left"/>
            </w:pPr>
            <w:r>
              <w:t xml:space="preserve">KDV (%20)</w:t>
            </w:r>
          </w:p>
        </w:tc>
        <w:tc>
          <w:tcPr>
            <w:tcW w:type="dxa" w:w="4210"/>
          </w:tcPr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>
            <w:tcW w:type="dxa" w:w="515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Toplam (KDV Dahil)</w:t>
            </w:r>
          </w:p>
        </w:tc>
        <w:tc>
          <w:tcPr>
            <w:tcW w:type="dxa" w:w="421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60.000 TL</w:t>
            </w:r>
          </w:p>
        </w:tc>
      </w:tr>
    </w:tbl>
    <w:p>
      <w:pPr>
        <w:pStyle w:val="BodyText"/>
      </w:pPr>
      <w:r>
        <w:t xml:space="preserve">Referans: mevcut brikonyapi.com sitesi (admin paneliyle birlikte) 70.000 TL + KDV’ye yapılmıştı; bu modül mevcut siteye eklenen bir özellik olduğu için fiyat buna göre kısılarak netleştirilmiştir.</w:t>
      </w:r>
    </w:p>
    <w:p>
      <w:pPr>
        <w:pStyle w:val="BodyText"/>
      </w:pPr>
      <w:r>
        <w:t xml:space="preserve">Sanal pos sağlayıcısının kendi komisyon oranları (işlem başına %) bu tutara dahil değildir, sağlayıcı ile ayrıca sözleşme yapılır.</w:t>
      </w:r>
    </w:p>
    <w:p>
      <w:pPr>
        <w:pStyle w:val="Heading1"/>
      </w:pPr>
      <w:bookmarkStart w:id="31" w:name="varsayımlar-ve-kapsam-dışı"/>
      <w:r>
        <w:t xml:space="preserve">6. Varsayımlar ve Kapsam Dışı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Sanal pos sağlayıcısı ile Brikon Yapı adına başvuru ve sözleşme sürecinin proje sahipleri tarafından yürütüleceği varsayılmıştır.</w:t>
      </w:r>
    </w:p>
    <w:p>
      <w:pPr>
        <w:numPr>
          <w:ilvl w:val="0"/>
          <w:numId w:val="1008"/>
        </w:numPr>
        <w:pStyle w:val="Compact"/>
      </w:pPr>
      <w:r>
        <w:t xml:space="preserve">SMS gönderimi için ayrı bir SMS paketi/kontör maliyeti bu teklife dahil değildir.</w:t>
      </w:r>
    </w:p>
    <w:p>
      <w:pPr>
        <w:numPr>
          <w:ilvl w:val="0"/>
          <w:numId w:val="1008"/>
        </w:numPr>
        <w:pStyle w:val="Compact"/>
      </w:pPr>
      <w:r>
        <w:t xml:space="preserve">Muhasebe/ERP entegrasyonu kapsam dışıdır (istenirse ayrı teklif verilir).</w:t>
      </w:r>
    </w:p>
    <w:p>
      <w:pPr>
        <w:pStyle w:val="Heading1"/>
      </w:pPr>
      <w:bookmarkStart w:id="32" w:name="sonraki-adımlar"/>
      <w:r>
        <w:t xml:space="preserve">7. Sonraki Adımlar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Toplantıda kapsamın ve öncelik sıralamasının netleştirilmesi</w:t>
      </w:r>
    </w:p>
    <w:p>
      <w:pPr>
        <w:numPr>
          <w:ilvl w:val="0"/>
          <w:numId w:val="1009"/>
        </w:numPr>
        <w:pStyle w:val="Compact"/>
      </w:pPr>
      <w:r>
        <w:t xml:space="preserve">Sanal pos sağlayıcısı tercihinin yapılması</w:t>
      </w:r>
    </w:p>
    <w:p>
      <w:pPr>
        <w:numPr>
          <w:ilvl w:val="0"/>
          <w:numId w:val="1009"/>
        </w:numPr>
        <w:pStyle w:val="Compact"/>
      </w:pPr>
      <w:r>
        <w:t xml:space="preserve">Onaylanan kapsama göre teklifin kesinleştirilmesi ve sözleşme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Brikon Yapı — Kat Maliki Ödeme Portalı (Web Uygulaması) Teklifi</dc:title>
  <dc:creator>Hazırlayan: Oğuzhan Kurt</dc:creator>
  <cp:keywords/>
  <dcterms:created xsi:type="dcterms:W3CDTF">2026-07-20T15:07:24Z</dcterms:created>
  <dcterms:modified xsi:type="dcterms:W3CDTF">2026-07-20T15:07:24Z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Tarih: 20 Temmuz 2026</vt:lpwstr>
  </property>
</Properties>
</file>