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2046" w:rsidRDefault="00232046">
      <w:pPr>
        <w:spacing w:after="80"/>
      </w:pPr>
    </w:p>
    <w:p w:rsidR="00232046" w:rsidRDefault="00000000">
      <w:pPr>
        <w:spacing w:after="160"/>
        <w:jc w:val="center"/>
      </w:pPr>
      <w:r>
        <w:rPr>
          <w:rFonts w:ascii="Arial" w:eastAsia="Arial" w:hAnsi="Arial" w:cs="Arial"/>
          <w:b/>
          <w:bCs/>
          <w:color w:val="1F3864"/>
          <w:sz w:val="36"/>
          <w:szCs w:val="36"/>
        </w:rPr>
        <w:t>Digital Twin-Enabled Intralogistics and Warehouse Control Systems:</w:t>
      </w:r>
    </w:p>
    <w:p w:rsidR="00232046" w:rsidRDefault="00000000">
      <w:pPr>
        <w:spacing w:after="320"/>
        <w:jc w:val="center"/>
      </w:pPr>
      <w:r>
        <w:rPr>
          <w:rFonts w:ascii="Arial" w:eastAsia="Arial" w:hAnsi="Arial" w:cs="Arial"/>
          <w:b/>
          <w:bCs/>
          <w:color w:val="2E75B6"/>
          <w:sz w:val="30"/>
          <w:szCs w:val="30"/>
        </w:rPr>
        <w:t>A Systematic Literature Review</w:t>
      </w:r>
    </w:p>
    <w:p w:rsidR="00232046" w:rsidRDefault="00232046">
      <w:pPr>
        <w:pBdr>
          <w:bottom w:val="single" w:sz="4" w:space="1" w:color="2E75B6"/>
        </w:pBdr>
        <w:spacing w:before="40" w:after="40"/>
      </w:pPr>
    </w:p>
    <w:p w:rsidR="00232046" w:rsidRDefault="00000000">
      <w:pPr>
        <w:spacing w:before="160" w:after="60"/>
        <w:jc w:val="center"/>
      </w:pPr>
      <w:r>
        <w:rPr>
          <w:rFonts w:ascii="Arial" w:eastAsia="Arial" w:hAnsi="Arial" w:cs="Arial"/>
          <w:b/>
          <w:bCs/>
        </w:rPr>
        <w:t>Oğuz Kaan TUĞLU</w:t>
      </w:r>
    </w:p>
    <w:p w:rsidR="00232046" w:rsidRDefault="00000000">
      <w:pPr>
        <w:spacing w:after="40"/>
        <w:jc w:val="center"/>
      </w:pPr>
      <w:r>
        <w:rPr>
          <w:i/>
          <w:iCs/>
          <w:sz w:val="22"/>
          <w:szCs w:val="22"/>
        </w:rPr>
        <w:t>M.Sc. Student, Systems Engineering, Institute of Informatics, Hacettepe University</w:t>
      </w:r>
    </w:p>
    <w:p w:rsidR="00232046" w:rsidRDefault="00000000">
      <w:pPr>
        <w:spacing w:after="160"/>
        <w:jc w:val="center"/>
      </w:pPr>
      <w:r>
        <w:rPr>
          <w:i/>
          <w:iCs/>
          <w:sz w:val="22"/>
          <w:szCs w:val="22"/>
        </w:rPr>
        <w:t>SEN601 Research Techniques and Publication Ethics · May 2026</w:t>
      </w:r>
    </w:p>
    <w:p w:rsidR="00232046" w:rsidRDefault="00232046">
      <w:pPr>
        <w:pBdr>
          <w:bottom w:val="single" w:sz="4" w:space="1" w:color="2E75B6"/>
        </w:pBdr>
        <w:spacing w:before="40" w:after="40"/>
      </w:pPr>
    </w:p>
    <w:p w:rsidR="00232046" w:rsidRDefault="00232046">
      <w:pPr>
        <w:spacing w:before="200"/>
      </w:pPr>
    </w:p>
    <w:p w:rsidR="00232046" w:rsidRDefault="00000000">
      <w:pPr>
        <w:pStyle w:val="Heading1"/>
      </w:pPr>
      <w:r>
        <w:t>ABSTRACT</w:t>
      </w:r>
    </w:p>
    <w:p w:rsidR="004D4718" w:rsidRDefault="004D4718">
      <w:pPr>
        <w:spacing w:after="160"/>
        <w:jc w:val="both"/>
        <w:rPr>
          <w:b/>
          <w:bCs/>
        </w:rPr>
      </w:pPr>
      <w:r w:rsidRPr="004D4718">
        <w:rPr>
          <w:b/>
          <w:bCs/>
        </w:rPr>
        <w:t xml:space="preserve">Background: </w:t>
      </w:r>
      <w:r w:rsidRPr="004D4718">
        <w:t>In Industry 4.0 and beyond, digital twin (DT) technology has become a game-changer for cyber-physical production and logistics systems. Because of their heterogeneous automation architecture, real-time operational complexity, and performance-critical decision cycles including AGVs, AMRs, order picking, storage systems, and production synchronization, warehouses and intralogistics settings are especially well-suited to DT applications.</w:t>
      </w:r>
    </w:p>
    <w:p w:rsidR="00232046" w:rsidRDefault="00000000">
      <w:pPr>
        <w:spacing w:after="160"/>
        <w:jc w:val="both"/>
      </w:pPr>
      <w:r>
        <w:rPr>
          <w:b/>
          <w:bCs/>
        </w:rPr>
        <w:t xml:space="preserve">Objective: </w:t>
      </w:r>
      <w:r w:rsidR="004D4718" w:rsidRPr="004D4718">
        <w:t>The goal of this study is to compile research on DT-enabled intralogistics and warehouse control systems from Scopus, with an emphasis on application domains, enabling technologies, performance goals, research maturity, and gaps.</w:t>
      </w:r>
    </w:p>
    <w:p w:rsidR="00232046" w:rsidRDefault="00000000">
      <w:pPr>
        <w:spacing w:after="160"/>
        <w:jc w:val="both"/>
      </w:pPr>
      <w:r>
        <w:rPr>
          <w:b/>
          <w:bCs/>
        </w:rPr>
        <w:t xml:space="preserve">Method: </w:t>
      </w:r>
      <w:r w:rsidR="004D4718" w:rsidRPr="004D4718">
        <w:t>The Scopus database was used to perform a protocol-driven abstract-level systematic screening. 117 records were obtained after subject-area (Digital Twins), language (English), and article-type filters were applied. Five supporting reviews (R1–R5) were kept for contextual comparison, and fifteen primary studies (S1–S15) were included in the qualitative synthesis after pre-screening (n = 20 deleted) and abstract screening (n = 57 omitted).</w:t>
      </w:r>
    </w:p>
    <w:p w:rsidR="004D4718" w:rsidRDefault="00000000">
      <w:pPr>
        <w:spacing w:after="160"/>
        <w:jc w:val="both"/>
      </w:pPr>
      <w:r>
        <w:rPr>
          <w:b/>
          <w:bCs/>
        </w:rPr>
        <w:t xml:space="preserve">Results: </w:t>
      </w:r>
      <w:r w:rsidR="004D4718" w:rsidRPr="004D4718">
        <w:t>The application landscape is dominated by AGV/AMR routing and dispatching (n = 5). While discrete-event and physics-based simulation continue to be the predominant modeling basis (9 studies), deep reinforcement learning is the primary AI enabler (5 research). There are just three studies that show true data integration and industrial-scale production-warehousing synchronization.</w:t>
      </w:r>
    </w:p>
    <w:p w:rsidR="00232046" w:rsidRDefault="00000000">
      <w:pPr>
        <w:spacing w:after="160"/>
        <w:jc w:val="both"/>
      </w:pPr>
      <w:r>
        <w:rPr>
          <w:b/>
          <w:bCs/>
        </w:rPr>
        <w:t xml:space="preserve">Conclusion: </w:t>
      </w:r>
      <w:r w:rsidR="004D4718" w:rsidRPr="004D4718">
        <w:t>Intralogistics offered by DT can significantly increase warehouse resilience and operating efficiency. There are still significant gaps in interoperability, human-in-the-loop design, formal verification and validation methods, and real-time WMS/WCS integration.</w:t>
      </w:r>
    </w:p>
    <w:p w:rsidR="00232046" w:rsidRDefault="00000000">
      <w:pPr>
        <w:spacing w:before="80" w:after="200"/>
        <w:jc w:val="both"/>
      </w:pPr>
      <w:r>
        <w:rPr>
          <w:b/>
          <w:bCs/>
        </w:rPr>
        <w:t xml:space="preserve">Keywords: </w:t>
      </w:r>
      <w:r w:rsidR="004D4718" w:rsidRPr="004D4718">
        <w:rPr>
          <w:i/>
          <w:iCs/>
        </w:rPr>
        <w:t>digital twin; order picking; production-logistics synchronization; intralogistics; warehouse management; AGV; AMR; systematic review; Sector 4.0; learning with deep reinforcement</w:t>
      </w:r>
    </w:p>
    <w:p w:rsidR="00232046" w:rsidRDefault="00232046">
      <w:pPr>
        <w:pBdr>
          <w:bottom w:val="single" w:sz="4" w:space="1" w:color="2E75B6"/>
        </w:pBdr>
        <w:spacing w:before="40" w:after="40"/>
      </w:pPr>
    </w:p>
    <w:p w:rsidR="00232046" w:rsidRDefault="00000000">
      <w:pPr>
        <w:spacing w:before="200"/>
      </w:pPr>
      <w:r>
        <w:br w:type="page"/>
      </w:r>
    </w:p>
    <w:p w:rsidR="00232046" w:rsidRDefault="00000000">
      <w:pPr>
        <w:pStyle w:val="Heading1"/>
      </w:pPr>
      <w:r>
        <w:lastRenderedPageBreak/>
        <w:t>TABLE OF CONTENTS</w:t>
      </w:r>
    </w:p>
    <w:p w:rsidR="00232046" w:rsidRDefault="00000000">
      <w:pPr>
        <w:tabs>
          <w:tab w:val="right" w:pos="8640"/>
        </w:tabs>
        <w:spacing w:before="80" w:after="60"/>
      </w:pPr>
      <w:r>
        <w:rPr>
          <w:rFonts w:ascii="Arial" w:eastAsia="Arial" w:hAnsi="Arial" w:cs="Arial"/>
          <w:b/>
          <w:bCs/>
          <w:sz w:val="22"/>
          <w:szCs w:val="22"/>
        </w:rPr>
        <w:t>Abstract</w:t>
      </w:r>
      <w:r>
        <w:rPr>
          <w:rFonts w:ascii="Arial" w:eastAsia="Arial" w:hAnsi="Arial" w:cs="Arial"/>
          <w:sz w:val="20"/>
          <w:szCs w:val="20"/>
        </w:rPr>
        <w:tab/>
        <w:t>1</w:t>
      </w:r>
    </w:p>
    <w:p w:rsidR="00232046" w:rsidRDefault="00000000">
      <w:pPr>
        <w:tabs>
          <w:tab w:val="right" w:pos="8640"/>
        </w:tabs>
        <w:spacing w:before="80" w:after="60"/>
      </w:pPr>
      <w:r>
        <w:rPr>
          <w:rFonts w:ascii="Arial" w:eastAsia="Arial" w:hAnsi="Arial" w:cs="Arial"/>
          <w:b/>
          <w:bCs/>
          <w:sz w:val="22"/>
          <w:szCs w:val="22"/>
        </w:rPr>
        <w:t>1.  Introduction</w:t>
      </w:r>
      <w:r>
        <w:rPr>
          <w:rFonts w:ascii="Arial" w:eastAsia="Arial" w:hAnsi="Arial" w:cs="Arial"/>
          <w:sz w:val="20"/>
          <w:szCs w:val="20"/>
        </w:rPr>
        <w:tab/>
        <w:t>3</w:t>
      </w:r>
    </w:p>
    <w:p w:rsidR="00232046" w:rsidRDefault="00000000">
      <w:pPr>
        <w:tabs>
          <w:tab w:val="right" w:pos="8640"/>
        </w:tabs>
        <w:spacing w:before="80" w:after="60"/>
      </w:pPr>
      <w:r>
        <w:rPr>
          <w:rFonts w:ascii="Arial" w:eastAsia="Arial" w:hAnsi="Arial" w:cs="Arial"/>
          <w:b/>
          <w:bCs/>
          <w:sz w:val="22"/>
          <w:szCs w:val="22"/>
        </w:rPr>
        <w:t>2.  Background and Conceptual Scope</w:t>
      </w:r>
      <w:r>
        <w:rPr>
          <w:rFonts w:ascii="Arial" w:eastAsia="Arial" w:hAnsi="Arial" w:cs="Arial"/>
          <w:sz w:val="20"/>
          <w:szCs w:val="20"/>
        </w:rPr>
        <w:tab/>
        <w:t>3</w:t>
      </w:r>
    </w:p>
    <w:p w:rsidR="00232046" w:rsidRDefault="00000000">
      <w:pPr>
        <w:tabs>
          <w:tab w:val="right" w:pos="8640"/>
        </w:tabs>
        <w:spacing w:before="20" w:after="20"/>
      </w:pPr>
      <w:r>
        <w:rPr>
          <w:rFonts w:ascii="Arial" w:eastAsia="Arial" w:hAnsi="Arial" w:cs="Arial"/>
          <w:sz w:val="20"/>
          <w:szCs w:val="20"/>
        </w:rPr>
        <w:t xml:space="preserve">    2.1  Digital Twins in Logistics Systems</w:t>
      </w:r>
      <w:r>
        <w:rPr>
          <w:rFonts w:ascii="Arial" w:eastAsia="Arial" w:hAnsi="Arial" w:cs="Arial"/>
          <w:sz w:val="20"/>
          <w:szCs w:val="20"/>
        </w:rPr>
        <w:tab/>
        <w:t>3</w:t>
      </w:r>
    </w:p>
    <w:p w:rsidR="00232046" w:rsidRDefault="00000000">
      <w:pPr>
        <w:tabs>
          <w:tab w:val="right" w:pos="8640"/>
        </w:tabs>
        <w:spacing w:before="20" w:after="20"/>
      </w:pPr>
      <w:r>
        <w:rPr>
          <w:rFonts w:ascii="Arial" w:eastAsia="Arial" w:hAnsi="Arial" w:cs="Arial"/>
          <w:sz w:val="20"/>
          <w:szCs w:val="20"/>
        </w:rPr>
        <w:t xml:space="preserve">    2.2  Intralogistics and Warehouse Control</w:t>
      </w:r>
      <w:r>
        <w:rPr>
          <w:rFonts w:ascii="Arial" w:eastAsia="Arial" w:hAnsi="Arial" w:cs="Arial"/>
          <w:sz w:val="20"/>
          <w:szCs w:val="20"/>
        </w:rPr>
        <w:tab/>
        <w:t>4</w:t>
      </w:r>
    </w:p>
    <w:p w:rsidR="00232046" w:rsidRDefault="00000000">
      <w:pPr>
        <w:tabs>
          <w:tab w:val="right" w:pos="8640"/>
        </w:tabs>
        <w:spacing w:before="20" w:after="20"/>
      </w:pPr>
      <w:r>
        <w:rPr>
          <w:rFonts w:ascii="Arial" w:eastAsia="Arial" w:hAnsi="Arial" w:cs="Arial"/>
          <w:sz w:val="20"/>
          <w:szCs w:val="20"/>
        </w:rPr>
        <w:t xml:space="preserve">    2.3  Systems Engineering Perspective</w:t>
      </w:r>
      <w:r>
        <w:rPr>
          <w:rFonts w:ascii="Arial" w:eastAsia="Arial" w:hAnsi="Arial" w:cs="Arial"/>
          <w:sz w:val="20"/>
          <w:szCs w:val="20"/>
        </w:rPr>
        <w:tab/>
        <w:t>4</w:t>
      </w:r>
    </w:p>
    <w:p w:rsidR="00232046" w:rsidRDefault="00000000">
      <w:pPr>
        <w:tabs>
          <w:tab w:val="right" w:pos="8640"/>
        </w:tabs>
        <w:spacing w:before="80" w:after="60"/>
      </w:pPr>
      <w:r>
        <w:rPr>
          <w:rFonts w:ascii="Arial" w:eastAsia="Arial" w:hAnsi="Arial" w:cs="Arial"/>
          <w:b/>
          <w:bCs/>
          <w:sz w:val="22"/>
          <w:szCs w:val="22"/>
        </w:rPr>
        <w:t>3.  Research Questions and PICOS Framework</w:t>
      </w:r>
      <w:r>
        <w:rPr>
          <w:rFonts w:ascii="Arial" w:eastAsia="Arial" w:hAnsi="Arial" w:cs="Arial"/>
          <w:sz w:val="20"/>
          <w:szCs w:val="20"/>
        </w:rPr>
        <w:tab/>
        <w:t>4</w:t>
      </w:r>
    </w:p>
    <w:p w:rsidR="00232046" w:rsidRDefault="00000000">
      <w:pPr>
        <w:tabs>
          <w:tab w:val="right" w:pos="8640"/>
        </w:tabs>
        <w:spacing w:before="80" w:after="60"/>
      </w:pPr>
      <w:r>
        <w:rPr>
          <w:rFonts w:ascii="Arial" w:eastAsia="Arial" w:hAnsi="Arial" w:cs="Arial"/>
          <w:b/>
          <w:bCs/>
          <w:sz w:val="22"/>
          <w:szCs w:val="22"/>
        </w:rPr>
        <w:t>4.  Methodology</w:t>
      </w:r>
      <w:r>
        <w:rPr>
          <w:rFonts w:ascii="Arial" w:eastAsia="Arial" w:hAnsi="Arial" w:cs="Arial"/>
          <w:sz w:val="20"/>
          <w:szCs w:val="20"/>
        </w:rPr>
        <w:tab/>
        <w:t>5</w:t>
      </w:r>
    </w:p>
    <w:p w:rsidR="00232046" w:rsidRDefault="00000000">
      <w:pPr>
        <w:tabs>
          <w:tab w:val="right" w:pos="8640"/>
        </w:tabs>
        <w:spacing w:before="20" w:after="20"/>
      </w:pPr>
      <w:r>
        <w:rPr>
          <w:rFonts w:ascii="Arial" w:eastAsia="Arial" w:hAnsi="Arial" w:cs="Arial"/>
          <w:sz w:val="20"/>
          <w:szCs w:val="20"/>
        </w:rPr>
        <w:t xml:space="preserve">    4.1  Review Design</w:t>
      </w:r>
      <w:r>
        <w:rPr>
          <w:rFonts w:ascii="Arial" w:eastAsia="Arial" w:hAnsi="Arial" w:cs="Arial"/>
          <w:sz w:val="20"/>
          <w:szCs w:val="20"/>
        </w:rPr>
        <w:tab/>
        <w:t>5</w:t>
      </w:r>
    </w:p>
    <w:p w:rsidR="00232046" w:rsidRDefault="00000000">
      <w:pPr>
        <w:tabs>
          <w:tab w:val="right" w:pos="8640"/>
        </w:tabs>
        <w:spacing w:before="20" w:after="20"/>
      </w:pPr>
      <w:r>
        <w:rPr>
          <w:rFonts w:ascii="Arial" w:eastAsia="Arial" w:hAnsi="Arial" w:cs="Arial"/>
          <w:sz w:val="20"/>
          <w:szCs w:val="20"/>
        </w:rPr>
        <w:t xml:space="preserve">    4.2  Search Strategy</w:t>
      </w:r>
      <w:r>
        <w:rPr>
          <w:rFonts w:ascii="Arial" w:eastAsia="Arial" w:hAnsi="Arial" w:cs="Arial"/>
          <w:sz w:val="20"/>
          <w:szCs w:val="20"/>
        </w:rPr>
        <w:tab/>
        <w:t>5</w:t>
      </w:r>
    </w:p>
    <w:p w:rsidR="00232046" w:rsidRDefault="00000000">
      <w:pPr>
        <w:tabs>
          <w:tab w:val="right" w:pos="8640"/>
        </w:tabs>
        <w:spacing w:before="20" w:after="20"/>
      </w:pPr>
      <w:r>
        <w:rPr>
          <w:rFonts w:ascii="Arial" w:eastAsia="Arial" w:hAnsi="Arial" w:cs="Arial"/>
          <w:sz w:val="20"/>
          <w:szCs w:val="20"/>
        </w:rPr>
        <w:t xml:space="preserve">    4.3  Inclusion and Exclusion Criteria</w:t>
      </w:r>
      <w:r>
        <w:rPr>
          <w:rFonts w:ascii="Arial" w:eastAsia="Arial" w:hAnsi="Arial" w:cs="Arial"/>
          <w:sz w:val="20"/>
          <w:szCs w:val="20"/>
        </w:rPr>
        <w:tab/>
        <w:t>5</w:t>
      </w:r>
    </w:p>
    <w:p w:rsidR="00232046" w:rsidRDefault="00000000">
      <w:pPr>
        <w:tabs>
          <w:tab w:val="right" w:pos="8640"/>
        </w:tabs>
        <w:spacing w:before="20" w:after="20"/>
      </w:pPr>
      <w:r>
        <w:rPr>
          <w:rFonts w:ascii="Arial" w:eastAsia="Arial" w:hAnsi="Arial" w:cs="Arial"/>
          <w:sz w:val="20"/>
          <w:szCs w:val="20"/>
        </w:rPr>
        <w:t xml:space="preserve">    4.4  Study Selection and PRISMA Flow</w:t>
      </w:r>
      <w:r>
        <w:rPr>
          <w:rFonts w:ascii="Arial" w:eastAsia="Arial" w:hAnsi="Arial" w:cs="Arial"/>
          <w:sz w:val="20"/>
          <w:szCs w:val="20"/>
        </w:rPr>
        <w:tab/>
        <w:t>6</w:t>
      </w:r>
    </w:p>
    <w:p w:rsidR="00232046" w:rsidRDefault="00000000">
      <w:pPr>
        <w:tabs>
          <w:tab w:val="right" w:pos="8640"/>
        </w:tabs>
        <w:spacing w:before="20" w:after="20"/>
      </w:pPr>
      <w:r>
        <w:rPr>
          <w:rFonts w:ascii="Arial" w:eastAsia="Arial" w:hAnsi="Arial" w:cs="Arial"/>
          <w:sz w:val="20"/>
          <w:szCs w:val="20"/>
        </w:rPr>
        <w:t xml:space="preserve">    4.5  Data Extraction</w:t>
      </w:r>
      <w:r>
        <w:rPr>
          <w:rFonts w:ascii="Arial" w:eastAsia="Arial" w:hAnsi="Arial" w:cs="Arial"/>
          <w:sz w:val="20"/>
          <w:szCs w:val="20"/>
        </w:rPr>
        <w:tab/>
        <w:t>6</w:t>
      </w:r>
    </w:p>
    <w:p w:rsidR="00232046" w:rsidRDefault="00000000">
      <w:pPr>
        <w:tabs>
          <w:tab w:val="right" w:pos="8640"/>
        </w:tabs>
        <w:spacing w:before="20" w:after="20"/>
      </w:pPr>
      <w:r>
        <w:rPr>
          <w:rFonts w:ascii="Arial" w:eastAsia="Arial" w:hAnsi="Arial" w:cs="Arial"/>
          <w:sz w:val="20"/>
          <w:szCs w:val="20"/>
        </w:rPr>
        <w:t xml:space="preserve">    4.6  Quality Assessment</w:t>
      </w:r>
      <w:r>
        <w:rPr>
          <w:rFonts w:ascii="Arial" w:eastAsia="Arial" w:hAnsi="Arial" w:cs="Arial"/>
          <w:sz w:val="20"/>
          <w:szCs w:val="20"/>
        </w:rPr>
        <w:tab/>
        <w:t>6</w:t>
      </w:r>
    </w:p>
    <w:p w:rsidR="00232046" w:rsidRDefault="00000000">
      <w:pPr>
        <w:tabs>
          <w:tab w:val="right" w:pos="8640"/>
        </w:tabs>
        <w:spacing w:before="80" w:after="60"/>
      </w:pPr>
      <w:r>
        <w:rPr>
          <w:rFonts w:ascii="Arial" w:eastAsia="Arial" w:hAnsi="Arial" w:cs="Arial"/>
          <w:b/>
          <w:bCs/>
          <w:sz w:val="22"/>
          <w:szCs w:val="22"/>
        </w:rPr>
        <w:t>5.  Results</w:t>
      </w:r>
      <w:r>
        <w:rPr>
          <w:rFonts w:ascii="Arial" w:eastAsia="Arial" w:hAnsi="Arial" w:cs="Arial"/>
          <w:sz w:val="20"/>
          <w:szCs w:val="20"/>
        </w:rPr>
        <w:tab/>
        <w:t>7</w:t>
      </w:r>
    </w:p>
    <w:p w:rsidR="00232046" w:rsidRDefault="00000000">
      <w:pPr>
        <w:tabs>
          <w:tab w:val="right" w:pos="8640"/>
        </w:tabs>
        <w:spacing w:before="20" w:after="20"/>
      </w:pPr>
      <w:r>
        <w:rPr>
          <w:rFonts w:ascii="Arial" w:eastAsia="Arial" w:hAnsi="Arial" w:cs="Arial"/>
          <w:sz w:val="20"/>
          <w:szCs w:val="20"/>
        </w:rPr>
        <w:t xml:space="preserve">    5.1  Characteristics of Included Studies</w:t>
      </w:r>
      <w:r>
        <w:rPr>
          <w:rFonts w:ascii="Arial" w:eastAsia="Arial" w:hAnsi="Arial" w:cs="Arial"/>
          <w:sz w:val="20"/>
          <w:szCs w:val="20"/>
        </w:rPr>
        <w:tab/>
        <w:t>7</w:t>
      </w:r>
    </w:p>
    <w:p w:rsidR="00232046" w:rsidRDefault="00000000">
      <w:pPr>
        <w:tabs>
          <w:tab w:val="right" w:pos="8640"/>
        </w:tabs>
        <w:spacing w:before="20" w:after="20"/>
      </w:pPr>
      <w:r>
        <w:rPr>
          <w:rFonts w:ascii="Arial" w:eastAsia="Arial" w:hAnsi="Arial" w:cs="Arial"/>
          <w:sz w:val="20"/>
          <w:szCs w:val="20"/>
        </w:rPr>
        <w:t xml:space="preserve">    5.2  RQ1 — Main Application Areas</w:t>
      </w:r>
      <w:r>
        <w:rPr>
          <w:rFonts w:ascii="Arial" w:eastAsia="Arial" w:hAnsi="Arial" w:cs="Arial"/>
          <w:sz w:val="20"/>
          <w:szCs w:val="20"/>
        </w:rPr>
        <w:tab/>
        <w:t>8</w:t>
      </w:r>
    </w:p>
    <w:p w:rsidR="00232046" w:rsidRDefault="00000000">
      <w:pPr>
        <w:tabs>
          <w:tab w:val="right" w:pos="8640"/>
        </w:tabs>
        <w:spacing w:before="20" w:after="20"/>
      </w:pPr>
      <w:r>
        <w:rPr>
          <w:rFonts w:ascii="Arial" w:eastAsia="Arial" w:hAnsi="Arial" w:cs="Arial"/>
          <w:sz w:val="20"/>
          <w:szCs w:val="20"/>
        </w:rPr>
        <w:t xml:space="preserve">    5.3  RQ2 — Enabling Technologies</w:t>
      </w:r>
      <w:r>
        <w:rPr>
          <w:rFonts w:ascii="Arial" w:eastAsia="Arial" w:hAnsi="Arial" w:cs="Arial"/>
          <w:sz w:val="20"/>
          <w:szCs w:val="20"/>
        </w:rPr>
        <w:tab/>
        <w:t>9</w:t>
      </w:r>
    </w:p>
    <w:p w:rsidR="00232046" w:rsidRDefault="00000000">
      <w:pPr>
        <w:tabs>
          <w:tab w:val="right" w:pos="8640"/>
        </w:tabs>
        <w:spacing w:before="20" w:after="20"/>
      </w:pPr>
      <w:r>
        <w:rPr>
          <w:rFonts w:ascii="Arial" w:eastAsia="Arial" w:hAnsi="Arial" w:cs="Arial"/>
          <w:sz w:val="20"/>
          <w:szCs w:val="20"/>
        </w:rPr>
        <w:t xml:space="preserve">    5.4  RQ3 — Performance Objectives</w:t>
      </w:r>
      <w:r>
        <w:rPr>
          <w:rFonts w:ascii="Arial" w:eastAsia="Arial" w:hAnsi="Arial" w:cs="Arial"/>
          <w:sz w:val="20"/>
          <w:szCs w:val="20"/>
        </w:rPr>
        <w:tab/>
        <w:t>10</w:t>
      </w:r>
    </w:p>
    <w:p w:rsidR="00232046" w:rsidRDefault="00000000">
      <w:pPr>
        <w:tabs>
          <w:tab w:val="right" w:pos="8640"/>
        </w:tabs>
        <w:spacing w:before="20" w:after="20"/>
      </w:pPr>
      <w:r>
        <w:rPr>
          <w:rFonts w:ascii="Arial" w:eastAsia="Arial" w:hAnsi="Arial" w:cs="Arial"/>
          <w:sz w:val="20"/>
          <w:szCs w:val="20"/>
        </w:rPr>
        <w:t xml:space="preserve">    5.5  RQ4 — Research Maturity and Gaps</w:t>
      </w:r>
      <w:r>
        <w:rPr>
          <w:rFonts w:ascii="Arial" w:eastAsia="Arial" w:hAnsi="Arial" w:cs="Arial"/>
          <w:sz w:val="20"/>
          <w:szCs w:val="20"/>
        </w:rPr>
        <w:tab/>
        <w:t>10</w:t>
      </w:r>
    </w:p>
    <w:p w:rsidR="00232046" w:rsidRDefault="00000000">
      <w:pPr>
        <w:tabs>
          <w:tab w:val="right" w:pos="8640"/>
        </w:tabs>
        <w:spacing w:before="80" w:after="60"/>
      </w:pPr>
      <w:r>
        <w:rPr>
          <w:rFonts w:ascii="Arial" w:eastAsia="Arial" w:hAnsi="Arial" w:cs="Arial"/>
          <w:b/>
          <w:bCs/>
          <w:sz w:val="22"/>
          <w:szCs w:val="22"/>
        </w:rPr>
        <w:t>6.  Discussion</w:t>
      </w:r>
      <w:r>
        <w:rPr>
          <w:rFonts w:ascii="Arial" w:eastAsia="Arial" w:hAnsi="Arial" w:cs="Arial"/>
          <w:sz w:val="20"/>
          <w:szCs w:val="20"/>
        </w:rPr>
        <w:tab/>
        <w:t>11</w:t>
      </w:r>
    </w:p>
    <w:p w:rsidR="00232046" w:rsidRDefault="00000000">
      <w:pPr>
        <w:tabs>
          <w:tab w:val="right" w:pos="8640"/>
        </w:tabs>
        <w:spacing w:before="20" w:after="20"/>
      </w:pPr>
      <w:r>
        <w:rPr>
          <w:rFonts w:ascii="Arial" w:eastAsia="Arial" w:hAnsi="Arial" w:cs="Arial"/>
          <w:sz w:val="20"/>
          <w:szCs w:val="20"/>
        </w:rPr>
        <w:t xml:space="preserve">    6.1  From Simulation Support to Prescriptive Control</w:t>
      </w:r>
      <w:r>
        <w:rPr>
          <w:rFonts w:ascii="Arial" w:eastAsia="Arial" w:hAnsi="Arial" w:cs="Arial"/>
          <w:sz w:val="20"/>
          <w:szCs w:val="20"/>
        </w:rPr>
        <w:tab/>
        <w:t>11</w:t>
      </w:r>
    </w:p>
    <w:p w:rsidR="00232046" w:rsidRDefault="00000000">
      <w:pPr>
        <w:tabs>
          <w:tab w:val="right" w:pos="8640"/>
        </w:tabs>
        <w:spacing w:before="20" w:after="20"/>
      </w:pPr>
      <w:r>
        <w:rPr>
          <w:rFonts w:ascii="Arial" w:eastAsia="Arial" w:hAnsi="Arial" w:cs="Arial"/>
          <w:sz w:val="20"/>
          <w:szCs w:val="20"/>
        </w:rPr>
        <w:t xml:space="preserve">    6.2  Technology Maturity Gap</w:t>
      </w:r>
      <w:r>
        <w:rPr>
          <w:rFonts w:ascii="Arial" w:eastAsia="Arial" w:hAnsi="Arial" w:cs="Arial"/>
          <w:sz w:val="20"/>
          <w:szCs w:val="20"/>
        </w:rPr>
        <w:tab/>
        <w:t>12</w:t>
      </w:r>
    </w:p>
    <w:p w:rsidR="00232046" w:rsidRDefault="00000000">
      <w:pPr>
        <w:tabs>
          <w:tab w:val="right" w:pos="8640"/>
        </w:tabs>
        <w:spacing w:before="20" w:after="20"/>
      </w:pPr>
      <w:r>
        <w:rPr>
          <w:rFonts w:ascii="Arial" w:eastAsia="Arial" w:hAnsi="Arial" w:cs="Arial"/>
          <w:sz w:val="20"/>
          <w:szCs w:val="20"/>
        </w:rPr>
        <w:t xml:space="preserve">    6.3  Systems Engineering Gaps</w:t>
      </w:r>
      <w:r>
        <w:rPr>
          <w:rFonts w:ascii="Arial" w:eastAsia="Arial" w:hAnsi="Arial" w:cs="Arial"/>
          <w:sz w:val="20"/>
          <w:szCs w:val="20"/>
        </w:rPr>
        <w:tab/>
        <w:t>12</w:t>
      </w:r>
    </w:p>
    <w:p w:rsidR="00232046" w:rsidRDefault="00000000">
      <w:pPr>
        <w:tabs>
          <w:tab w:val="right" w:pos="8640"/>
        </w:tabs>
        <w:spacing w:before="20" w:after="20"/>
      </w:pPr>
      <w:r>
        <w:rPr>
          <w:rFonts w:ascii="Arial" w:eastAsia="Arial" w:hAnsi="Arial" w:cs="Arial"/>
          <w:sz w:val="20"/>
          <w:szCs w:val="20"/>
        </w:rPr>
        <w:t xml:space="preserve">    6.4  Proposed SE-Oriented DT Architecture</w:t>
      </w:r>
      <w:r>
        <w:rPr>
          <w:rFonts w:ascii="Arial" w:eastAsia="Arial" w:hAnsi="Arial" w:cs="Arial"/>
          <w:sz w:val="20"/>
          <w:szCs w:val="20"/>
        </w:rPr>
        <w:tab/>
        <w:t>12</w:t>
      </w:r>
    </w:p>
    <w:p w:rsidR="00232046" w:rsidRDefault="00000000">
      <w:pPr>
        <w:tabs>
          <w:tab w:val="right" w:pos="8640"/>
        </w:tabs>
        <w:spacing w:before="80" w:after="60"/>
      </w:pPr>
      <w:r>
        <w:rPr>
          <w:rFonts w:ascii="Arial" w:eastAsia="Arial" w:hAnsi="Arial" w:cs="Arial"/>
          <w:b/>
          <w:bCs/>
          <w:sz w:val="22"/>
          <w:szCs w:val="22"/>
        </w:rPr>
        <w:t>7.  Research Gaps and Future Directions</w:t>
      </w:r>
      <w:r>
        <w:rPr>
          <w:rFonts w:ascii="Arial" w:eastAsia="Arial" w:hAnsi="Arial" w:cs="Arial"/>
          <w:sz w:val="20"/>
          <w:szCs w:val="20"/>
        </w:rPr>
        <w:tab/>
        <w:t>13</w:t>
      </w:r>
    </w:p>
    <w:p w:rsidR="00232046" w:rsidRDefault="00000000">
      <w:pPr>
        <w:tabs>
          <w:tab w:val="right" w:pos="8640"/>
        </w:tabs>
        <w:spacing w:before="80" w:after="60"/>
      </w:pPr>
      <w:r>
        <w:rPr>
          <w:rFonts w:ascii="Arial" w:eastAsia="Arial" w:hAnsi="Arial" w:cs="Arial"/>
          <w:b/>
          <w:bCs/>
          <w:sz w:val="22"/>
          <w:szCs w:val="22"/>
        </w:rPr>
        <w:t>8.  Limitations and Threats to Validity</w:t>
      </w:r>
      <w:r>
        <w:rPr>
          <w:rFonts w:ascii="Arial" w:eastAsia="Arial" w:hAnsi="Arial" w:cs="Arial"/>
          <w:sz w:val="20"/>
          <w:szCs w:val="20"/>
        </w:rPr>
        <w:tab/>
        <w:t>14</w:t>
      </w:r>
    </w:p>
    <w:p w:rsidR="00232046" w:rsidRDefault="00000000">
      <w:pPr>
        <w:tabs>
          <w:tab w:val="right" w:pos="8640"/>
        </w:tabs>
        <w:spacing w:before="80" w:after="60"/>
      </w:pPr>
      <w:r>
        <w:rPr>
          <w:rFonts w:ascii="Arial" w:eastAsia="Arial" w:hAnsi="Arial" w:cs="Arial"/>
          <w:b/>
          <w:bCs/>
          <w:sz w:val="22"/>
          <w:szCs w:val="22"/>
        </w:rPr>
        <w:t>9.  Conclusion</w:t>
      </w:r>
      <w:r>
        <w:rPr>
          <w:rFonts w:ascii="Arial" w:eastAsia="Arial" w:hAnsi="Arial" w:cs="Arial"/>
          <w:sz w:val="20"/>
          <w:szCs w:val="20"/>
        </w:rPr>
        <w:tab/>
        <w:t>14</w:t>
      </w:r>
    </w:p>
    <w:p w:rsidR="00232046" w:rsidRDefault="00000000">
      <w:pPr>
        <w:tabs>
          <w:tab w:val="right" w:pos="8640"/>
        </w:tabs>
        <w:spacing w:before="80" w:after="60"/>
      </w:pPr>
      <w:r>
        <w:rPr>
          <w:rFonts w:ascii="Arial" w:eastAsia="Arial" w:hAnsi="Arial" w:cs="Arial"/>
          <w:b/>
          <w:bCs/>
          <w:sz w:val="22"/>
          <w:szCs w:val="22"/>
        </w:rPr>
        <w:t>References</w:t>
      </w:r>
      <w:r>
        <w:rPr>
          <w:rFonts w:ascii="Arial" w:eastAsia="Arial" w:hAnsi="Arial" w:cs="Arial"/>
          <w:sz w:val="20"/>
          <w:szCs w:val="20"/>
        </w:rPr>
        <w:tab/>
        <w:t>15</w:t>
      </w:r>
    </w:p>
    <w:p w:rsidR="00232046" w:rsidRDefault="00000000">
      <w:pPr>
        <w:tabs>
          <w:tab w:val="right" w:pos="8640"/>
        </w:tabs>
        <w:spacing w:before="80" w:after="60"/>
      </w:pPr>
      <w:r>
        <w:rPr>
          <w:rFonts w:ascii="Arial" w:eastAsia="Arial" w:hAnsi="Arial" w:cs="Arial"/>
          <w:b/>
          <w:bCs/>
          <w:sz w:val="22"/>
          <w:szCs w:val="22"/>
        </w:rPr>
        <w:t>Appendix A. Included Study Matrix</w:t>
      </w:r>
      <w:r>
        <w:rPr>
          <w:rFonts w:ascii="Arial" w:eastAsia="Arial" w:hAnsi="Arial" w:cs="Arial"/>
          <w:sz w:val="20"/>
          <w:szCs w:val="20"/>
        </w:rPr>
        <w:tab/>
        <w:t>18</w:t>
      </w:r>
    </w:p>
    <w:p w:rsidR="00232046" w:rsidRDefault="00000000">
      <w:pPr>
        <w:tabs>
          <w:tab w:val="right" w:pos="8640"/>
        </w:tabs>
        <w:spacing w:before="80" w:after="60"/>
      </w:pPr>
      <w:r>
        <w:rPr>
          <w:rFonts w:ascii="Arial" w:eastAsia="Arial" w:hAnsi="Arial" w:cs="Arial"/>
          <w:b/>
          <w:bCs/>
          <w:sz w:val="22"/>
          <w:szCs w:val="22"/>
        </w:rPr>
        <w:t>Appendix B. Quality Assessment Results</w:t>
      </w:r>
      <w:r>
        <w:rPr>
          <w:rFonts w:ascii="Arial" w:eastAsia="Arial" w:hAnsi="Arial" w:cs="Arial"/>
          <w:sz w:val="20"/>
          <w:szCs w:val="20"/>
        </w:rPr>
        <w:tab/>
        <w:t>19</w:t>
      </w:r>
    </w:p>
    <w:p w:rsidR="00232046" w:rsidRDefault="00000000">
      <w:pPr>
        <w:spacing w:before="200"/>
      </w:pPr>
      <w:r>
        <w:br w:type="page"/>
      </w:r>
    </w:p>
    <w:p w:rsidR="00232046" w:rsidRDefault="00000000">
      <w:pPr>
        <w:pStyle w:val="Heading1"/>
      </w:pPr>
      <w:r>
        <w:lastRenderedPageBreak/>
        <w:t>1. INTRODUCTION</w:t>
      </w:r>
    </w:p>
    <w:p w:rsidR="004D4718" w:rsidRDefault="004D4718" w:rsidP="004D4718">
      <w:pPr>
        <w:spacing w:after="160"/>
        <w:jc w:val="both"/>
      </w:pPr>
      <w:r>
        <w:t>Physical material flows, sensor networks, autonomous vehicles, warehouse management systems (WMS), warehouse control systems (WCS), and human operators interact under strict performance constraints in modern warehouses and intralogistics facilities, which function as high-complexity cyber-physical systems. Operational choices, such as whether to release a production batch, how to deploy an AGV, and which picking rule to use, are made at sub-minute timescales and have quantifiable effects on service levels, energy usage, and throughput.</w:t>
      </w:r>
    </w:p>
    <w:p w:rsidR="004D4718" w:rsidRDefault="004D4718" w:rsidP="004D4718">
      <w:pPr>
        <w:spacing w:after="160"/>
        <w:jc w:val="both"/>
      </w:pPr>
      <w:r>
        <w:t>Conventional warehouse management techniques focus on reactive exception handling, historical averages, and static rules. The dynamic, data-rich environments produced by the combination of automated storage and retrieval systems (AS/RS), autonomous mobile robots (AMRs), automated guided vehicles (AGVs), Internet of Things sensor networks, computer vision, and machine learning are unsuitable for these methods.</w:t>
      </w:r>
    </w:p>
    <w:p w:rsidR="004D4718" w:rsidRDefault="004D4718" w:rsidP="004D4718">
      <w:pPr>
        <w:spacing w:after="160"/>
        <w:jc w:val="both"/>
      </w:pPr>
      <w:r>
        <w:t>A convincing architectural solution to this problem is provided by digital twin (DT) technology. A DT is a dynamic virtual model of a physical system that is used for active control feedback, monitoring, simulation, prediction, and optimization. It gets data from its real counterpart. DTs in logistics include everything from simulation-based digital shadows to AI-enhanced prescriptive control systems that use knowledge graphs, genetic algorithms, and deep reinforcement learning (DRL).</w:t>
      </w:r>
    </w:p>
    <w:p w:rsidR="004D4718" w:rsidRDefault="004D4718" w:rsidP="004D4718">
      <w:pPr>
        <w:spacing w:after="160"/>
        <w:jc w:val="both"/>
      </w:pPr>
      <w:r>
        <w:t>The literature is still scattered throughout discrete-event simulation, AI and control engineering, warehouse management, and systems engineering, despite significant increase in DT research. There is a need of a synthesis based on Scopus-indexed journal papers from 2021 to 2026 that focuses on warehouse-level application areas, enabling technologies, performance objectives, and research maturity. This vacuum is filled by this systematic review of the literature.</w:t>
      </w:r>
    </w:p>
    <w:p w:rsidR="007A1902" w:rsidRDefault="004D4718" w:rsidP="004D4718">
      <w:pPr>
        <w:pStyle w:val="Heading1"/>
        <w:jc w:val="both"/>
      </w:pPr>
      <w:r w:rsidRPr="004D4718">
        <w:rPr>
          <w:rFonts w:ascii="Times New Roman" w:eastAsia="Times New Roman" w:hAnsi="Times New Roman" w:cs="Times New Roman"/>
          <w:b w:val="0"/>
          <w:bCs w:val="0"/>
          <w:color w:val="auto"/>
          <w:sz w:val="24"/>
          <w:szCs w:val="24"/>
        </w:rPr>
        <w:t>The following particular contributions are made by the study: (i) a repeatable Scopus-based search and screening protocol with a PRISMA 2020 flow; (ii) synthesis of 15 primary studies covering four research questions and five application clusters; (iii) identification of dominant technology patterns, such as DES/physics simulation and DRL; (iv) an organized assessment of research maturity and gaps; and (v) a proposal for a systems engineering-focused DT architecture.</w:t>
      </w: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4D4718" w:rsidRDefault="004D4718">
      <w:pPr>
        <w:pStyle w:val="Heading1"/>
      </w:pPr>
    </w:p>
    <w:p w:rsidR="007A1902" w:rsidRDefault="007A1902">
      <w:pPr>
        <w:pStyle w:val="Heading1"/>
      </w:pPr>
    </w:p>
    <w:p w:rsidR="00232046" w:rsidRDefault="00000000">
      <w:pPr>
        <w:pStyle w:val="Heading1"/>
      </w:pPr>
      <w:r>
        <w:lastRenderedPageBreak/>
        <w:t>2. BACKGROUND AND CONCEPTUAL SCOPE</w:t>
      </w:r>
    </w:p>
    <w:p w:rsidR="00232046" w:rsidRDefault="00000000">
      <w:pPr>
        <w:pStyle w:val="Heading2"/>
      </w:pPr>
      <w:r>
        <w:t>2.1 Digital Twins in Logistics Systems</w:t>
      </w:r>
    </w:p>
    <w:p w:rsidR="004D4718" w:rsidRDefault="004D4718">
      <w:pPr>
        <w:spacing w:after="160"/>
        <w:jc w:val="both"/>
      </w:pPr>
      <w:r w:rsidRPr="004D4718">
        <w:t>A virtual model, a data communication layer, and a physical process are all integrated into the digital twin concept. Receiving, storing, picking orders, internal transportation, production supplies, and outward loading are examples of physical processes in intralogistics. The virtual model could be an optimization model, a knowledge graph, a discrete-event simulation, a 3D physics simulation, or an AI-enhanced state estimator.</w:t>
      </w:r>
    </w:p>
    <w:p w:rsid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Three maturity levels can be distinguished as follows: (i) a static simulation model, which tests hypothetical scenarios without being connected to the real system; (ii) a digital shadow, which receives data from the physical system but does not feed decisions back; and (iii) a full digital twin, which allows for closed-loop influence on the physical system and bidirectional communication. All three tiers of research are covered in this evaluation, and each included study has its maturity specifically evaluated.</w:t>
      </w:r>
    </w:p>
    <w:p w:rsidR="00232046" w:rsidRDefault="00000000">
      <w:pPr>
        <w:pStyle w:val="Heading2"/>
      </w:pPr>
      <w:r>
        <w:t>2.2 Intralogistics and Warehouse Control</w:t>
      </w:r>
    </w:p>
    <w:p w:rsidR="004D4718" w:rsidRP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The planning, carrying out, monitoring, and controlling of material and information flows within a facility are all included in intralogistics. Decisions about order release, picking route planning, AGV/AMR dispatching and routing, storage slot assignment, congestion management, and disturbance response are all part of warehouse control at the operational level. These choices are made on a regular basis and interact dynamically: an AGV routing conflict increases congestion and decreases throughput, while a picking delay affects outbound loading.</w:t>
      </w:r>
    </w:p>
    <w:p w:rsid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Because intralogistics systems are data-rich (IoT, RFID, WMS logs, robot telemetry), performance-sensitive (throughput, energy, and cycle-time effects are measurable), and dynamic (disturbances, demand variability, and equipment failures require adaptive responses), they are particularly well-suited to DT applications.</w:t>
      </w:r>
    </w:p>
    <w:p w:rsidR="00232046" w:rsidRDefault="00000000" w:rsidP="004D4718">
      <w:pPr>
        <w:pStyle w:val="Heading2"/>
      </w:pPr>
      <w:r>
        <w:t>2.3 Systems Engineering Perspective</w:t>
      </w:r>
    </w:p>
    <w:p w:rsidR="007A1902" w:rsidRDefault="004D4718" w:rsidP="004D4718">
      <w:pPr>
        <w:pStyle w:val="Heading1"/>
        <w:jc w:val="both"/>
      </w:pPr>
      <w:r w:rsidRPr="004D4718">
        <w:rPr>
          <w:rFonts w:ascii="Times New Roman" w:eastAsia="Times New Roman" w:hAnsi="Times New Roman" w:cs="Times New Roman"/>
          <w:b w:val="0"/>
          <w:bCs w:val="0"/>
          <w:color w:val="auto"/>
          <w:sz w:val="24"/>
          <w:szCs w:val="24"/>
        </w:rPr>
        <w:t>A warehouse is a socio-technical system made up of people, machines, software, physical infrastructure, operational rules, restrictions, and stakeholders, according to systems engineering. Therefore, rather than being just a visualization layer or software module, a DT for intralogistics should be viewed as a lifecycle decision-support capability supporting analysis, design, verification and validation (V&amp;V), operation, maintenance, and continuous improvement.</w:t>
      </w: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4D4718" w:rsidRDefault="004D4718">
      <w:pPr>
        <w:pStyle w:val="Heading1"/>
      </w:pPr>
    </w:p>
    <w:p w:rsidR="00232046" w:rsidRDefault="00000000">
      <w:pPr>
        <w:pStyle w:val="Heading1"/>
      </w:pPr>
      <w:r>
        <w:lastRenderedPageBreak/>
        <w:t>3. RESEARCH QUESTIONS AND PICOS FRAMEWORK</w:t>
      </w:r>
    </w:p>
    <w:p w:rsidR="00232046" w:rsidRDefault="00000000">
      <w:pPr>
        <w:spacing w:after="160"/>
        <w:jc w:val="both"/>
      </w:pPr>
      <w:r>
        <w:t>Four research questions structure this review, aligned with the result sections and quality appraisal criteria. RQ1 and RQ2 address what is applied and how; RQ3 addresses measured impact; RQ4 addresses maturity and remaining gaps.</w:t>
      </w:r>
    </w:p>
    <w:p w:rsidR="00232046" w:rsidRDefault="00000000">
      <w:pPr>
        <w:spacing w:before="120" w:after="60"/>
      </w:pPr>
      <w:r>
        <w:rPr>
          <w:rFonts w:ascii="Arial" w:eastAsia="Arial" w:hAnsi="Arial" w:cs="Arial"/>
          <w:b/>
          <w:bCs/>
          <w:color w:val="1F3864"/>
          <w:sz w:val="20"/>
          <w:szCs w:val="20"/>
        </w:rPr>
        <w:t>Table 1.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232046">
        <w:tc>
          <w:tcPr>
            <w:tcW w:w="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RQ</w:t>
            </w:r>
          </w:p>
        </w:tc>
        <w:tc>
          <w:tcPr>
            <w:tcW w:w="84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Question Text</w:t>
            </w:r>
          </w:p>
        </w:tc>
      </w:tr>
      <w:tr w:rsidR="00232046">
        <w:tc>
          <w:tcPr>
            <w:tcW w:w="9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232046" w:rsidRDefault="00000000">
            <w:r>
              <w:rPr>
                <w:b/>
                <w:bCs/>
                <w:sz w:val="20"/>
                <w:szCs w:val="20"/>
              </w:rPr>
              <w:t>RQ1</w:t>
            </w:r>
          </w:p>
        </w:tc>
        <w:tc>
          <w:tcPr>
            <w:tcW w:w="8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What are the main application areas of digital twins in intralogistics and warehouse control systems?</w:t>
            </w:r>
          </w:p>
        </w:tc>
      </w:tr>
      <w:tr w:rsidR="00232046">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RQ2</w:t>
            </w:r>
          </w:p>
        </w:tc>
        <w:tc>
          <w:tcPr>
            <w:tcW w:w="84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Which enabling technologies and architectures are most frequently used in DT-based warehouse and intralogistics implementations?</w:t>
            </w:r>
          </w:p>
        </w:tc>
      </w:tr>
      <w:tr w:rsidR="00232046">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RQ3</w:t>
            </w:r>
          </w:p>
        </w:tc>
        <w:tc>
          <w:tcPr>
            <w:tcW w:w="8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What operational performance objectives are targeted by DT-enabled warehouse systems?</w:t>
            </w:r>
          </w:p>
        </w:tc>
      </w:tr>
      <w:tr w:rsidR="00232046">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RQ4</w:t>
            </w:r>
          </w:p>
        </w:tc>
        <w:tc>
          <w:tcPr>
            <w:tcW w:w="84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What is the maturity level of current evidence and what research gaps remain for real-time industrial warehouse control?</w:t>
            </w:r>
          </w:p>
        </w:tc>
      </w:tr>
    </w:tbl>
    <w:p w:rsidR="00232046" w:rsidRDefault="00232046">
      <w:pPr>
        <w:spacing w:before="160" w:after="80"/>
      </w:pPr>
    </w:p>
    <w:p w:rsidR="00232046" w:rsidRDefault="00000000">
      <w:pPr>
        <w:spacing w:after="160"/>
        <w:jc w:val="both"/>
      </w:pPr>
      <w:r>
        <w:t>The PICOS framework guides inclusion decisions and is detailed in Table 2.</w:t>
      </w:r>
    </w:p>
    <w:p w:rsidR="00232046" w:rsidRDefault="00000000">
      <w:pPr>
        <w:spacing w:before="120" w:after="60"/>
      </w:pPr>
      <w:r>
        <w:rPr>
          <w:rFonts w:ascii="Arial" w:eastAsia="Arial" w:hAnsi="Arial" w:cs="Arial"/>
          <w:b/>
          <w:bCs/>
          <w:color w:val="1F3864"/>
          <w:sz w:val="20"/>
          <w:szCs w:val="20"/>
        </w:rPr>
        <w:t>Table 2. PICOS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2046">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Component</w:t>
            </w:r>
          </w:p>
        </w:tc>
        <w:tc>
          <w:tcPr>
            <w:tcW w:w="7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Operationalization in This Review</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232046" w:rsidRDefault="00000000">
            <w:r>
              <w:rPr>
                <w:b/>
                <w:bCs/>
                <w:sz w:val="20"/>
                <w:szCs w:val="20"/>
              </w:rPr>
              <w:t>Population / Context</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Warehouse, intralogistics, production logistics, order picking, AGV/AMR and material handling systems</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Intervention / Technology</w:t>
            </w:r>
          </w:p>
        </w:tc>
        <w:tc>
          <w:tcPr>
            <w:tcW w:w="7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twins, digital shadows, AI-enhanced DTs, DT-enabled control frameworks, physics-based DT models</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Comparator</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Traditional simulation, conventional warehouse control, rule-based dispatching, or non-DT decision support</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Outcomes</w:t>
            </w:r>
          </w:p>
        </w:tc>
        <w:tc>
          <w:tcPr>
            <w:tcW w:w="7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Throughput, picking time, travel distance, congestion, utilization, cost, energy, resilience, synchronization accuracy</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Study Type</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Journal articles: simulation studies, case studies, lab prototypes, architecture papers, optimization studies</w:t>
            </w:r>
          </w:p>
        </w:tc>
      </w:tr>
    </w:tbl>
    <w:p w:rsidR="00232046" w:rsidRDefault="00000000">
      <w:pPr>
        <w:spacing w:before="200"/>
      </w:pPr>
      <w:r>
        <w:br w:type="page"/>
      </w:r>
    </w:p>
    <w:p w:rsidR="00232046" w:rsidRDefault="00000000">
      <w:pPr>
        <w:pStyle w:val="Heading1"/>
      </w:pPr>
      <w:r>
        <w:lastRenderedPageBreak/>
        <w:t>4. METHODOLOGY</w:t>
      </w:r>
    </w:p>
    <w:p w:rsidR="00232046" w:rsidRDefault="00000000">
      <w:pPr>
        <w:pStyle w:val="Heading2"/>
      </w:pPr>
      <w:r>
        <w:t>4.1 Review Design</w:t>
      </w:r>
    </w:p>
    <w:p w:rsid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The protocol-driven systematic literature review format used in this study was modified for a graduate research methods course. The review uses a structured data extraction template, a quality rating rubric, and abstract-level systematic screening with clear inclusion/exclusion criteria. Because the included studies vary in domain, evaluation method, and outcome measure, a qualitative narrative synthesis is employed instead of a meta-analysis.</w:t>
      </w:r>
    </w:p>
    <w:p w:rsidR="00232046" w:rsidRDefault="00000000">
      <w:pPr>
        <w:pStyle w:val="Heading2"/>
      </w:pPr>
      <w:r>
        <w:t>4.2 Search Strategy</w:t>
      </w:r>
    </w:p>
    <w:p w:rsidR="00232046" w:rsidRDefault="00000000">
      <w:pPr>
        <w:spacing w:after="160"/>
        <w:jc w:val="both"/>
      </w:pPr>
      <w:r>
        <w:t>Scopus was used as the sole database to ensure reproducibility and complete peer-reviewed coverage. The following query was executed in May 2026:</w:t>
      </w:r>
    </w:p>
    <w:p w:rsidR="00232046" w:rsidRDefault="00000000">
      <w:pPr>
        <w:spacing w:before="80" w:after="80"/>
        <w:ind w:left="720"/>
      </w:pPr>
      <w:r>
        <w:rPr>
          <w:rFonts w:ascii="Courier New" w:eastAsia="Courier New" w:hAnsi="Courier New" w:cs="Courier New"/>
          <w:sz w:val="19"/>
          <w:szCs w:val="19"/>
        </w:rPr>
        <w:t>TITLE-ABS-KEY(("digital twin" OR "digital shadow") AND ("warehouse" OR "intralogistics" OR "material handling" OR "order picking" OR "AGV" OR "AMR" OR "warehouse control" OR "smart warehouse" OR "AS/RS" OR "automated storage")) AND PUBYEAR &gt; 2020 AND DOCTYPE(ar)</w:t>
      </w:r>
    </w:p>
    <w:p w:rsidR="00232046" w:rsidRDefault="00000000">
      <w:pPr>
        <w:spacing w:after="160"/>
        <w:jc w:val="both"/>
      </w:pPr>
      <w:r>
        <w:t>Additional Scopus filters: subject area = Digital Twins; language = English; document type = Article. The search returned 117 records after all filters were applied.</w:t>
      </w:r>
    </w:p>
    <w:p w:rsidR="00232046" w:rsidRDefault="00000000">
      <w:pPr>
        <w:pStyle w:val="Heading2"/>
      </w:pPr>
      <w:r>
        <w:t>4.3 Inclusion and Exclusion Criteria</w:t>
      </w:r>
    </w:p>
    <w:p w:rsidR="004D4718" w:rsidRP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All five criteria had to be met for a study to be included: (IC1) peer-reviewed English-language journal article indexed in Scopus; (IC2) directly related to warehouse logistics, intralogistics, material handling, order picking, AGV/AMR coordination, production logistics, or warehouse control; (IC3) explicit digital twin or digital shadow concept with a described model, architecture, or data mechanism; (IC4) presents a simulation, prototype, case study, or implementation; and (IC5) performance improvement, control, decision support, or operational optimization.</w:t>
      </w:r>
    </w:p>
    <w:p w:rsidR="004D4718" w:rsidRDefault="004D4718" w:rsidP="004D4718">
      <w:pPr>
        <w:pStyle w:val="Heading2"/>
        <w:jc w:val="both"/>
        <w:rPr>
          <w:rFonts w:ascii="Times New Roman" w:eastAsia="Times New Roman" w:hAnsi="Times New Roman" w:cs="Times New Roman"/>
          <w:b w:val="0"/>
          <w:bCs w:val="0"/>
          <w:color w:val="auto"/>
        </w:rPr>
      </w:pPr>
      <w:r w:rsidRPr="004D4718">
        <w:rPr>
          <w:rFonts w:ascii="Times New Roman" w:eastAsia="Times New Roman" w:hAnsi="Times New Roman" w:cs="Times New Roman"/>
          <w:b w:val="0"/>
          <w:bCs w:val="0"/>
          <w:color w:val="auto"/>
        </w:rPr>
        <w:t>The following criteria were used to exclude studies: (EC1) generic Industry 4.0 DT paper without intralogistics relevance; (EC2) macro supply chain strategy only; (EC3) non-Scopus-indexed material; (EC4) DT mentioned superficially without model or data mechanism; (EC5) insufficient relevance after abstract review.</w:t>
      </w:r>
    </w:p>
    <w:p w:rsidR="00232046" w:rsidRDefault="00000000" w:rsidP="004D4718">
      <w:pPr>
        <w:pStyle w:val="Heading2"/>
      </w:pPr>
      <w:r>
        <w:t>4.4 Study Selection and PRISMA Flow</w:t>
      </w:r>
    </w:p>
    <w:p w:rsidR="00232046" w:rsidRDefault="00000000">
      <w:pPr>
        <w:spacing w:after="160"/>
        <w:jc w:val="both"/>
      </w:pPr>
      <w:r>
        <w:t>The selection process followed the PRISMA 2020 framework (Page et al., 2021). Figure 1 presents the complete flow. Of 117 records retrieved, 20 were removed in pre-screening. The remaining 97 were screened by title and abstract; 57 were excluded per EC1–EC5. Of the 40 candidates retained, 15 were classified as primary studies (S1–S15) and 5 as supporting reviews (R1–R5).</w:t>
      </w:r>
    </w:p>
    <w:p w:rsidR="00232046" w:rsidRDefault="00232046">
      <w:pPr>
        <w:spacing w:before="120" w:after="60"/>
      </w:pPr>
    </w:p>
    <w:p w:rsidR="007A1902" w:rsidRDefault="007A1902">
      <w:pPr>
        <w:spacing w:before="120" w:after="60"/>
      </w:pPr>
    </w:p>
    <w:p w:rsidR="007A1902" w:rsidRDefault="007A1902">
      <w:pPr>
        <w:spacing w:before="120" w:after="60"/>
      </w:pPr>
    </w:p>
    <w:p w:rsidR="007A1902" w:rsidRDefault="007A1902">
      <w:pPr>
        <w:spacing w:before="120" w:after="60"/>
      </w:pPr>
    </w:p>
    <w:p w:rsidR="007A1902" w:rsidRDefault="007A1902">
      <w:pPr>
        <w:spacing w:before="120" w:after="60"/>
      </w:pPr>
    </w:p>
    <w:p w:rsidR="007A1902" w:rsidRDefault="007A1902">
      <w:pPr>
        <w:spacing w:before="120" w:after="60"/>
      </w:pPr>
    </w:p>
    <w:p w:rsidR="007A1902" w:rsidRDefault="007A1902">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614"/>
        <w:gridCol w:w="342"/>
        <w:gridCol w:w="3784"/>
      </w:tblGrid>
      <w:tr w:rsidR="00232046">
        <w:tc>
          <w:tcPr>
            <w:tcW w:w="9360" w:type="dxa"/>
            <w:gridSpan w:val="4"/>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232046" w:rsidRDefault="00000000">
            <w:pPr>
              <w:spacing w:after="120"/>
              <w:jc w:val="center"/>
            </w:pPr>
            <w:r>
              <w:rPr>
                <w:rFonts w:ascii="Arial" w:eastAsia="Arial" w:hAnsi="Arial" w:cs="Arial"/>
                <w:b/>
                <w:bCs/>
                <w:color w:val="1F3864"/>
              </w:rPr>
              <w:lastRenderedPageBreak/>
              <w:t>PRISMA 2020 Flow Diagram — Study Selection</w:t>
            </w:r>
          </w:p>
        </w:tc>
      </w:tr>
      <w:tr w:rsidR="00232046">
        <w:tc>
          <w:tcPr>
            <w:tcW w:w="1260" w:type="dxa"/>
            <w:tcBorders>
              <w:top w:val="none" w:sz="0" w:space="0" w:color="FFFFFF"/>
              <w:left w:val="single" w:sz="6" w:space="0" w:color="1F3864"/>
              <w:bottom w:val="none" w:sz="0" w:space="0" w:color="FFFFFF"/>
              <w:right w:val="none" w:sz="0" w:space="0" w:color="FFFFFF"/>
            </w:tcBorders>
            <w:shd w:val="clear" w:color="auto" w:fill="FFFFFF"/>
            <w:tcMar>
              <w:top w:w="20" w:type="dxa"/>
              <w:left w:w="160" w:type="dxa"/>
              <w:bottom w:w="20" w:type="dxa"/>
              <w:right w:w="20" w:type="dxa"/>
            </w:tcMar>
            <w:vAlign w:val="center"/>
          </w:tcPr>
          <w:p w:rsidR="00232046" w:rsidRDefault="00000000">
            <w:r>
              <w:rPr>
                <w:rFonts w:ascii="Arial" w:eastAsia="Arial" w:hAnsi="Arial" w:cs="Arial"/>
                <w:b/>
                <w:bCs/>
                <w:color w:val="1F3864"/>
                <w:sz w:val="18"/>
                <w:szCs w:val="18"/>
              </w:rPr>
              <w:t>IDENTIFICATION</w:t>
            </w:r>
          </w:p>
        </w:tc>
        <w:tc>
          <w:tcPr>
            <w:tcW w:w="3780" w:type="dxa"/>
            <w:tcBorders>
              <w:top w:val="single" w:sz="4" w:space="0" w:color="BBBBBB"/>
              <w:left w:val="single" w:sz="4" w:space="0" w:color="BBBBBB"/>
              <w:bottom w:val="single" w:sz="4" w:space="0" w:color="BBBBBB"/>
              <w:right w:val="single" w:sz="4" w:space="0" w:color="BBBBBB"/>
            </w:tcBorders>
            <w:shd w:val="clear" w:color="auto" w:fill="BDD7EE"/>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Records identified from Scopus</w:t>
            </w:r>
          </w:p>
          <w:p w:rsidR="00232046" w:rsidRDefault="00000000">
            <w:pPr>
              <w:spacing w:before="20" w:after="20"/>
              <w:jc w:val="center"/>
            </w:pPr>
            <w:r>
              <w:rPr>
                <w:rFonts w:ascii="Arial" w:eastAsia="Arial" w:hAnsi="Arial" w:cs="Arial"/>
                <w:b/>
                <w:bCs/>
                <w:sz w:val="20"/>
                <w:szCs w:val="20"/>
              </w:rPr>
              <w:t>(n = 117)</w:t>
            </w:r>
          </w:p>
          <w:p w:rsidR="00232046" w:rsidRDefault="00000000">
            <w:pPr>
              <w:spacing w:before="20" w:after="20"/>
              <w:jc w:val="center"/>
            </w:pPr>
            <w:r>
              <w:rPr>
                <w:rFonts w:ascii="Arial" w:eastAsia="Arial" w:hAnsi="Arial" w:cs="Arial"/>
                <w:sz w:val="18"/>
                <w:szCs w:val="18"/>
              </w:rPr>
              <w:t>Filters: Article · English · 2021–2026 · Digital Twins subject area</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single" w:sz="4" w:space="0" w:color="BBBBBB"/>
              <w:left w:val="single" w:sz="4" w:space="0" w:color="BBBBBB"/>
              <w:bottom w:val="single" w:sz="4" w:space="0" w:color="BBBBBB"/>
              <w:right w:val="single" w:sz="4" w:space="0" w:color="BBBBBB"/>
            </w:tcBorders>
            <w:shd w:val="clear" w:color="auto" w:fill="FCE4D6"/>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Records removed before screening</w:t>
            </w:r>
          </w:p>
          <w:p w:rsidR="00232046" w:rsidRDefault="00000000">
            <w:pPr>
              <w:spacing w:before="20" w:after="20"/>
              <w:jc w:val="center"/>
            </w:pPr>
            <w:r>
              <w:rPr>
                <w:rFonts w:ascii="Arial" w:eastAsia="Arial" w:hAnsi="Arial" w:cs="Arial"/>
                <w:b/>
                <w:bCs/>
                <w:sz w:val="20"/>
                <w:szCs w:val="20"/>
              </w:rPr>
              <w:t>(n = 20)</w:t>
            </w:r>
          </w:p>
          <w:p w:rsidR="00232046" w:rsidRDefault="00000000">
            <w:pPr>
              <w:spacing w:before="20" w:after="20"/>
              <w:jc w:val="center"/>
            </w:pPr>
            <w:r>
              <w:rPr>
                <w:rFonts w:ascii="Arial" w:eastAsia="Arial" w:hAnsi="Arial" w:cs="Arial"/>
                <w:sz w:val="18"/>
                <w:szCs w:val="18"/>
              </w:rPr>
              <w:t>Out-of-scope subject areas</w:t>
            </w:r>
          </w:p>
          <w:p w:rsidR="00232046" w:rsidRDefault="00000000">
            <w:pPr>
              <w:spacing w:before="20" w:after="20"/>
              <w:jc w:val="center"/>
            </w:pPr>
            <w:r>
              <w:rPr>
                <w:rFonts w:ascii="Arial" w:eastAsia="Arial" w:hAnsi="Arial" w:cs="Arial"/>
                <w:sz w:val="18"/>
                <w:szCs w:val="18"/>
              </w:rPr>
              <w:t>(medical, nuclear, construction DTs)</w:t>
            </w:r>
          </w:p>
        </w:tc>
      </w:tr>
      <w:tr w:rsidR="00232046">
        <w:tc>
          <w:tcPr>
            <w:tcW w:w="12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78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vAlign w:val="center"/>
          </w:tcPr>
          <w:p w:rsidR="00232046" w:rsidRDefault="00000000">
            <w:pPr>
              <w:jc w:val="center"/>
            </w:pPr>
            <w:r>
              <w:rPr>
                <w:rFonts w:ascii="Arial" w:eastAsia="Arial" w:hAnsi="Arial" w:cs="Arial"/>
                <w:b/>
                <w:bCs/>
                <w:color w:val="555555"/>
                <w:sz w:val="28"/>
                <w:szCs w:val="28"/>
              </w:rPr>
              <w: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r>
      <w:tr w:rsidR="00232046">
        <w:tc>
          <w:tcPr>
            <w:tcW w:w="1260" w:type="dxa"/>
            <w:tcBorders>
              <w:top w:val="none" w:sz="0" w:space="0" w:color="FFFFFF"/>
              <w:left w:val="single" w:sz="6" w:space="0" w:color="1F3864"/>
              <w:bottom w:val="none" w:sz="0" w:space="0" w:color="FFFFFF"/>
              <w:right w:val="none" w:sz="0" w:space="0" w:color="FFFFFF"/>
            </w:tcBorders>
            <w:shd w:val="clear" w:color="auto" w:fill="FFFFFF"/>
            <w:tcMar>
              <w:top w:w="20" w:type="dxa"/>
              <w:left w:w="160" w:type="dxa"/>
              <w:bottom w:w="20" w:type="dxa"/>
              <w:right w:w="20" w:type="dxa"/>
            </w:tcMar>
            <w:vAlign w:val="center"/>
          </w:tcPr>
          <w:p w:rsidR="00232046" w:rsidRDefault="00000000">
            <w:r>
              <w:rPr>
                <w:rFonts w:ascii="Arial" w:eastAsia="Arial" w:hAnsi="Arial" w:cs="Arial"/>
                <w:b/>
                <w:bCs/>
                <w:color w:val="1F3864"/>
                <w:sz w:val="18"/>
                <w:szCs w:val="18"/>
              </w:rPr>
              <w:t>SCREENING</w:t>
            </w:r>
          </w:p>
        </w:tc>
        <w:tc>
          <w:tcPr>
            <w:tcW w:w="3780" w:type="dxa"/>
            <w:tcBorders>
              <w:top w:val="single" w:sz="4" w:space="0" w:color="BBBBBB"/>
              <w:left w:val="single" w:sz="4" w:space="0" w:color="BBBBBB"/>
              <w:bottom w:val="single" w:sz="4" w:space="0" w:color="BBBBBB"/>
              <w:right w:val="single" w:sz="4" w:space="0" w:color="BBBBBB"/>
            </w:tcBorders>
            <w:shd w:val="clear" w:color="auto" w:fill="BDD7EE"/>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Records screened</w:t>
            </w:r>
          </w:p>
          <w:p w:rsidR="00232046" w:rsidRDefault="00000000">
            <w:pPr>
              <w:spacing w:before="20" w:after="20"/>
              <w:jc w:val="center"/>
            </w:pPr>
            <w:r>
              <w:rPr>
                <w:rFonts w:ascii="Arial" w:eastAsia="Arial" w:hAnsi="Arial" w:cs="Arial"/>
                <w:b/>
                <w:bCs/>
                <w:sz w:val="20"/>
                <w:szCs w:val="20"/>
              </w:rPr>
              <w:t>(n = 97)</w:t>
            </w:r>
          </w:p>
          <w:p w:rsidR="00232046" w:rsidRDefault="00000000">
            <w:pPr>
              <w:spacing w:before="20" w:after="20"/>
              <w:jc w:val="center"/>
            </w:pPr>
            <w:r>
              <w:rPr>
                <w:rFonts w:ascii="Arial" w:eastAsia="Arial" w:hAnsi="Arial" w:cs="Arial"/>
                <w:sz w:val="18"/>
                <w:szCs w:val="18"/>
              </w:rPr>
              <w:t>Title and abstract review</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single" w:sz="4" w:space="0" w:color="BBBBBB"/>
              <w:left w:val="single" w:sz="4" w:space="0" w:color="BBBBBB"/>
              <w:bottom w:val="single" w:sz="4" w:space="0" w:color="BBBBBB"/>
              <w:right w:val="single" w:sz="4" w:space="0" w:color="BBBBBB"/>
            </w:tcBorders>
            <w:shd w:val="clear" w:color="auto" w:fill="FCE4D6"/>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Records excluded (n = 57)</w:t>
            </w:r>
          </w:p>
          <w:p w:rsidR="00232046" w:rsidRDefault="00000000">
            <w:pPr>
              <w:spacing w:before="20" w:after="20"/>
              <w:jc w:val="center"/>
            </w:pPr>
            <w:r>
              <w:rPr>
                <w:rFonts w:ascii="Arial" w:eastAsia="Arial" w:hAnsi="Arial" w:cs="Arial"/>
                <w:sz w:val="18"/>
                <w:szCs w:val="18"/>
              </w:rPr>
              <w:t>EC1: Generic DT / no intralogistics (n = 23)</w:t>
            </w:r>
          </w:p>
          <w:p w:rsidR="00232046" w:rsidRDefault="00000000">
            <w:pPr>
              <w:spacing w:before="20" w:after="20"/>
              <w:jc w:val="center"/>
            </w:pPr>
            <w:r>
              <w:rPr>
                <w:rFonts w:ascii="Arial" w:eastAsia="Arial" w:hAnsi="Arial" w:cs="Arial"/>
                <w:sz w:val="18"/>
                <w:szCs w:val="18"/>
              </w:rPr>
              <w:t>EC2: Macro supply chain only (n = 12)</w:t>
            </w:r>
          </w:p>
          <w:p w:rsidR="00232046" w:rsidRDefault="00000000">
            <w:pPr>
              <w:spacing w:before="20" w:after="20"/>
              <w:jc w:val="center"/>
            </w:pPr>
            <w:r>
              <w:rPr>
                <w:rFonts w:ascii="Arial" w:eastAsia="Arial" w:hAnsi="Arial" w:cs="Arial"/>
                <w:sz w:val="18"/>
                <w:szCs w:val="18"/>
              </w:rPr>
              <w:t>EC4: Superficial DT mention (n = 14)</w:t>
            </w:r>
          </w:p>
          <w:p w:rsidR="00232046" w:rsidRDefault="00000000">
            <w:pPr>
              <w:spacing w:before="20" w:after="20"/>
              <w:jc w:val="center"/>
            </w:pPr>
            <w:r>
              <w:rPr>
                <w:rFonts w:ascii="Arial" w:eastAsia="Arial" w:hAnsi="Arial" w:cs="Arial"/>
                <w:sz w:val="18"/>
                <w:szCs w:val="18"/>
              </w:rPr>
              <w:t>EC5: Insufficient relevance (n = 8)</w:t>
            </w:r>
          </w:p>
        </w:tc>
      </w:tr>
      <w:tr w:rsidR="00232046">
        <w:tc>
          <w:tcPr>
            <w:tcW w:w="12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78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vAlign w:val="center"/>
          </w:tcPr>
          <w:p w:rsidR="00232046" w:rsidRDefault="00000000">
            <w:pPr>
              <w:jc w:val="center"/>
            </w:pPr>
            <w:r>
              <w:rPr>
                <w:rFonts w:ascii="Arial" w:eastAsia="Arial" w:hAnsi="Arial" w:cs="Arial"/>
                <w:b/>
                <w:bCs/>
                <w:color w:val="555555"/>
                <w:sz w:val="28"/>
                <w:szCs w:val="28"/>
              </w:rPr>
              <w: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r>
      <w:tr w:rsidR="00232046">
        <w:tc>
          <w:tcPr>
            <w:tcW w:w="1260" w:type="dxa"/>
            <w:tcBorders>
              <w:top w:val="none" w:sz="0" w:space="0" w:color="FFFFFF"/>
              <w:left w:val="single" w:sz="6" w:space="0" w:color="1F3864"/>
              <w:bottom w:val="none" w:sz="0" w:space="0" w:color="FFFFFF"/>
              <w:right w:val="none" w:sz="0" w:space="0" w:color="FFFFFF"/>
            </w:tcBorders>
            <w:shd w:val="clear" w:color="auto" w:fill="FFFFFF"/>
            <w:tcMar>
              <w:top w:w="20" w:type="dxa"/>
              <w:left w:w="160" w:type="dxa"/>
              <w:bottom w:w="20" w:type="dxa"/>
              <w:right w:w="20" w:type="dxa"/>
            </w:tcMar>
            <w:vAlign w:val="center"/>
          </w:tcPr>
          <w:p w:rsidR="00232046" w:rsidRDefault="00000000">
            <w:r>
              <w:rPr>
                <w:rFonts w:ascii="Arial" w:eastAsia="Arial" w:hAnsi="Arial" w:cs="Arial"/>
                <w:b/>
                <w:bCs/>
                <w:color w:val="1F3864"/>
                <w:sz w:val="18"/>
                <w:szCs w:val="18"/>
              </w:rPr>
              <w:t>ELIGIBILITY</w:t>
            </w:r>
          </w:p>
        </w:tc>
        <w:tc>
          <w:tcPr>
            <w:tcW w:w="3780" w:type="dxa"/>
            <w:tcBorders>
              <w:top w:val="single" w:sz="4" w:space="0" w:color="BBBBBB"/>
              <w:left w:val="single" w:sz="4" w:space="0" w:color="BBBBBB"/>
              <w:bottom w:val="single" w:sz="4" w:space="0" w:color="BBBBBB"/>
              <w:right w:val="single" w:sz="4" w:space="0" w:color="BBBBBB"/>
            </w:tcBorders>
            <w:shd w:val="clear" w:color="auto" w:fill="BDD7EE"/>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Records assessed for eligibility</w:t>
            </w:r>
          </w:p>
          <w:p w:rsidR="00232046" w:rsidRDefault="00000000">
            <w:pPr>
              <w:spacing w:before="20" w:after="20"/>
              <w:jc w:val="center"/>
            </w:pPr>
            <w:r>
              <w:rPr>
                <w:rFonts w:ascii="Arial" w:eastAsia="Arial" w:hAnsi="Arial" w:cs="Arial"/>
                <w:b/>
                <w:bCs/>
                <w:sz w:val="20"/>
                <w:szCs w:val="20"/>
              </w:rPr>
              <w:t>(n = 40)</w:t>
            </w:r>
          </w:p>
          <w:p w:rsidR="00232046" w:rsidRDefault="00000000">
            <w:pPr>
              <w:spacing w:before="20" w:after="20"/>
              <w:jc w:val="center"/>
            </w:pPr>
            <w:r>
              <w:rPr>
                <w:rFonts w:ascii="Arial" w:eastAsia="Arial" w:hAnsi="Arial" w:cs="Arial"/>
                <w:sz w:val="18"/>
                <w:szCs w:val="18"/>
              </w:rPr>
              <w:t>Full abstract eligibility assessment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single" w:sz="4" w:space="0" w:color="BBBBBB"/>
              <w:left w:val="single" w:sz="4" w:space="0" w:color="BBBBBB"/>
              <w:bottom w:val="single" w:sz="4" w:space="0" w:color="BBBBBB"/>
              <w:right w:val="single" w:sz="4" w:space="0" w:color="BBBBBB"/>
            </w:tcBorders>
            <w:shd w:val="clear" w:color="auto" w:fill="FFF2CC"/>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Supporting reviews retained</w:t>
            </w:r>
          </w:p>
          <w:p w:rsidR="00232046" w:rsidRDefault="00000000">
            <w:pPr>
              <w:spacing w:before="20" w:after="20"/>
              <w:jc w:val="center"/>
            </w:pPr>
            <w:r>
              <w:rPr>
                <w:rFonts w:ascii="Arial" w:eastAsia="Arial" w:hAnsi="Arial" w:cs="Arial"/>
                <w:b/>
                <w:bCs/>
                <w:sz w:val="20"/>
                <w:szCs w:val="20"/>
              </w:rPr>
              <w:t>(n = 5)  →  R1–R5</w:t>
            </w:r>
          </w:p>
          <w:p w:rsidR="00232046" w:rsidRDefault="00000000">
            <w:pPr>
              <w:spacing w:before="20" w:after="20"/>
              <w:jc w:val="center"/>
            </w:pPr>
            <w:r>
              <w:rPr>
                <w:rFonts w:ascii="Arial" w:eastAsia="Arial" w:hAnsi="Arial" w:cs="Arial"/>
                <w:sz w:val="18"/>
                <w:szCs w:val="18"/>
              </w:rPr>
              <w:t>Used for contextual comparison only</w:t>
            </w:r>
          </w:p>
          <w:p w:rsidR="00232046" w:rsidRDefault="00000000">
            <w:pPr>
              <w:spacing w:before="20" w:after="20"/>
              <w:jc w:val="center"/>
            </w:pPr>
            <w:r>
              <w:rPr>
                <w:rFonts w:ascii="Arial" w:eastAsia="Arial" w:hAnsi="Arial" w:cs="Arial"/>
                <w:sz w:val="18"/>
                <w:szCs w:val="18"/>
              </w:rPr>
              <w:t>Not in primary synthesis</w:t>
            </w:r>
          </w:p>
        </w:tc>
      </w:tr>
      <w:tr w:rsidR="00232046">
        <w:tc>
          <w:tcPr>
            <w:tcW w:w="12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78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vAlign w:val="center"/>
          </w:tcPr>
          <w:p w:rsidR="00232046" w:rsidRDefault="00000000">
            <w:pPr>
              <w:jc w:val="center"/>
            </w:pPr>
            <w:r>
              <w:rPr>
                <w:rFonts w:ascii="Arial" w:eastAsia="Arial" w:hAnsi="Arial" w:cs="Arial"/>
                <w:b/>
                <w:bCs/>
                <w:color w:val="555555"/>
                <w:sz w:val="28"/>
                <w:szCs w:val="28"/>
              </w:rPr>
              <w: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r>
      <w:tr w:rsidR="00232046">
        <w:tc>
          <w:tcPr>
            <w:tcW w:w="1260" w:type="dxa"/>
            <w:tcBorders>
              <w:top w:val="none" w:sz="0" w:space="0" w:color="FFFFFF"/>
              <w:left w:val="single" w:sz="6" w:space="0" w:color="1F3864"/>
              <w:bottom w:val="none" w:sz="0" w:space="0" w:color="FFFFFF"/>
              <w:right w:val="none" w:sz="0" w:space="0" w:color="FFFFFF"/>
            </w:tcBorders>
            <w:shd w:val="clear" w:color="auto" w:fill="FFFFFF"/>
            <w:tcMar>
              <w:top w:w="20" w:type="dxa"/>
              <w:left w:w="160" w:type="dxa"/>
              <w:bottom w:w="20" w:type="dxa"/>
              <w:right w:w="20" w:type="dxa"/>
            </w:tcMar>
            <w:vAlign w:val="center"/>
          </w:tcPr>
          <w:p w:rsidR="00232046" w:rsidRDefault="00000000">
            <w:r>
              <w:rPr>
                <w:rFonts w:ascii="Arial" w:eastAsia="Arial" w:hAnsi="Arial" w:cs="Arial"/>
                <w:b/>
                <w:bCs/>
                <w:color w:val="1F3864"/>
                <w:sz w:val="18"/>
                <w:szCs w:val="18"/>
              </w:rPr>
              <w:t>INCLUDED</w:t>
            </w:r>
          </w:p>
        </w:tc>
        <w:tc>
          <w:tcPr>
            <w:tcW w:w="3780" w:type="dxa"/>
            <w:tcBorders>
              <w:top w:val="single" w:sz="4" w:space="0" w:color="BBBBBB"/>
              <w:left w:val="single" w:sz="4" w:space="0" w:color="BBBBBB"/>
              <w:bottom w:val="single" w:sz="4" w:space="0" w:color="BBBBBB"/>
              <w:right w:val="single" w:sz="4" w:space="0" w:color="BBBBBB"/>
            </w:tcBorders>
            <w:shd w:val="clear" w:color="auto" w:fill="E2EFDA"/>
            <w:tcMar>
              <w:top w:w="100" w:type="dxa"/>
              <w:left w:w="120" w:type="dxa"/>
              <w:bottom w:w="100" w:type="dxa"/>
              <w:right w:w="120" w:type="dxa"/>
            </w:tcMar>
            <w:vAlign w:val="center"/>
          </w:tcPr>
          <w:p w:rsidR="00232046" w:rsidRDefault="00000000">
            <w:pPr>
              <w:spacing w:before="20" w:after="20"/>
              <w:jc w:val="center"/>
            </w:pPr>
            <w:r>
              <w:rPr>
                <w:rFonts w:ascii="Arial" w:eastAsia="Arial" w:hAnsi="Arial" w:cs="Arial"/>
                <w:sz w:val="18"/>
                <w:szCs w:val="18"/>
              </w:rPr>
              <w:t>Studies included in qualitative synthesis</w:t>
            </w:r>
          </w:p>
          <w:p w:rsidR="00232046" w:rsidRDefault="00000000">
            <w:pPr>
              <w:spacing w:before="20" w:after="20"/>
              <w:jc w:val="center"/>
            </w:pPr>
            <w:r>
              <w:rPr>
                <w:rFonts w:ascii="Arial" w:eastAsia="Arial" w:hAnsi="Arial" w:cs="Arial"/>
                <w:b/>
                <w:bCs/>
                <w:sz w:val="20"/>
                <w:szCs w:val="20"/>
              </w:rPr>
              <w:t>(n = 15)  →  S1–S15</w:t>
            </w:r>
          </w:p>
          <w:p w:rsidR="00232046" w:rsidRDefault="00000000">
            <w:pPr>
              <w:spacing w:before="20" w:after="20"/>
              <w:jc w:val="center"/>
            </w:pPr>
            <w:r>
              <w:rPr>
                <w:rFonts w:ascii="Arial" w:eastAsia="Arial" w:hAnsi="Arial" w:cs="Arial"/>
                <w:sz w:val="18"/>
                <w:szCs w:val="18"/>
              </w:rPr>
              <w:t>Primary studies: peer-reviewed Scopus articles</w:t>
            </w:r>
          </w:p>
          <w:p w:rsidR="00232046" w:rsidRDefault="00000000">
            <w:pPr>
              <w:spacing w:before="20" w:after="20"/>
              <w:jc w:val="center"/>
            </w:pPr>
            <w:r>
              <w:rPr>
                <w:rFonts w:ascii="Arial" w:eastAsia="Arial" w:hAnsi="Arial" w:cs="Arial"/>
                <w:sz w:val="18"/>
                <w:szCs w:val="18"/>
              </w:rPr>
              <w:t>Publication range: 2021–2026</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c>
          <w:tcPr>
            <w:tcW w:w="3960"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tcPr>
          <w:p w:rsidR="00232046" w:rsidRDefault="00232046"/>
        </w:tc>
      </w:tr>
      <w:tr w:rsidR="00232046">
        <w:tc>
          <w:tcPr>
            <w:tcW w:w="9360" w:type="dxa"/>
            <w:gridSpan w:val="4"/>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rsidR="00232046" w:rsidRDefault="00000000" w:rsidP="00A342BF">
            <w:pPr>
              <w:jc w:val="center"/>
            </w:pPr>
            <w:r>
              <w:rPr>
                <w:i/>
                <w:iCs/>
                <w:sz w:val="18"/>
                <w:szCs w:val="18"/>
              </w:rPr>
              <w:t>Figure 1. PRISMA 2020 flow diagram. Adapted from Page et al. (2021). BMJ, 372, n71.</w:t>
            </w:r>
          </w:p>
        </w:tc>
      </w:tr>
    </w:tbl>
    <w:p w:rsidR="00232046" w:rsidRDefault="00232046">
      <w:pPr>
        <w:spacing w:before="120"/>
      </w:pPr>
    </w:p>
    <w:p w:rsidR="00232046" w:rsidRDefault="00000000">
      <w:pPr>
        <w:pStyle w:val="Heading2"/>
      </w:pPr>
      <w:r>
        <w:t>4.5 Data Extraction</w:t>
      </w:r>
    </w:p>
    <w:p w:rsidR="00232046" w:rsidRDefault="00000000">
      <w:pPr>
        <w:spacing w:after="160"/>
        <w:jc w:val="both"/>
      </w:pPr>
      <w:r>
        <w:t>A standardized extraction form was applied to each primary study covering: study identifier, authors and year, journal, application area, DT type, enabling technologies, performance objectives, evaluation method, key finding, study type, evidence strength, and QA score. The full extraction is presented in Appendix A.</w:t>
      </w:r>
    </w:p>
    <w:p w:rsidR="00232046" w:rsidRDefault="00000000">
      <w:pPr>
        <w:pStyle w:val="Heading2"/>
      </w:pPr>
      <w:r>
        <w:t>4.6 Quality Assessment</w:t>
      </w:r>
    </w:p>
    <w:p w:rsidR="00232046" w:rsidRDefault="00000000">
      <w:pPr>
        <w:spacing w:after="160"/>
        <w:jc w:val="both"/>
      </w:pPr>
      <w:r>
        <w:t>A seven-criterion quality appraisal rubric (QA1–QA7) was applied to each primary study. Criteria: (QA1) objectives clearly stated; (QA2) DT scope defined; (QA3) architecture described; (QA4) data connection addressed; (QA5) evaluation specified; (QA6) metrics reported; (QA7) limitations discussed. Scoring: 0 = not addressed, 1 = partial, 2 = clear; maximum = 14. Score bands: 11–14 = Strong; 7–10 = Moderate; 0–6 = Weak. Full scores in Appendix B.</w:t>
      </w:r>
    </w:p>
    <w:p w:rsidR="00232046" w:rsidRDefault="00000000">
      <w:pPr>
        <w:spacing w:before="200"/>
      </w:pPr>
      <w:r>
        <w:br w:type="page"/>
      </w:r>
    </w:p>
    <w:p w:rsidR="00232046" w:rsidRDefault="00000000">
      <w:pPr>
        <w:pStyle w:val="Heading1"/>
      </w:pPr>
      <w:r>
        <w:lastRenderedPageBreak/>
        <w:t>5. RESULTS</w:t>
      </w:r>
    </w:p>
    <w:p w:rsidR="00232046" w:rsidRDefault="00000000">
      <w:pPr>
        <w:pStyle w:val="Heading2"/>
      </w:pPr>
      <w:r>
        <w:t>5.1 Characteristics of Included Studies</w:t>
      </w:r>
    </w:p>
    <w:p w:rsidR="00232046" w:rsidRDefault="00000000">
      <w:pPr>
        <w:spacing w:after="160"/>
        <w:jc w:val="both"/>
      </w:pPr>
      <w:r>
        <w:t>The 15 primary studies span the period 2021–2026 and are drawn from Q1 and Q2 Scopus-indexed journals including the Journal of Manufacturing Systems, Computers &amp; Industrial Engineering, International Journal of Computer Integrated Manufacturing, International Journal of Production Research, Robotics and Computer-Integrated Manufacturing, Engineering Applications of Artificial Intelligence, and Applied Sciences. Tables 3 and 4 provide the overview.</w:t>
      </w:r>
    </w:p>
    <w:p w:rsidR="00232046" w:rsidRDefault="00000000">
      <w:pPr>
        <w:spacing w:before="120" w:after="60"/>
      </w:pPr>
      <w:r>
        <w:rPr>
          <w:rFonts w:ascii="Arial" w:eastAsia="Arial" w:hAnsi="Arial" w:cs="Arial"/>
          <w:b/>
          <w:bCs/>
          <w:color w:val="1F3864"/>
          <w:sz w:val="20"/>
          <w:szCs w:val="20"/>
        </w:rPr>
        <w:t>Table 3. Primary Studies (S1–S15)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2704"/>
        <w:gridCol w:w="1256"/>
        <w:gridCol w:w="1240"/>
        <w:gridCol w:w="1520"/>
        <w:gridCol w:w="2088"/>
      </w:tblGrid>
      <w:tr w:rsidR="00232046">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ID</w:t>
            </w:r>
          </w:p>
        </w:tc>
        <w:tc>
          <w:tcPr>
            <w:tcW w:w="28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Authors &amp; Year</w:t>
            </w:r>
          </w:p>
        </w:tc>
        <w:tc>
          <w:tcPr>
            <w:tcW w:w="1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Application Area</w:t>
            </w:r>
          </w:p>
        </w:tc>
        <w:tc>
          <w:tcPr>
            <w:tcW w:w="9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DT Type</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Evidence</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Journal</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AGV/AMR Routing</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AI-Enhanced DT</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Journal of Manufacturing Systems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S2</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Guerrazzi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Order Picking</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Flexible Services &amp; Mfg. Journal</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S3</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Wu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Smart Warehouse</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Prototype / Lab</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Int. J. Computer Integrated Mfg.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S4</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Leng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Order Picking</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Int. J. Computer Integrated Mfg.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S5</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Coelho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Internal Transport</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(foundation)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Computers &amp; Industrial Eng.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S6</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Jaoua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AGV/AMR Routing</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AI-Enhanced DT</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Int. J. Computer Integrated Mfg.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S7</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Bao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AGV/AMR Routing</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Proc. IMechE Part B</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S8</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Gao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AGV/AMR Routing</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Engineering Applications of AI</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S9</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(2026)</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Smart Warehouse</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AI-Enhanced DT</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Industrial / Case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Robotics &amp; Computer-Integrated Mfg.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S10</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Zhang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Production-Log. Sync</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Industrial / Case</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Int. J. of Production Research</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S11</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Su et al. (2025)</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Production-Log. Sync</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Industrial / Case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Journal of Manufacturing Systems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S12</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Glatt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Internal Transport</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Prototype / Lab</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Journal of Manufacturing Systems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S13</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Pawlewski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Internal Transport</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(Lean)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Conceptual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Applied Sciences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S14</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Wu et al. (2023)</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AGV/AMR Routing</w:t>
            </w:r>
          </w:p>
        </w:tc>
        <w:tc>
          <w:tcPr>
            <w:tcW w:w="9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Applied Sciences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lastRenderedPageBreak/>
              <w:t>S15</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Félix-Cigalat &amp; Domingo (2023)</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Internal Transport</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Shadow</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Applied Sciences</w:t>
            </w:r>
          </w:p>
        </w:tc>
      </w:tr>
    </w:tbl>
    <w:p w:rsidR="00232046" w:rsidRDefault="00232046">
      <w:pPr>
        <w:spacing w:before="160" w:after="80"/>
      </w:pPr>
    </w:p>
    <w:p w:rsidR="00232046" w:rsidRDefault="00000000">
      <w:pPr>
        <w:spacing w:before="120" w:after="60"/>
      </w:pPr>
      <w:r>
        <w:rPr>
          <w:rFonts w:ascii="Arial" w:eastAsia="Arial" w:hAnsi="Arial" w:cs="Arial"/>
          <w:b/>
          <w:bCs/>
          <w:color w:val="1F3864"/>
          <w:sz w:val="20"/>
          <w:szCs w:val="20"/>
        </w:rPr>
        <w:t>Table 4. Supporting Review Papers (R1–R5)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3060"/>
        <w:gridCol w:w="2760"/>
      </w:tblGrid>
      <w:tr w:rsidR="00232046">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ID</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Authors &amp; Year</w:t>
            </w:r>
          </w:p>
        </w:tc>
        <w:tc>
          <w:tcPr>
            <w:tcW w:w="30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Title (short)</w:t>
            </w:r>
          </w:p>
        </w:tc>
        <w:tc>
          <w:tcPr>
            <w:tcW w:w="27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Use in This Review</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R1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Stączek et al. (2021)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Approach for Improvement of AMR Operating Environment</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DT-AMR integration and operational environment modelling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R2</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Aretoulaki et al. (2024)</w:t>
            </w:r>
          </w:p>
        </w:tc>
        <w:tc>
          <w:tcPr>
            <w:tcW w:w="30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DES and DTs in Warehouse Logistics: Bibliometric Analysis</w:t>
            </w:r>
          </w:p>
        </w:tc>
        <w:tc>
          <w:tcPr>
            <w:tcW w:w="2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DES-to-DT transition; warehouse logistics synthesis</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R3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Ferrari et al. (2024)</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Models for AS/RS Digital Twins</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AS/RS DT development and validation methodology</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R4</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Lee et al. (2026)</w:t>
            </w:r>
          </w:p>
        </w:tc>
        <w:tc>
          <w:tcPr>
            <w:tcW w:w="30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DT-Driven DRL for Real-Time AGV Optimisation</w:t>
            </w:r>
          </w:p>
        </w:tc>
        <w:tc>
          <w:tcPr>
            <w:tcW w:w="2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DT-DRL integration; AGV real-time control context</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R5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Drissi Elbouzidi et al. (2025)</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for Enhanced Sustainable Warehouse Management</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sustainability; carbon accounting in warehouses</w:t>
            </w:r>
          </w:p>
        </w:tc>
      </w:tr>
    </w:tbl>
    <w:p w:rsidR="00232046" w:rsidRDefault="00000000">
      <w:pPr>
        <w:pStyle w:val="Heading2"/>
      </w:pPr>
      <w:r>
        <w:t>5.2 RQ1 — Main Application Areas</w:t>
      </w:r>
    </w:p>
    <w:p w:rsidR="00232046" w:rsidRDefault="00000000">
      <w:pPr>
        <w:spacing w:after="160"/>
        <w:jc w:val="both"/>
      </w:pPr>
      <w:r>
        <w:t>Table 5 summarizes the distribution of included studies across five application clusters.</w:t>
      </w:r>
    </w:p>
    <w:p w:rsidR="00232046" w:rsidRDefault="00000000">
      <w:pPr>
        <w:spacing w:before="120" w:after="60"/>
      </w:pPr>
      <w:r>
        <w:rPr>
          <w:rFonts w:ascii="Arial" w:eastAsia="Arial" w:hAnsi="Arial" w:cs="Arial"/>
          <w:b/>
          <w:bCs/>
          <w:color w:val="1F3864"/>
          <w:sz w:val="20"/>
          <w:szCs w:val="20"/>
        </w:rPr>
        <w:t>Table 5. Application Area Distribution (RQ1)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0"/>
        <w:gridCol w:w="2160"/>
        <w:gridCol w:w="3660"/>
      </w:tblGrid>
      <w:tr w:rsidR="00232046">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Application Area</w:t>
            </w:r>
          </w:p>
        </w:tc>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n</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Studies</w:t>
            </w:r>
          </w:p>
        </w:tc>
        <w:tc>
          <w:tcPr>
            <w:tcW w:w="36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Key Finding</w:t>
            </w:r>
          </w:p>
        </w:tc>
      </w:tr>
      <w:tr w:rsidR="00232046">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AGV/AMR routing &amp; dispatching</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5</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S1, S6, S7, S8, S14</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DRL-based DTs outperform rule-based dispatching; DTs enable real-time multi-AGV path planning</w:t>
            </w:r>
          </w:p>
        </w:tc>
      </w:tr>
      <w:tr w:rsidR="00232046">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Internal transport / material handling</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4</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S5, S12, S13, S15</w:t>
            </w:r>
          </w:p>
        </w:tc>
        <w:tc>
          <w:tcPr>
            <w:tcW w:w="36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Physics-based and DES-driven DTs optimize material flows, transport distance, and lean waste</w:t>
            </w:r>
          </w:p>
        </w:tc>
      </w:tr>
      <w:tr w:rsidR="00232046">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Order picking &amp; storage optimization</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S2, S4</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DTs balance SBS/RS picking with outbound loading; joint storage assignment reduces cost</w:t>
            </w:r>
          </w:p>
        </w:tc>
      </w:tr>
      <w:tr w:rsidR="00232046">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Production-intralogistics synchronization</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S10, S11</w:t>
            </w:r>
          </w:p>
        </w:tc>
        <w:tc>
          <w:tcPr>
            <w:tcW w:w="36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Multi-granularity DT control reduces batch WIP congestion and improves sync accuracy</w:t>
            </w:r>
          </w:p>
        </w:tc>
      </w:tr>
      <w:tr w:rsidR="00232046">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Smart warehouse opti-state control</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S3, S9</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Modular DT design enables reconfiguration; opti-state DT maintains performance under disturbances</w:t>
            </w:r>
          </w:p>
        </w:tc>
      </w:tr>
    </w:tbl>
    <w:p w:rsidR="00232046" w:rsidRDefault="00232046">
      <w:pPr>
        <w:spacing w:before="120"/>
      </w:pPr>
    </w:p>
    <w:p w:rsidR="00891F1B" w:rsidRDefault="00891F1B">
      <w:pPr>
        <w:spacing w:after="160"/>
        <w:jc w:val="both"/>
      </w:pPr>
      <w:r w:rsidRPr="00891F1B">
        <w:t>The most common application area is AGV/AMR routing and dispatching (n = 5). DTs are applied to factory-level scheduling, dynamic path planning, and multi-objective dispatching in five studies (S1, S6, S7, S8, S14). The second cluster (n = 4) consists of internal transport and material handling; Coelho et al. (2021, S5) established a simulation-based DT foundation; Glatt et al. (2021, S12) implemented a physics-based DT of material flows; Pawlewski et al. (2021, S13) identified the Digital Twin Lean Intralogistics paradigm; and Félix-Cigalat &amp; Domingo (2023, S15) used parametric simulation to optimize internal transport.</w:t>
      </w:r>
    </w:p>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lastRenderedPageBreak/>
        <w:t>Guerrazzi et al. (2024, S2) handle order picking by balancing outward loading with SBS/RS picking efficiency, while Leng et al. (2021, S4) jointly optimize packing and storage assignment (158 citations). The two targeted research that each represent the industrial maturity frontier are production-intralogistics synchronization (S10, S11) and smart warehouse opti-state control (S3, S9).</w:t>
      </w:r>
    </w:p>
    <w:p w:rsidR="00232046" w:rsidRDefault="00000000">
      <w:pPr>
        <w:pStyle w:val="Heading2"/>
      </w:pPr>
      <w:r>
        <w:t>5.3 RQ2 — Enabling Technologies and Architectures</w:t>
      </w:r>
    </w:p>
    <w:p w:rsidR="00232046" w:rsidRDefault="00000000">
      <w:pPr>
        <w:spacing w:after="160"/>
        <w:jc w:val="both"/>
      </w:pPr>
      <w:r>
        <w:t>Table 6 summarizes the principal technology groups.</w:t>
      </w:r>
    </w:p>
    <w:p w:rsidR="00232046" w:rsidRDefault="00000000">
      <w:pPr>
        <w:spacing w:before="120" w:after="60"/>
      </w:pPr>
      <w:r>
        <w:rPr>
          <w:rFonts w:ascii="Arial" w:eastAsia="Arial" w:hAnsi="Arial" w:cs="Arial"/>
          <w:b/>
          <w:bCs/>
          <w:color w:val="1F3864"/>
          <w:sz w:val="20"/>
          <w:szCs w:val="20"/>
        </w:rPr>
        <w:t>Table 6. Enabling Technologies (RQ2)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513"/>
        <w:gridCol w:w="2680"/>
        <w:gridCol w:w="3903"/>
      </w:tblGrid>
      <w:tr w:rsidR="00232046">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Technology Group</w:t>
            </w:r>
          </w:p>
        </w:tc>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n</w:t>
            </w:r>
          </w:p>
        </w:tc>
        <w:tc>
          <w:tcPr>
            <w:tcW w:w="2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Studies</w:t>
            </w:r>
          </w:p>
        </w:tc>
        <w:tc>
          <w:tcPr>
            <w:tcW w:w="43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Interpretation</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Discrete-event / physics simulation</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9</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S2,S3,S4,S5,S12,S13,S14,S15</w:t>
            </w:r>
          </w:p>
        </w:tc>
        <w:tc>
          <w:tcPr>
            <w:tcW w:w="4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Dominant DT modelling foundation for scenario testing and performance comparison</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IoT / RFID / PLC / sensors</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6</w:t>
            </w:r>
          </w:p>
        </w:tc>
        <w:tc>
          <w:tcPr>
            <w:tcW w:w="2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S5,S9,S10,S11,S12,S15</w:t>
            </w:r>
          </w:p>
        </w:tc>
        <w:tc>
          <w:tcPr>
            <w:tcW w:w="43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Real-time data binding elevating static models to synchronized digital twins</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Deep reinforcement learning / RL</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5</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S1,S6,S7,S8,S14</w:t>
            </w:r>
          </w:p>
        </w:tc>
        <w:tc>
          <w:tcPr>
            <w:tcW w:w="4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Prescriptive dispatching; DRL agents outperform rule-based systems</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Optimization algorithms (GA, heuristics)</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3</w:t>
            </w:r>
          </w:p>
        </w:tc>
        <w:tc>
          <w:tcPr>
            <w:tcW w:w="2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S4,S9,S15</w:t>
            </w:r>
          </w:p>
        </w:tc>
        <w:tc>
          <w:tcPr>
            <w:tcW w:w="43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Combinatorial optimization for storage, scheduling, adaptive control</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WMS / WCS system integration</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3</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S3,S4,S9</w:t>
            </w:r>
          </w:p>
        </w:tc>
        <w:tc>
          <w:tcPr>
            <w:tcW w:w="4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Operational DT decision feedback; present in minority of studies</w:t>
            </w:r>
          </w:p>
        </w:tc>
      </w:tr>
    </w:tbl>
    <w:p w:rsidR="00232046" w:rsidRDefault="00232046">
      <w:pPr>
        <w:spacing w:before="120"/>
      </w:pPr>
    </w:p>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t>Warehouse DTs are often evolutionary expansions of current DES models, as demonstrated by the fact that simulation is the predominant technological base (9 out of 15 research) (Aretoulaki et al., 2024, R2). Nevertheless, five studies (S1, S6, S7, S8, S14) incorporate deep reinforcement learning as the main control mechanism, clearly moving away from descriptive monitoring and toward prescriptive and adaptive control. Only three studies (S3, S4, S9) include WMS/WCS linkage, which is crucial for operational deployment, suggesting a persisting integration gap.</w:t>
      </w:r>
    </w:p>
    <w:p w:rsidR="00232046" w:rsidRDefault="00000000">
      <w:pPr>
        <w:pStyle w:val="Heading2"/>
      </w:pPr>
      <w:r>
        <w:t>5.4 RQ3 — Performance Objectives</w:t>
      </w:r>
    </w:p>
    <w:p w:rsidR="00232046" w:rsidRDefault="00000000">
      <w:pPr>
        <w:spacing w:after="160"/>
        <w:jc w:val="both"/>
      </w:pPr>
      <w:r>
        <w:t>Table 7 maps performance objectives by application cluster.</w:t>
      </w:r>
    </w:p>
    <w:p w:rsidR="00232046" w:rsidRDefault="00000000">
      <w:pPr>
        <w:spacing w:before="120" w:after="60"/>
      </w:pPr>
      <w:r>
        <w:rPr>
          <w:rFonts w:ascii="Arial" w:eastAsia="Arial" w:hAnsi="Arial" w:cs="Arial"/>
          <w:b/>
          <w:bCs/>
          <w:color w:val="1F3864"/>
          <w:sz w:val="20"/>
          <w:szCs w:val="20"/>
        </w:rPr>
        <w:t>Table 7. Performance Objectives by Application Cluster (RQ3)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4680"/>
      </w:tblGrid>
      <w:tr w:rsidR="00232046">
        <w:tc>
          <w:tcPr>
            <w:tcW w:w="25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Application Cluster</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Studies</w:t>
            </w:r>
          </w:p>
        </w:tc>
        <w:tc>
          <w:tcPr>
            <w:tcW w:w="46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Performance Objectives</w:t>
            </w:r>
          </w:p>
        </w:tc>
      </w:tr>
      <w:tr w:rsidR="00232046">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AGV/AMR routing &amp; dispatching</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S1,S6,S7,S8,S14</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Travel time, dispatching efficiency, path length, conflict-free routing, throughput, energy</w:t>
            </w:r>
          </w:p>
        </w:tc>
      </w:tr>
      <w:tr w:rsidR="00232046">
        <w:tc>
          <w:tcPr>
            <w:tcW w:w="25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Internal transport / material handling</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S5,S12,S13,S15</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Resource utilization, material flow accuracy, lean waste reduction, travel distance, cost</w:t>
            </w:r>
          </w:p>
        </w:tc>
      </w:tr>
      <w:tr w:rsidR="00232046">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Order picking &amp; storage optimization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S2,S4</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Picking efficiency, outbound loading balance, storage utilization, packing efficiency, throughput</w:t>
            </w:r>
          </w:p>
        </w:tc>
      </w:tr>
      <w:tr w:rsidR="00232046">
        <w:tc>
          <w:tcPr>
            <w:tcW w:w="25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Production-intralogistics sync</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S10,S11</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Synchronization accuracy, batch completion time, WIP congestion, disturbance response latency</w:t>
            </w:r>
          </w:p>
        </w:tc>
      </w:tr>
      <w:tr w:rsidR="00232046">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Smart warehouse opti-state control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S3,S9</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Reconfigurability, opti-state maintenance, cost, energy, resilience under disturbances</w:t>
            </w:r>
          </w:p>
        </w:tc>
      </w:tr>
    </w:tbl>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lastRenderedPageBreak/>
        <w:t>In every cluster, operational KPIs predominate. Strategic and sustainability measures are conspicuously lacking: no primary study reports lifespan cost, carbon emissions, or human workload. Only the supporting review R5 (Drissi Elbouzidi et al., 2025) employs a bottom-up carbon accounting DT framework for warehouses to address sustainability.</w:t>
      </w:r>
    </w:p>
    <w:p w:rsidR="00232046" w:rsidRDefault="00000000">
      <w:pPr>
        <w:pStyle w:val="Heading2"/>
      </w:pPr>
      <w:r>
        <w:t>5.5 RQ4 — Research Maturity and Gaps</w:t>
      </w:r>
    </w:p>
    <w:p w:rsidR="00891F1B" w:rsidRDefault="00891F1B" w:rsidP="00891F1B">
      <w:pPr>
        <w:spacing w:before="120" w:after="60"/>
        <w:jc w:val="both"/>
      </w:pPr>
      <w:r w:rsidRPr="00891F1B">
        <w:t>The maturity distribution is summarized in Table 8. DT-based scenario analysis continues to be the dominant mode of evidence, as evidenced by the fact that nine of the fifteen primary studies are simulation- or optimization-based. The methodological frontier in this group is represented by the five DRL investigations (S1, S6, S7, S8, and S14). Three studies (S9, S10, and S11) that concentrate on production-intralogistics synchronization reach industrial maturity with genuine data integration. Hardware-in-the-loop validation is provided via two prototype studies (S3, S12).</w:t>
      </w:r>
    </w:p>
    <w:p w:rsidR="00232046" w:rsidRDefault="00000000">
      <w:pPr>
        <w:spacing w:before="120" w:after="60"/>
      </w:pPr>
      <w:r>
        <w:rPr>
          <w:rFonts w:ascii="Arial" w:eastAsia="Arial" w:hAnsi="Arial" w:cs="Arial"/>
          <w:b/>
          <w:bCs/>
          <w:color w:val="1F3864"/>
          <w:sz w:val="20"/>
          <w:szCs w:val="20"/>
        </w:rPr>
        <w:t>Table 8. Research Maturity Distribution (RQ4)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513"/>
        <w:gridCol w:w="2742"/>
        <w:gridCol w:w="3852"/>
      </w:tblGrid>
      <w:tr w:rsidR="00232046">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Maturity Level</w:t>
            </w:r>
          </w:p>
        </w:tc>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n</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Studies</w:t>
            </w:r>
          </w:p>
        </w:tc>
        <w:tc>
          <w:tcPr>
            <w:tcW w:w="4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Interpretation</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Simulation / Optimization</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9</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S1,S2,S4,S5,S6,S7,S8,S14,S15</w:t>
            </w:r>
          </w:p>
        </w:tc>
        <w:tc>
          <w:tcPr>
            <w:tcW w:w="4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Dominant evidence mode; scenario analysis, often without real-time data loop</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Industrial / Case Study</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3</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S9,S10,S11</w:t>
            </w:r>
          </w:p>
        </w:tc>
        <w:tc>
          <w:tcPr>
            <w:tcW w:w="4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Real data integration; production-warehousing sync demonstrated at scale</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Prototype / Laboratory</w:t>
            </w:r>
          </w:p>
        </w:tc>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S3,S12</w:t>
            </w:r>
          </w:p>
        </w:tc>
        <w:tc>
          <w:tcPr>
            <w:tcW w:w="4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Physical or modular DT prototypes; controlled validation environment</w:t>
            </w:r>
          </w:p>
        </w:tc>
      </w:tr>
      <w:tr w:rsidR="00232046">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Conceptual / Roadmap</w:t>
            </w:r>
          </w:p>
        </w:tc>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S13</w:t>
            </w:r>
          </w:p>
        </w:tc>
        <w:tc>
          <w:tcPr>
            <w:tcW w:w="4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Framework contribution; earliest maturity stage</w:t>
            </w:r>
          </w:p>
        </w:tc>
      </w:tr>
    </w:tbl>
    <w:p w:rsidR="00232046" w:rsidRDefault="00232046">
      <w:pPr>
        <w:spacing w:before="120"/>
      </w:pPr>
    </w:p>
    <w:p w:rsidR="00232046" w:rsidRDefault="00891F1B" w:rsidP="00891F1B">
      <w:pPr>
        <w:spacing w:before="200"/>
        <w:jc w:val="both"/>
      </w:pPr>
      <w:r w:rsidRPr="00891F1B">
        <w:t>The primary maturity finding is that only three out of fifteen studies demonstrate full industrial closed-loop deployment, in which a DT continuously receives real-time data, optimizes decisions, and feeds control actions back to the physical warehouse. None of these studies operate in a pure warehouse-only context. As explained in Section 7, the key remaining gaps include real-time V&amp;V protocols, WMS/WCS interoperability, and human-in-the-loop issues.</w:t>
      </w:r>
      <w:r w:rsidR="00000000">
        <w:br w:type="page"/>
      </w:r>
    </w:p>
    <w:p w:rsidR="00232046" w:rsidRDefault="00000000">
      <w:pPr>
        <w:pStyle w:val="Heading1"/>
      </w:pPr>
      <w:r>
        <w:lastRenderedPageBreak/>
        <w:t>6. DISCUSSION</w:t>
      </w:r>
    </w:p>
    <w:p w:rsidR="00232046" w:rsidRDefault="00000000">
      <w:pPr>
        <w:pStyle w:val="Heading2"/>
      </w:pPr>
      <w:r>
        <w:t>6.1 From Simulation Support to Prescriptive Control: A Field in Transition</w:t>
      </w:r>
    </w:p>
    <w:p w:rsidR="00891F1B" w:rsidRP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t>A field undergoing active methodological shift is revealed by the synthesis. DTs were defined as simulation-based decision-support artifacts in foundational investigations (Coelho et al., 2021, S5; Glatt et al., 2021, S12; Pawlewski et al., 2021, S13). A significant change is evident in the 2024–2026 cohort: five experiments (S1, S6, S7, S8, S14) use DRL-trained agents in DT settings for real-time AMR and AGV control. With steady documented improvements above rule-based benchmarks, the DT-DRL architecture is converging on a reliable design pattern for logistics vehicle control.</w:t>
      </w:r>
    </w:p>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t>This pattern is extended to production-intralogistics synchronization in three industrial-scale experiments (S9, S10, and S11), which show multi-granularity and multi-dimensional DT control frameworks with actual data integration. These studies demonstrate the reliance on deep industrial data infrastructure while offering the most compelling evidence to date for practical DT value in intralogistics.</w:t>
      </w:r>
    </w:p>
    <w:p w:rsidR="00232046" w:rsidRDefault="00000000" w:rsidP="00891F1B">
      <w:pPr>
        <w:pStyle w:val="Heading2"/>
      </w:pPr>
      <w:r>
        <w:t>6.2 The Technology Maturity Gap: Simulation vs. Closed-Loop Deployment</w:t>
      </w:r>
    </w:p>
    <w:p w:rsidR="00891F1B" w:rsidRDefault="00891F1B">
      <w:pPr>
        <w:spacing w:after="160"/>
        <w:jc w:val="both"/>
      </w:pPr>
      <w:r w:rsidRPr="00891F1B">
        <w:t>The synthesis reveals a field that is actively experiencing methodological change. In fundamental studies, DTs were described as simulation-based decision-support artifacts (Coelho et al., 2021, S5; Glatt et al., 2021, S12; Pawlewski et al., 2021, S13). The 2024–2026 cohort shows a notable shift: five trials (S1, S6, S7, S8, S14) employ DRL-trained agents in DT contexts for real-time AMR and AGV control. The DT-DRL architecture is approaching a dependable design pattern for logistics truck control with consistent verified gains over rule-based benchmarks.</w:t>
      </w:r>
    </w:p>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t>In order to close this gap, Ferrari et al. (2024, R3) offer methodological assistance for creating and evaluating DES models for AS/RS DTs using a structured methodology that explicitly refers to WMS and WCS design. Their V&amp;V approach, which is mostly lacking in primary study designs, is a significant step toward systematic industrial deployment.</w:t>
      </w:r>
    </w:p>
    <w:p w:rsidR="00232046" w:rsidRDefault="00000000">
      <w:pPr>
        <w:pStyle w:val="Heading2"/>
      </w:pPr>
      <w:r>
        <w:t>6.3 Systems Engineering Gaps in the Current Literature</w:t>
      </w:r>
    </w:p>
    <w:p w:rsidR="00891F1B" w:rsidRDefault="00891F1B" w:rsidP="00891F1B">
      <w:pPr>
        <w:pStyle w:val="Heading2"/>
        <w:jc w:val="both"/>
        <w:rPr>
          <w:rFonts w:ascii="Times New Roman" w:eastAsia="Times New Roman" w:hAnsi="Times New Roman" w:cs="Times New Roman"/>
          <w:b w:val="0"/>
          <w:bCs w:val="0"/>
          <w:color w:val="auto"/>
        </w:rPr>
      </w:pPr>
      <w:r w:rsidRPr="00891F1B">
        <w:rPr>
          <w:rFonts w:ascii="Times New Roman" w:eastAsia="Times New Roman" w:hAnsi="Times New Roman" w:cs="Times New Roman"/>
          <w:b w:val="0"/>
          <w:bCs w:val="0"/>
          <w:color w:val="auto"/>
        </w:rPr>
        <w:t>The 15 primary studies show structural inadequacies when seen through the lens of systems engineering. Formal V&amp;V protocols and confidence bounds are not defined in any primary study, and system boundaries are frequently implicit. There are just three studies that describe WMS/WCS integration at a high level. There is a glaring lack of human-in-the-loop considerations: no primary study assesses operator trust, usability, cognitive workload, or training needs. Given the growing practical use of DT-based decision assistance, where human judgment is still crucial, this disparity is substantial.</w:t>
      </w:r>
    </w:p>
    <w:p w:rsidR="00232046" w:rsidRDefault="00000000">
      <w:pPr>
        <w:pStyle w:val="Heading2"/>
      </w:pPr>
      <w:r>
        <w:t>6.4 Proposed Systems Engineering-Oriented DT Architecture</w:t>
      </w:r>
    </w:p>
    <w:p w:rsidR="00232046" w:rsidRDefault="00000000">
      <w:pPr>
        <w:spacing w:after="160"/>
        <w:jc w:val="both"/>
      </w:pPr>
      <w:r>
        <w:t>Based on the synthesis, a mature warehouse DT should be conceived as a layered socio-technical architecture. The following layers are synthesized from the evidence base:</w:t>
      </w:r>
    </w:p>
    <w:p w:rsidR="00232046" w:rsidRDefault="00000000">
      <w:pPr>
        <w:pStyle w:val="ListParagraph"/>
        <w:numPr>
          <w:ilvl w:val="0"/>
          <w:numId w:val="2"/>
        </w:numPr>
        <w:spacing w:before="40" w:after="40"/>
      </w:pPr>
      <w:r>
        <w:rPr>
          <w:sz w:val="22"/>
          <w:szCs w:val="22"/>
        </w:rPr>
        <w:t>Physical layer: warehouse layout, racks, AS/RS, conveyors, AGVs/AMRs, workers, docks, and product flows.</w:t>
      </w:r>
    </w:p>
    <w:p w:rsidR="00232046" w:rsidRDefault="00000000">
      <w:pPr>
        <w:pStyle w:val="ListParagraph"/>
        <w:numPr>
          <w:ilvl w:val="0"/>
          <w:numId w:val="2"/>
        </w:numPr>
        <w:spacing w:before="40" w:after="40"/>
      </w:pPr>
      <w:r>
        <w:rPr>
          <w:sz w:val="22"/>
          <w:szCs w:val="22"/>
        </w:rPr>
        <w:t>Data acquisition layer: RFID, barcode scanners, IoT sensors, PLCs, WMS logs, robot telemetry, and operator inputs.</w:t>
      </w:r>
    </w:p>
    <w:p w:rsidR="00232046" w:rsidRDefault="00000000">
      <w:pPr>
        <w:pStyle w:val="ListParagraph"/>
        <w:numPr>
          <w:ilvl w:val="0"/>
          <w:numId w:val="2"/>
        </w:numPr>
        <w:spacing w:before="40" w:after="40"/>
      </w:pPr>
      <w:r>
        <w:rPr>
          <w:sz w:val="22"/>
          <w:szCs w:val="22"/>
        </w:rPr>
        <w:t>Data integration layer: event streaming, APIs, databases, semantic mapping, and data cleaning pipelines.</w:t>
      </w:r>
    </w:p>
    <w:p w:rsidR="00232046" w:rsidRDefault="00000000">
      <w:pPr>
        <w:pStyle w:val="ListParagraph"/>
        <w:numPr>
          <w:ilvl w:val="0"/>
          <w:numId w:val="2"/>
        </w:numPr>
        <w:spacing w:before="40" w:after="40"/>
      </w:pPr>
      <w:r>
        <w:rPr>
          <w:sz w:val="22"/>
          <w:szCs w:val="22"/>
        </w:rPr>
        <w:lastRenderedPageBreak/>
        <w:t>Modelling layer: DES, physics simulation, process models, resource models, and spatial-temporal knowledge graphs.</w:t>
      </w:r>
    </w:p>
    <w:p w:rsidR="00232046" w:rsidRDefault="00000000">
      <w:pPr>
        <w:pStyle w:val="ListParagraph"/>
        <w:numPr>
          <w:ilvl w:val="0"/>
          <w:numId w:val="2"/>
        </w:numPr>
        <w:spacing w:before="40" w:after="40"/>
      </w:pPr>
      <w:r>
        <w:rPr>
          <w:sz w:val="22"/>
          <w:szCs w:val="22"/>
        </w:rPr>
        <w:t>Analytics and control layer: DRL/RL dispatching, genetic algorithm optimization, bottleneck detection, adaptive rescheduling.</w:t>
      </w:r>
    </w:p>
    <w:p w:rsidR="00232046" w:rsidRDefault="00000000">
      <w:pPr>
        <w:pStyle w:val="ListParagraph"/>
        <w:numPr>
          <w:ilvl w:val="0"/>
          <w:numId w:val="2"/>
        </w:numPr>
        <w:spacing w:before="40" w:after="40"/>
      </w:pPr>
      <w:r>
        <w:rPr>
          <w:sz w:val="22"/>
          <w:szCs w:val="22"/>
        </w:rPr>
        <w:t>WMS/WCS integration layer: bidirectional data exchange with warehouse execution and control systems.</w:t>
      </w:r>
    </w:p>
    <w:p w:rsidR="00232046" w:rsidRDefault="00000000">
      <w:pPr>
        <w:pStyle w:val="ListParagraph"/>
        <w:numPr>
          <w:ilvl w:val="0"/>
          <w:numId w:val="2"/>
        </w:numPr>
        <w:spacing w:before="40" w:after="40"/>
      </w:pPr>
      <w:r>
        <w:rPr>
          <w:sz w:val="22"/>
          <w:szCs w:val="22"/>
        </w:rPr>
        <w:t>Visualization and decision support layer: dashboards, KPI monitoring, scenario comparison, and managerial alerts.</w:t>
      </w:r>
    </w:p>
    <w:p w:rsidR="00232046" w:rsidRDefault="00000000">
      <w:pPr>
        <w:pStyle w:val="ListParagraph"/>
        <w:numPr>
          <w:ilvl w:val="0"/>
          <w:numId w:val="2"/>
        </w:numPr>
        <w:spacing w:before="40" w:after="40"/>
      </w:pPr>
      <w:r>
        <w:rPr>
          <w:sz w:val="22"/>
          <w:szCs w:val="22"/>
        </w:rPr>
        <w:t>Governance and lifecycle layer: V&amp;V protocols, cybersecurity, access control, traceability, and lifecycle integration.</w:t>
      </w:r>
    </w:p>
    <w:p w:rsidR="00232046" w:rsidRDefault="00232046">
      <w:pPr>
        <w:spacing w:before="40"/>
      </w:pPr>
    </w:p>
    <w:p w:rsidR="00232046" w:rsidRDefault="00000000">
      <w:pPr>
        <w:spacing w:after="160"/>
        <w:jc w:val="both"/>
      </w:pPr>
      <w:r>
        <w:t>Industrial studies S9, S10, and S11 address the physical, data acquisition, modelling, and analytics layers. DRL studies S1, S6, S7, S8 focus on the analytics and control layer. WMS/WCS integration and governance layers remain the least addressed across the corpus, confirming the systems engineering gaps identified above.</w:t>
      </w:r>
    </w:p>
    <w:p w:rsidR="00232046" w:rsidRDefault="00000000">
      <w:pPr>
        <w:spacing w:before="200"/>
      </w:pPr>
      <w:r>
        <w:br w:type="page"/>
      </w:r>
    </w:p>
    <w:p w:rsidR="00232046" w:rsidRDefault="00000000">
      <w:pPr>
        <w:pStyle w:val="Heading1"/>
      </w:pPr>
      <w:r>
        <w:lastRenderedPageBreak/>
        <w:t>7. RESEARCH GAPS AND FUTURE DIRECTIONS</w:t>
      </w:r>
    </w:p>
    <w:p w:rsidR="00232046" w:rsidRDefault="00000000">
      <w:pPr>
        <w:spacing w:after="160"/>
        <w:jc w:val="both"/>
      </w:pPr>
      <w:r>
        <w:t>Table 9 presents the principal research gaps identified through this review, aligned with the systems engineering architecture proposed in Section 6.4.</w:t>
      </w:r>
    </w:p>
    <w:p w:rsidR="00232046" w:rsidRDefault="00000000">
      <w:pPr>
        <w:spacing w:before="120" w:after="60"/>
      </w:pPr>
      <w:r>
        <w:rPr>
          <w:rFonts w:ascii="Arial" w:eastAsia="Arial" w:hAnsi="Arial" w:cs="Arial"/>
          <w:b/>
          <w:bCs/>
          <w:color w:val="1F3864"/>
          <w:sz w:val="20"/>
          <w:szCs w:val="20"/>
        </w:rPr>
        <w:t>Table 9. Research Gaps and Future Research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232046">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Gap</w:t>
            </w:r>
          </w:p>
        </w:tc>
        <w:tc>
          <w:tcPr>
            <w:tcW w:w="28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Current Limitation</w:t>
            </w:r>
          </w:p>
        </w:tc>
        <w:tc>
          <w:tcPr>
            <w:tcW w:w="46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Future Research Direction</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Real-time synchronization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9/15 studies simulation-based; only 3 show industrial real-time integration</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Event-driven pipelines connecting WMS/WCS to physics-accurate DT models; latency benchmarking</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V&amp;V protocols</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No primary study defines formal validation against real system behavior</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Structured V&amp;V: model accuracy thresholds, confidence bounds, scenario validity</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WMS/WCS interoperability</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Full coupling in only 3 studies; no reference architecture specified</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Open DT reference architecture with standardized WMS/WCS/AGV interfaces</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Industrial closed-loop deployment</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Most evidence simulation- or prototype-based; no longitudinal studies</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Longitudinal industrial case studies measuring operational and economic impact</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Human-in-the-loop</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No primary study evaluates operator trust, usability, or decision authority</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Human-centered DT: trust calibration, cognitive load, decision authority frameworks</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Cybersecurity &amp; governance</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Increased IoT integration raises attack surface; not addressed</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Security-by-design DT architectures: access control, auditability, privacy-by-design</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Sustainability metrics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Only R5 addresses carbon accounting; no primary study reports emissions</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Standardized energy, emission, and resilience KPIs for warehouse DT evaluation</w:t>
            </w:r>
          </w:p>
        </w:tc>
      </w:tr>
      <w:tr w:rsidR="00232046">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Lifecycle integration</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DTs designed for operation only; design and maintenance phases excluded</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SE lifecycle DTs: requirements traceability, maintenance planning, and continuous V&amp;V</w:t>
            </w:r>
          </w:p>
        </w:tc>
      </w:tr>
    </w:tbl>
    <w:p w:rsidR="00232046" w:rsidRDefault="00232046">
      <w:pPr>
        <w:spacing w:before="160"/>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232046" w:rsidRDefault="00000000">
      <w:pPr>
        <w:pStyle w:val="Heading1"/>
      </w:pPr>
      <w:r>
        <w:lastRenderedPageBreak/>
        <w:t>8. LIMITATIONS AND THREATS TO VALIDITY</w:t>
      </w:r>
    </w:p>
    <w:p w:rsidR="007A1902" w:rsidRDefault="00891F1B" w:rsidP="00E55443">
      <w:pPr>
        <w:spacing w:after="160"/>
        <w:jc w:val="both"/>
      </w:pPr>
      <w:r w:rsidRPr="00891F1B">
        <w:t>There are four main limitations to this review. Initially, systematic screening at the abstract level was used instead of full-text extraction. Rather than being a final synthesis for journal submission, the study matrix and quality scores (Appendices A and B) should be viewed as a solid coursework-level systematic review draft. Second, only Scopus is included in the search. Even though Scopus covers a wide range of engineering and computer scientific literature, records that are only indexed in Web of scientific, IEEE Xplore, or the ACM Digital Library might have gone unnoticed.</w:t>
      </w:r>
      <w:r>
        <w:rPr>
          <w:lang w:val="tr-TR"/>
        </w:rPr>
        <w:t xml:space="preserve"> </w:t>
      </w:r>
      <w:r w:rsidR="00E55443" w:rsidRPr="00E55443">
        <w:t>Third, direct comparison is hampered by the heterogeneity of the included studies in terms of domain, evaluation method, scale, and outcome. Although qualitative narrative synthesis is suitable, it lacks a meta-analysis's statistical generalizability. Fourth, because they directly simulate intralogistics material flows and contribute to the systems engineering synthesis, the production-intralogistics synchronization studies (S10, S11) were included because they target a wider system boundary than pure warehouse control.</w:t>
      </w: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7A1902" w:rsidRDefault="007A1902">
      <w:pPr>
        <w:pStyle w:val="Heading1"/>
      </w:pPr>
    </w:p>
    <w:p w:rsidR="00E55443" w:rsidRDefault="00E55443">
      <w:pPr>
        <w:pStyle w:val="Heading1"/>
      </w:pPr>
    </w:p>
    <w:p w:rsidR="00232046" w:rsidRDefault="00000000">
      <w:pPr>
        <w:pStyle w:val="Heading1"/>
      </w:pPr>
      <w:r>
        <w:lastRenderedPageBreak/>
        <w:t>9. CONCLUSION</w:t>
      </w:r>
    </w:p>
    <w:p w:rsidR="00E55443" w:rsidRDefault="00E55443" w:rsidP="00E55443">
      <w:pPr>
        <w:spacing w:after="160"/>
        <w:jc w:val="both"/>
      </w:pPr>
      <w:r>
        <w:t>Based on a repeatable single-database search of 117 records, this systematic literature review synthesized 15 Scopus-indexed main papers on DT-enabled intralogistics and warehouse control systems. The synthesis was organized around four research questions.</w:t>
      </w:r>
    </w:p>
    <w:p w:rsidR="00E55443" w:rsidRDefault="00E55443" w:rsidP="00E55443">
      <w:pPr>
        <w:spacing w:after="160"/>
        <w:jc w:val="both"/>
      </w:pPr>
      <w:r>
        <w:t>The most active application area (5 studies) is AGV/AMR routing and dispatching, where DRL-based DTs consistently outperform rule-based dispatching. Discrete-event modeling and simulation continue to be the most common modes of evidence (9 studies). A methodological change from descriptive to prescriptive DT control is indicated by five DRL-based investigations. The current maturity frontier is represented by three industrial-scale studies that show production-warehousing synchronization with actual data integration.</w:t>
      </w:r>
    </w:p>
    <w:p w:rsidR="00232046" w:rsidRDefault="00E55443" w:rsidP="00E55443">
      <w:pPr>
        <w:spacing w:before="200"/>
        <w:jc w:val="both"/>
      </w:pPr>
      <w:r w:rsidRPr="00E55443">
        <w:t>The structural incompleteness of the majority of suggested architectures is the most important discovery from the standpoint of systems engineering. Human-in-the-loop design, cybersecurity governance, lifecycle integration, V&amp;V protocols, and WMS/WCS compatibility are all often neglected. In addition to being a high-performance simulation or optimization engine, a mature warehouse DT needs to be validated, interoperable, human-centered, secure, and integrated across the system lifecycle. Longitudinal industrial case studies, formal V&amp;V frameworks, open reference designs, and human-centered evaluation techniques should be given top priority in future research.</w:t>
      </w:r>
      <w:r w:rsidR="00000000">
        <w:br w:type="page"/>
      </w:r>
    </w:p>
    <w:p w:rsidR="00232046" w:rsidRDefault="00000000">
      <w:pPr>
        <w:pStyle w:val="Heading1"/>
      </w:pPr>
      <w:r>
        <w:lastRenderedPageBreak/>
        <w:t>REFERENCES</w:t>
      </w:r>
    </w:p>
    <w:p w:rsidR="00232046" w:rsidRDefault="00000000">
      <w:pPr>
        <w:spacing w:before="60" w:after="60"/>
        <w:ind w:left="720" w:hanging="720"/>
      </w:pPr>
      <w:r>
        <w:rPr>
          <w:sz w:val="20"/>
          <w:szCs w:val="20"/>
        </w:rPr>
        <w:t>Aretoulaki, E., Ponis, S. T., Plakas, G., &amp; Tzanetou, D. (2024). Discrete event simulation and Digital Twins in warehouse logistics: A bibliometric and content analysis-based systematic literature review. International Journal of Computer Integrated Manufacturing. https://www.scopus.com/record/display.uri?eid=2-s2.0-85186630742&amp;origin=resultslist</w:t>
      </w:r>
    </w:p>
    <w:p w:rsidR="00232046" w:rsidRDefault="00000000">
      <w:pPr>
        <w:spacing w:before="60" w:after="60"/>
        <w:ind w:left="720" w:hanging="720"/>
      </w:pPr>
      <w:r>
        <w:rPr>
          <w:sz w:val="20"/>
          <w:szCs w:val="20"/>
        </w:rPr>
        <w:t>Bao, Q., Zheng, P., &amp; Dai, S. (2024). A digital twin-driven dynamic path planning approach for multiple automatic guided vehicles. Proceedings of the Institution of Mechanical Engineers, Part B. https://www.scopus.com/record/display.uri?eid=2-s2.0-85163038946&amp;origin=resultslist</w:t>
      </w:r>
    </w:p>
    <w:p w:rsidR="00232046" w:rsidRDefault="00000000">
      <w:pPr>
        <w:spacing w:before="60" w:after="60"/>
        <w:ind w:left="720" w:hanging="720"/>
      </w:pPr>
      <w:r>
        <w:rPr>
          <w:sz w:val="20"/>
          <w:szCs w:val="20"/>
        </w:rPr>
        <w:t>Coelho, F., Relvas, S., &amp; Barbosa-Póvoa, A. P. (2021). Simulation-based decision support tool for in-house logistics: The basis for a digital twin. Computers &amp; Industrial Engineering, 153, 107094. https://www.scopus.com/record/display.uri?eid=2-s2.0-85099227555&amp;origin=resultslist</w:t>
      </w:r>
    </w:p>
    <w:p w:rsidR="00232046" w:rsidRDefault="00000000">
      <w:pPr>
        <w:spacing w:before="60" w:after="60"/>
        <w:ind w:left="720" w:hanging="720"/>
      </w:pPr>
      <w:r>
        <w:rPr>
          <w:sz w:val="20"/>
          <w:szCs w:val="20"/>
        </w:rPr>
        <w:t>Drissi Elbouzidi, A., Frédéric, R., Pellerin, R., Lamouri, S., &amp; Ait El Cadi, A. (2025). Leveraging digital twins for enhanced sustainable warehouse management. Cleaner Logistics and Supply Chain, 14, 100287. https://www.scopus.com/record/display.uri?eid=2-s2.0-105022817713&amp;origin=resultslist</w:t>
      </w:r>
    </w:p>
    <w:p w:rsidR="00232046" w:rsidRDefault="00000000">
      <w:pPr>
        <w:spacing w:before="60" w:after="60"/>
        <w:ind w:left="720" w:hanging="720"/>
      </w:pPr>
      <w:r>
        <w:rPr>
          <w:sz w:val="20"/>
          <w:szCs w:val="20"/>
        </w:rPr>
        <w:t>Félix-Cigalat, J. S., &amp; Domingo, R. (2023). Towards a Digital Twin Warehouse through the Optimization of Internal Transport. Applied Sciences, 13(8), 4652. https://www.scopus.com/record/display.uri?eid=2-s2.0-85156105038&amp;origin=resultslist</w:t>
      </w:r>
    </w:p>
    <w:p w:rsidR="00232046" w:rsidRDefault="00000000">
      <w:pPr>
        <w:spacing w:before="60" w:after="60"/>
        <w:ind w:left="720" w:hanging="720"/>
      </w:pPr>
      <w:r>
        <w:rPr>
          <w:sz w:val="20"/>
          <w:szCs w:val="20"/>
        </w:rPr>
        <w:t>Ferrari, A., Carlin, A., Rafele, C., &amp; Zenezini, G. (2024). A method for developing and validating simulation models for automated storage and retrieval system digital twins. International Journal of Advanced Manufacturing Technology, 131, 3661–3678. https://www.scopus.com/record/display.uri?eid=2-s2.0-85177689267&amp;origin=resultslist</w:t>
      </w:r>
    </w:p>
    <w:p w:rsidR="00232046" w:rsidRDefault="00000000">
      <w:pPr>
        <w:spacing w:before="60" w:after="60"/>
        <w:ind w:left="720" w:hanging="720"/>
      </w:pPr>
      <w:r>
        <w:rPr>
          <w:sz w:val="20"/>
          <w:szCs w:val="20"/>
        </w:rPr>
        <w:t>Gao, Y., Chang, D., Chen, C.-H., &amp; Sha, M. (2024). A digital twin-based decision support approach for AGV scheduling. Engineering Applications of Artificial Intelligence, 128, 107687. https://www.scopus.com/record/display.uri?eid=2-s2.0-85181089106&amp;origin=resultslist</w:t>
      </w:r>
    </w:p>
    <w:p w:rsidR="00232046" w:rsidRDefault="00000000">
      <w:pPr>
        <w:spacing w:before="60" w:after="60"/>
        <w:ind w:left="720" w:hanging="720"/>
      </w:pPr>
      <w:r>
        <w:rPr>
          <w:sz w:val="20"/>
          <w:szCs w:val="20"/>
        </w:rPr>
        <w:t>Glatt, M., Sinnwell, C., Yi, L., Donohoe, S., Ravani, B., &amp; Aurich, J. C. (2021). Modeling and implementation of a digital twin of material flows based on physics simulation. Journal of Manufacturing Systems, 58, 231–245. https://www.scopus.com/record/display.uri?eid=2-s2.0-85085323138&amp;origin=resultslist</w:t>
      </w:r>
    </w:p>
    <w:p w:rsidR="00232046" w:rsidRDefault="00000000">
      <w:pPr>
        <w:spacing w:before="60" w:after="60"/>
        <w:ind w:left="720" w:hanging="720"/>
      </w:pPr>
      <w:r>
        <w:rPr>
          <w:sz w:val="20"/>
          <w:szCs w:val="20"/>
        </w:rPr>
        <w:t>Guerrazzi, E., Mininno, V., &amp; Aloini, D. (2024). Balancing picking and outbound loading efficiency in an SBS/RS through a digital twin. Flexible Services and Manufacturing Journal. https://www.scopus.com/record/display.uri?eid=2-s2.0-85195980418&amp;origin=resultslist</w:t>
      </w:r>
    </w:p>
    <w:p w:rsidR="00232046" w:rsidRDefault="00000000">
      <w:pPr>
        <w:spacing w:before="60" w:after="60"/>
        <w:ind w:left="720" w:hanging="720"/>
      </w:pPr>
      <w:r>
        <w:rPr>
          <w:sz w:val="20"/>
          <w:szCs w:val="20"/>
        </w:rPr>
        <w:t>Jaoua, A., Masmoudi, S., &amp; Negri, E. (2024). Digital twin-based reinforcement learning framework: Application to autonomous mobile robot dispatching. International Journal of Computer Integrated Manufacturing. https://www.scopus.com/record/display.uri?eid=2-s2.0-85185672205&amp;origin=resultslist</w:t>
      </w:r>
    </w:p>
    <w:p w:rsidR="00232046" w:rsidRDefault="00000000">
      <w:pPr>
        <w:spacing w:before="60" w:after="60"/>
        <w:ind w:left="720" w:hanging="720"/>
      </w:pPr>
      <w:r>
        <w:rPr>
          <w:sz w:val="20"/>
          <w:szCs w:val="20"/>
        </w:rPr>
        <w:t>Lee, D., Kang, Y.-S., &amp; Noh, S. D. (2026). Digital twin-driven deep reinforcement learning for real-time optimisation in dynamic AGV systems. International Journal of Production Research. https://www.scopus.com/record/display.uri?eid=2-s2.0-105014088793&amp;origin=resultslist</w:t>
      </w:r>
    </w:p>
    <w:p w:rsidR="00232046" w:rsidRDefault="00000000">
      <w:pPr>
        <w:spacing w:before="60" w:after="60"/>
        <w:ind w:left="720" w:hanging="720"/>
      </w:pPr>
      <w:r>
        <w:rPr>
          <w:sz w:val="20"/>
          <w:szCs w:val="20"/>
        </w:rPr>
        <w:t>Leng, J., Yan, D., Liu, Q., Zhang, H., Zhao, G., Wei, L., Zhang, D., Yu, A., &amp; Chen, X. (2021). Digital twin-driven joint optimisation of packing and storage assignment in large-scale automated high-rise warehouse product-service system. International Journal of Computer Integrated Manufacturing, 34(7–8), 783–800. https://www.scopus.com/record/display.uri?eid=2-s2.0-85073998436&amp;origin=resultslist</w:t>
      </w:r>
    </w:p>
    <w:p w:rsidR="00232046" w:rsidRDefault="00000000">
      <w:pPr>
        <w:spacing w:before="60" w:after="60"/>
        <w:ind w:left="720" w:hanging="720"/>
      </w:pPr>
      <w:r>
        <w:rPr>
          <w:sz w:val="20"/>
          <w:szCs w:val="20"/>
        </w:rPr>
        <w:t>Page, M. J., McKenzie, J. E., Bossuyt, P. M., Boutron, I., Hoffmann, T. C., Mulrow, C. D., et al. (2021). The PRISMA 2020 statement: An updated guideline for reporting systematic reviews. BMJ, 372, n71. https://doi.org/10.1136/bmj.n71</w:t>
      </w:r>
    </w:p>
    <w:p w:rsidR="00232046" w:rsidRDefault="00000000">
      <w:pPr>
        <w:spacing w:before="60" w:after="60"/>
        <w:ind w:left="720" w:hanging="720"/>
      </w:pPr>
      <w:r>
        <w:rPr>
          <w:sz w:val="20"/>
          <w:szCs w:val="20"/>
        </w:rPr>
        <w:t>Pawlewski, P., Kosacka-Olejnik, M., &amp; Werner-Lewandowska, K. (2021). Digital twin lean intralogistics: Research implications. Applied Sciences, 11(4), 1495. https://www.scopus.com/record/display.uri?eid=2-s2.0-85100839068&amp;origin=resultslist</w:t>
      </w:r>
    </w:p>
    <w:p w:rsidR="00232046" w:rsidRDefault="00000000">
      <w:pPr>
        <w:spacing w:before="60" w:after="60"/>
        <w:ind w:left="720" w:hanging="720"/>
      </w:pPr>
      <w:r>
        <w:rPr>
          <w:sz w:val="20"/>
          <w:szCs w:val="20"/>
        </w:rPr>
        <w:t>Stączek, P., Pizoń, J., Danilczuk, W., &amp; Gola, A. (2021). A digital twin approach for the improvement of an autonomous mobile robots (AMR) operating environment. Sensors, 21(23), 7830. https://www.scopus.com/record/display.uri?eid=2-s2.0-85119662794&amp;origin=resultslist</w:t>
      </w:r>
    </w:p>
    <w:p w:rsidR="00232046" w:rsidRDefault="00000000">
      <w:pPr>
        <w:spacing w:before="60" w:after="60"/>
        <w:ind w:left="720" w:hanging="720"/>
      </w:pPr>
      <w:r>
        <w:rPr>
          <w:sz w:val="20"/>
          <w:szCs w:val="20"/>
        </w:rPr>
        <w:t>Su, Y., Li, M., Qu, T., &amp; Huang, G. Q. (2025). Digital-twin data driven multi-dimensional control for dualistic production-intralogistics synchronisation. Journal of Manufacturing Systems, 82, 158–173. https://www.scopus.com/record/display.uri?eid=2-s2.0-105012636381&amp;origin=resultslist</w:t>
      </w:r>
    </w:p>
    <w:p w:rsidR="00232046" w:rsidRDefault="00000000">
      <w:pPr>
        <w:spacing w:before="60" w:after="60"/>
        <w:ind w:left="720" w:hanging="720"/>
      </w:pPr>
      <w:r>
        <w:rPr>
          <w:sz w:val="20"/>
          <w:szCs w:val="20"/>
        </w:rPr>
        <w:t>Wu, S., Xiang, W., Li, W., Chen, L., &amp; Wu, C. (2023). Dynamic Scheduling and Optimization of AGV in Factory Logistics Systems Based on Digital Twin. Applied Sciences, 13(3), 1762. https://www.scopus.com/record/display.uri?eid=2-s2.0-85148004308&amp;origin=resultslist</w:t>
      </w:r>
    </w:p>
    <w:p w:rsidR="00232046" w:rsidRDefault="00000000">
      <w:pPr>
        <w:spacing w:before="60" w:after="60"/>
        <w:ind w:left="720" w:hanging="720"/>
      </w:pPr>
      <w:r>
        <w:rPr>
          <w:sz w:val="20"/>
          <w:szCs w:val="20"/>
        </w:rPr>
        <w:lastRenderedPageBreak/>
        <w:t>Wu, Z., Zhou, R., Goh, M., Wang, Y., Xu, Z., &amp; Song, W. (2024). A digital twin-based modularized design approach for smart warehouses. International Journal of Computer Integrated Manufacturing. https://www.scopus.com/record/display.uri?eid=2-s2.0-85176085120&amp;origin=resultslist</w:t>
      </w:r>
    </w:p>
    <w:p w:rsidR="00232046" w:rsidRDefault="00000000">
      <w:pPr>
        <w:spacing w:before="60" w:after="60"/>
        <w:ind w:left="720" w:hanging="720"/>
      </w:pPr>
      <w:r>
        <w:rPr>
          <w:sz w:val="20"/>
          <w:szCs w:val="20"/>
        </w:rPr>
        <w:t>Zhang, L., Yang, C., Yan, Y., Cai, Z., &amp; Hu, Y. (2024). Automated guided vehicle dispatching and routing integration via digital twin with deep reinforcement learning. Journal of Manufacturing Systems, 72, 492–503. https://www.scopus.com/record/display.uri?eid=2-s2.0-85182905411&amp;origin=resultslist</w:t>
      </w:r>
    </w:p>
    <w:p w:rsidR="00232046" w:rsidRDefault="00000000">
      <w:pPr>
        <w:spacing w:before="60" w:after="60"/>
        <w:ind w:left="720" w:hanging="720"/>
      </w:pPr>
      <w:r>
        <w:rPr>
          <w:sz w:val="20"/>
          <w:szCs w:val="20"/>
        </w:rPr>
        <w:t>Zhang, Y., Qu, T., Hong, Z., Zhang, Z., &amp; Huang, G. Q. (2026). Digital twin driven opti-state control approach for smart warehousing in the synchronous operating environment. Robotics and Computer-Integrated Manufacturing, 97, 103099. https://www.scopus.com/record/display.uri?eid=2-s2.0-105012199267&amp;origin=resultslist</w:t>
      </w:r>
    </w:p>
    <w:p w:rsidR="00232046" w:rsidRDefault="00000000">
      <w:pPr>
        <w:spacing w:before="60" w:after="60"/>
        <w:ind w:left="720" w:hanging="720"/>
      </w:pPr>
      <w:r>
        <w:rPr>
          <w:sz w:val="20"/>
          <w:szCs w:val="20"/>
        </w:rPr>
        <w:t>Zhang, Y., Qu, T., Li, M., Zhang, Z., Zhang, K., Hong, Z., Huang, G. Q., &amp; Chen, Z. (2024). Digital twin-based multi-granularity synchronisation for production-warehousing under batch processing. International Journal of Production Research. https://www.scopus.com/record/display.uri?eid=2-s2.0-85205532226&amp;origin=resultslist</w:t>
      </w:r>
    </w:p>
    <w:p w:rsidR="00232046" w:rsidRDefault="00000000">
      <w:pPr>
        <w:spacing w:before="200"/>
      </w:pPr>
      <w:r>
        <w:br w:type="page"/>
      </w:r>
    </w:p>
    <w:p w:rsidR="00232046" w:rsidRDefault="00000000">
      <w:pPr>
        <w:pStyle w:val="Heading1"/>
      </w:pPr>
      <w:r>
        <w:lastRenderedPageBreak/>
        <w:t>APPENDIX A. INCLUDED STUDY MATRIX (S1–S15)</w:t>
      </w:r>
    </w:p>
    <w:p w:rsidR="00232046" w:rsidRDefault="002320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399"/>
        <w:gridCol w:w="1274"/>
        <w:gridCol w:w="1107"/>
        <w:gridCol w:w="1151"/>
        <w:gridCol w:w="1326"/>
        <w:gridCol w:w="2551"/>
      </w:tblGrid>
      <w:tr w:rsidR="00232046">
        <w:tc>
          <w:tcPr>
            <w:tcW w:w="45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ID</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Authors &amp; Year</w:t>
            </w:r>
          </w:p>
        </w:tc>
        <w:tc>
          <w:tcPr>
            <w:tcW w:w="1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Application Area</w:t>
            </w:r>
          </w:p>
        </w:tc>
        <w:tc>
          <w:tcPr>
            <w:tcW w:w="10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DT Type</w:t>
            </w:r>
          </w:p>
        </w:tc>
        <w:tc>
          <w:tcPr>
            <w:tcW w:w="10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Eval. Method</w:t>
            </w:r>
          </w:p>
        </w:tc>
        <w:tc>
          <w:tcPr>
            <w:tcW w:w="135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Evidence</w:t>
            </w:r>
          </w:p>
        </w:tc>
        <w:tc>
          <w:tcPr>
            <w:tcW w:w="2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Key Finding</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AGV/AMR routing</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AI-Enhanced DT</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DRL</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DRL agent outperforms rule-based AGV dispatching; 56 citations</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S2</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Guerrazzi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Order picking</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case</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 balances SBS/RS picking with outbound loading</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S3</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Wu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Smart warehouse</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proto</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Prototype / Lab</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Modular DT enables reconfiguration and real-time monitoring</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S4</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Leng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Storage optimization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case</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 jointly optimises packing and storage; reduces cost; 158 cited</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S5</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Coelho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In-house logistics</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foundation</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study</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DT improves logistics decision support; 115 cited</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S6</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Jaoua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AMR dispatching</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AI-Enhanced DT</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DRL</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DT+RL outperforms classical heuristics for AMR dispatching</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S7</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Bao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AGV path planning</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study</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DT-driven dynamic path planning reduces AGV travel time</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S8</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Gao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AGV scheduling</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case</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 decision support outperforms traditional AGV scheduling</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S9</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(2026)</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Smart warehouse</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AI-Enhanced DT</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Industrial case</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Industrial / Case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Opti-state DT maintains performance under dynamic disturbances</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S10</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Zhang et al. (2024)</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Production-WH sync</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Industrial case</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Industrial / Case</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Multi-granularity DT reduces production-WH misalignment</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S11</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Su et al. (2025)</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Production-log. sync</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case</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Industrial / Case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Multi-dim DT improves production-intralogistics coordination</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S12</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Glatt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Material flows</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lab</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Prototype / Lab</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Physics-based DT achieves high-fidelity material flow model; 140 cited</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S13</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Pawlewski et al. (2021)</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Lean intralogistics</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Lean</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Conceptual + lit.</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Conceptual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DT Lean Intralogistics identified as emerging paradigm</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S14</w:t>
            </w:r>
          </w:p>
        </w:tc>
        <w:tc>
          <w:tcPr>
            <w:tcW w:w="14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Wu et al. (2023)</w:t>
            </w:r>
          </w:p>
        </w:tc>
        <w:tc>
          <w:tcPr>
            <w:tcW w:w="12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AGV scheduling</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Digital Twin</w:t>
            </w:r>
          </w:p>
        </w:tc>
        <w:tc>
          <w:tcPr>
            <w:tcW w:w="10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study</w:t>
            </w:r>
          </w:p>
        </w:tc>
        <w:tc>
          <w:tcPr>
            <w:tcW w:w="13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DT-based dynamic AGV scheduling improves throughput</w:t>
            </w:r>
          </w:p>
        </w:tc>
      </w:tr>
      <w:tr w:rsidR="00232046">
        <w:tc>
          <w:tcPr>
            <w:tcW w:w="4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lastRenderedPageBreak/>
              <w:t>S15</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Félix-Cigalat (2023)</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Internal transport</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Digital Shadow</w:t>
            </w:r>
          </w:p>
        </w:tc>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study</w:t>
            </w:r>
          </w:p>
        </w:tc>
        <w:tc>
          <w:tcPr>
            <w:tcW w:w="13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Simulation / Opt.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GA-optimized DT reduces internal transport distance ~18%</w:t>
            </w:r>
          </w:p>
        </w:tc>
      </w:tr>
    </w:tbl>
    <w:p w:rsidR="00232046" w:rsidRDefault="00000000">
      <w:pPr>
        <w:spacing w:before="200"/>
      </w:pPr>
      <w:r>
        <w:br w:type="page"/>
      </w:r>
    </w:p>
    <w:p w:rsidR="00232046" w:rsidRDefault="00000000">
      <w:pPr>
        <w:pStyle w:val="Heading1"/>
      </w:pPr>
      <w:r>
        <w:lastRenderedPageBreak/>
        <w:t>APPENDIX B. QUALITY ASSESSMENT RESULTS (S1–S15)</w:t>
      </w:r>
    </w:p>
    <w:p w:rsidR="00232046" w:rsidRDefault="00000000">
      <w:pPr>
        <w:spacing w:after="160"/>
        <w:jc w:val="both"/>
      </w:pPr>
      <w:r>
        <w:t>Scoring: 0 = not addressed; 1 = partially addressed; 2 = clearly addressed. QA1: Aim clarity. QA2: DT scope. QA3: Architecture. QA4: Data connection. QA5: Evaluation. QA6: Metrics. QA7: Limitations. Maximum = 14.</w:t>
      </w:r>
    </w:p>
    <w:p w:rsidR="00232046" w:rsidRDefault="002320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973"/>
        <w:gridCol w:w="630"/>
        <w:gridCol w:w="630"/>
        <w:gridCol w:w="630"/>
        <w:gridCol w:w="630"/>
        <w:gridCol w:w="630"/>
        <w:gridCol w:w="630"/>
        <w:gridCol w:w="630"/>
        <w:gridCol w:w="898"/>
        <w:gridCol w:w="1527"/>
      </w:tblGrid>
      <w:tr w:rsidR="00232046">
        <w:tc>
          <w:tcPr>
            <w:tcW w:w="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ID</w:t>
            </w:r>
          </w:p>
        </w:tc>
        <w:tc>
          <w:tcPr>
            <w:tcW w:w="19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Study</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QA1</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QA2</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QA3</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QA4</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QA5</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QA6</w:t>
            </w:r>
          </w:p>
        </w:tc>
        <w:tc>
          <w:tcPr>
            <w:tcW w:w="6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QA7</w:t>
            </w:r>
          </w:p>
        </w:tc>
        <w:tc>
          <w:tcPr>
            <w:tcW w:w="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Total</w:t>
            </w:r>
          </w:p>
        </w:tc>
        <w:tc>
          <w:tcPr>
            <w:tcW w:w="153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rsidR="00232046" w:rsidRDefault="00000000">
            <w:r>
              <w:rPr>
                <w:rFonts w:ascii="Arial" w:eastAsia="Arial" w:hAnsi="Arial" w:cs="Arial"/>
                <w:b/>
                <w:bCs/>
                <w:color w:val="FFFFFF"/>
                <w:sz w:val="18"/>
                <w:szCs w:val="18"/>
              </w:rPr>
              <w:t>Evidence</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13</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S2</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Guerrazzi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13</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S3</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Wu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S4</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Leng et al. (2021)</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13</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S5</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Coelho et al. (2021)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S6</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Jaoua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S7</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Bao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S8</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Gao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S9</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Zhang et al. (2026)</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13</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S10</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Zhang et al. (2024)</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S11</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Su et al. (2025)</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S12</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Glatt et al. (2021)</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S13</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Pawlewski et al. (2021)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9</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Moderate</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b/>
                <w:bCs/>
                <w:sz w:val="20"/>
                <w:szCs w:val="20"/>
              </w:rPr>
              <w:t>S14</w:t>
            </w:r>
          </w:p>
        </w:tc>
        <w:tc>
          <w:tcPr>
            <w:tcW w:w="19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Wu et al. (2023)</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0</w:t>
            </w:r>
          </w:p>
        </w:tc>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11</w:t>
            </w:r>
          </w:p>
        </w:tc>
        <w:tc>
          <w:tcPr>
            <w:tcW w:w="15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rsidR="00232046" w:rsidRDefault="00000000">
            <w:r>
              <w:rPr>
                <w:sz w:val="20"/>
                <w:szCs w:val="20"/>
              </w:rPr>
              <w:t>Strong</w:t>
            </w:r>
          </w:p>
        </w:tc>
      </w:tr>
      <w:tr w:rsidR="00232046">
        <w:tc>
          <w:tcPr>
            <w:tcW w:w="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b/>
                <w:bCs/>
                <w:sz w:val="20"/>
                <w:szCs w:val="20"/>
              </w:rPr>
              <w:t>S15</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Félix-Cigalat (2023)</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2</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12</w:t>
            </w:r>
          </w:p>
        </w:tc>
        <w:tc>
          <w:tcPr>
            <w:tcW w:w="15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232046" w:rsidRDefault="00000000">
            <w:r>
              <w:rPr>
                <w:sz w:val="20"/>
                <w:szCs w:val="20"/>
              </w:rPr>
              <w:t>Strong</w:t>
            </w:r>
          </w:p>
        </w:tc>
      </w:tr>
    </w:tbl>
    <w:p w:rsidR="00E2610D" w:rsidRDefault="00E2610D"/>
    <w:sectPr w:rsidR="00E2610D">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82F" w:rsidRDefault="004C582F">
      <w:r>
        <w:separator/>
      </w:r>
    </w:p>
  </w:endnote>
  <w:endnote w:type="continuationSeparator" w:id="0">
    <w:p w:rsidR="004C582F" w:rsidRDefault="004C5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046" w:rsidRDefault="00000000">
    <w:pPr>
      <w:pBdr>
        <w:top w:val="single" w:sz="4" w:space="1" w:color="2E75B6"/>
      </w:pBd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7A1902">
      <w:rPr>
        <w:rFonts w:ascii="Arial" w:eastAsia="Arial" w:hAnsi="Arial" w:cs="Arial"/>
        <w:noProof/>
        <w:sz w:val="18"/>
        <w:szCs w:val="18"/>
      </w:rPr>
      <w:t>1</w:t>
    </w:r>
    <w:r>
      <w:rPr>
        <w:rFonts w:ascii="Arial" w:eastAsia="Arial" w:hAnsi="Arial" w:cs="Arial"/>
        <w:sz w:val="18"/>
        <w:szCs w:val="18"/>
      </w:rPr>
      <w:fldChar w:fldCharType="end"/>
    </w:r>
    <w:r>
      <w:rPr>
        <w:rFonts w:ascii="Arial" w:eastAsia="Arial" w:hAnsi="Arial" w:cs="Arial"/>
        <w:sz w:val="18"/>
        <w:szCs w:val="18"/>
      </w:rPr>
      <w:t xml:space="preserve">  |  Oğuz Kaan Tuğlu · SEN601 · Hacettepe University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82F" w:rsidRDefault="004C582F">
      <w:r>
        <w:separator/>
      </w:r>
    </w:p>
  </w:footnote>
  <w:footnote w:type="continuationSeparator" w:id="0">
    <w:p w:rsidR="004C582F" w:rsidRDefault="004C5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046" w:rsidRDefault="00000000">
    <w:pPr>
      <w:pBdr>
        <w:bottom w:val="single" w:sz="4" w:space="1" w:color="2E75B6"/>
      </w:pBdr>
      <w:jc w:val="right"/>
    </w:pPr>
    <w:r>
      <w:rPr>
        <w:i/>
        <w:iCs/>
        <w:sz w:val="18"/>
        <w:szCs w:val="18"/>
      </w:rPr>
      <w:t>Digital Twin-Enabled Intralogistics and Warehouse Control Systems — A Systematic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6BD5"/>
    <w:multiLevelType w:val="hybridMultilevel"/>
    <w:tmpl w:val="38C2EC88"/>
    <w:lvl w:ilvl="0" w:tplc="AFCCC764">
      <w:start w:val="1"/>
      <w:numFmt w:val="bullet"/>
      <w:lvlText w:val="●"/>
      <w:lvlJc w:val="left"/>
      <w:pPr>
        <w:ind w:left="720" w:hanging="360"/>
      </w:pPr>
    </w:lvl>
    <w:lvl w:ilvl="1" w:tplc="F9DE5F7A">
      <w:start w:val="1"/>
      <w:numFmt w:val="bullet"/>
      <w:lvlText w:val="○"/>
      <w:lvlJc w:val="left"/>
      <w:pPr>
        <w:ind w:left="1440" w:hanging="360"/>
      </w:pPr>
    </w:lvl>
    <w:lvl w:ilvl="2" w:tplc="2D3CAD00">
      <w:start w:val="1"/>
      <w:numFmt w:val="bullet"/>
      <w:lvlText w:val="■"/>
      <w:lvlJc w:val="left"/>
      <w:pPr>
        <w:ind w:left="2160" w:hanging="360"/>
      </w:pPr>
    </w:lvl>
    <w:lvl w:ilvl="3" w:tplc="6FAED20C">
      <w:start w:val="1"/>
      <w:numFmt w:val="bullet"/>
      <w:lvlText w:val="●"/>
      <w:lvlJc w:val="left"/>
      <w:pPr>
        <w:ind w:left="2880" w:hanging="360"/>
      </w:pPr>
    </w:lvl>
    <w:lvl w:ilvl="4" w:tplc="A4ACF8BC">
      <w:start w:val="1"/>
      <w:numFmt w:val="bullet"/>
      <w:lvlText w:val="○"/>
      <w:lvlJc w:val="left"/>
      <w:pPr>
        <w:ind w:left="3600" w:hanging="360"/>
      </w:pPr>
    </w:lvl>
    <w:lvl w:ilvl="5" w:tplc="DEA60848">
      <w:start w:val="1"/>
      <w:numFmt w:val="bullet"/>
      <w:lvlText w:val="■"/>
      <w:lvlJc w:val="left"/>
      <w:pPr>
        <w:ind w:left="4320" w:hanging="360"/>
      </w:pPr>
    </w:lvl>
    <w:lvl w:ilvl="6" w:tplc="2FF070F0">
      <w:start w:val="1"/>
      <w:numFmt w:val="bullet"/>
      <w:lvlText w:val="●"/>
      <w:lvlJc w:val="left"/>
      <w:pPr>
        <w:ind w:left="5040" w:hanging="360"/>
      </w:pPr>
    </w:lvl>
    <w:lvl w:ilvl="7" w:tplc="0486EB74">
      <w:start w:val="1"/>
      <w:numFmt w:val="bullet"/>
      <w:lvlText w:val="●"/>
      <w:lvlJc w:val="left"/>
      <w:pPr>
        <w:ind w:left="5760" w:hanging="360"/>
      </w:pPr>
    </w:lvl>
    <w:lvl w:ilvl="8" w:tplc="635C5B5C">
      <w:start w:val="1"/>
      <w:numFmt w:val="bullet"/>
      <w:lvlText w:val="●"/>
      <w:lvlJc w:val="left"/>
      <w:pPr>
        <w:ind w:left="6480" w:hanging="360"/>
      </w:pPr>
    </w:lvl>
  </w:abstractNum>
  <w:abstractNum w:abstractNumId="1" w15:restartNumberingAfterBreak="0">
    <w:nsid w:val="2EFF1BED"/>
    <w:multiLevelType w:val="hybridMultilevel"/>
    <w:tmpl w:val="F40C3BCE"/>
    <w:lvl w:ilvl="0" w:tplc="D882A2DA">
      <w:start w:val="1"/>
      <w:numFmt w:val="bullet"/>
      <w:lvlText w:val="•"/>
      <w:lvlJc w:val="left"/>
      <w:pPr>
        <w:ind w:left="720" w:hanging="360"/>
      </w:pPr>
    </w:lvl>
    <w:lvl w:ilvl="1" w:tplc="2CD2C382">
      <w:numFmt w:val="decimal"/>
      <w:lvlText w:val=""/>
      <w:lvlJc w:val="left"/>
    </w:lvl>
    <w:lvl w:ilvl="2" w:tplc="03D42FA0">
      <w:numFmt w:val="decimal"/>
      <w:lvlText w:val=""/>
      <w:lvlJc w:val="left"/>
    </w:lvl>
    <w:lvl w:ilvl="3" w:tplc="9C9A3A8E">
      <w:numFmt w:val="decimal"/>
      <w:lvlText w:val=""/>
      <w:lvlJc w:val="left"/>
    </w:lvl>
    <w:lvl w:ilvl="4" w:tplc="A4CA8CEC">
      <w:numFmt w:val="decimal"/>
      <w:lvlText w:val=""/>
      <w:lvlJc w:val="left"/>
    </w:lvl>
    <w:lvl w:ilvl="5" w:tplc="CFEE7CB0">
      <w:numFmt w:val="decimal"/>
      <w:lvlText w:val=""/>
      <w:lvlJc w:val="left"/>
    </w:lvl>
    <w:lvl w:ilvl="6" w:tplc="D2689E92">
      <w:numFmt w:val="decimal"/>
      <w:lvlText w:val=""/>
      <w:lvlJc w:val="left"/>
    </w:lvl>
    <w:lvl w:ilvl="7" w:tplc="B8AAE87E">
      <w:numFmt w:val="decimal"/>
      <w:lvlText w:val=""/>
      <w:lvlJc w:val="left"/>
    </w:lvl>
    <w:lvl w:ilvl="8" w:tplc="E2B85C68">
      <w:numFmt w:val="decimal"/>
      <w:lvlText w:val=""/>
      <w:lvlJc w:val="left"/>
    </w:lvl>
  </w:abstractNum>
  <w:num w:numId="1" w16cid:durableId="1902594979">
    <w:abstractNumId w:val="0"/>
    <w:lvlOverride w:ilvl="0">
      <w:startOverride w:val="1"/>
    </w:lvlOverride>
  </w:num>
  <w:num w:numId="2" w16cid:durableId="1990593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046"/>
    <w:rsid w:val="00232046"/>
    <w:rsid w:val="00287207"/>
    <w:rsid w:val="004C582F"/>
    <w:rsid w:val="004D4718"/>
    <w:rsid w:val="007A1902"/>
    <w:rsid w:val="00891F1B"/>
    <w:rsid w:val="00A342BF"/>
    <w:rsid w:val="00E2610D"/>
    <w:rsid w:val="00E5544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34811B6"/>
  <w15:docId w15:val="{DB135F78-D096-C540-88B0-3066B180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26"/>
      <w:szCs w:val="26"/>
    </w:rPr>
  </w:style>
  <w:style w:type="paragraph" w:styleId="Heading2">
    <w:name w:val="heading 2"/>
    <w:uiPriority w:val="9"/>
    <w:unhideWhenUsed/>
    <w:qFormat/>
    <w:pPr>
      <w:spacing w:before="240" w:after="120"/>
      <w:outlineLvl w:val="1"/>
    </w:pPr>
    <w:rPr>
      <w:rFonts w:ascii="Arial" w:eastAsia="Arial" w:hAnsi="Arial" w:cs="Arial"/>
      <w:b/>
      <w:bCs/>
      <w:color w:val="2E75B6"/>
    </w:rPr>
  </w:style>
  <w:style w:type="paragraph" w:styleId="Heading3">
    <w:name w:val="heading 3"/>
    <w:uiPriority w:val="9"/>
    <w:semiHidden/>
    <w:unhideWhenUsed/>
    <w:qFormat/>
    <w:pPr>
      <w:spacing w:before="160" w:after="80"/>
      <w:outlineLvl w:val="2"/>
    </w:pPr>
    <w:rPr>
      <w:rFonts w:ascii="Arial" w:eastAsia="Arial" w:hAnsi="Arial" w:cs="Arial"/>
      <w:b/>
      <w:bCs/>
      <w:i/>
      <w:i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5469</Words>
  <Characters>35555</Characters>
  <Application>Microsoft Office Word</Application>
  <DocSecurity>0</DocSecurity>
  <Lines>1367</Lines>
  <Paragraphs>854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Kaan Tuğlu</dc:creator>
  <cp:keywords/>
  <dc:description/>
  <cp:lastModifiedBy>Microsoft Office User</cp:lastModifiedBy>
  <cp:revision>3</cp:revision>
  <dcterms:created xsi:type="dcterms:W3CDTF">2026-05-23T18:35:00Z</dcterms:created>
  <dcterms:modified xsi:type="dcterms:W3CDTF">2026-06-07T18:03:00Z</dcterms:modified>
  <cp:category/>
</cp:coreProperties>
</file>