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pPr>
      <w:r>
        <w:rPr>
          <w:rFonts w:ascii="Arial" w:cs="Arial" w:eastAsia="Arial" w:hAnsi="Arial"/>
          <w:b/>
          <w:bCs/>
          <w:color w:val="1F3A5F"/>
          <w:sz w:val="36"/>
          <w:szCs w:val="36"/>
          <w:rtl/>
        </w:rPr>
        <w:t xml:space="preserve">השוואת מתחמי תחבורה: פרויקט תעדוף מתחמים מול מפת מנהל התכנון</w:t>
      </w:r>
    </w:p>
    <w:p>
      <w:pPr>
        <w:pBdr>
          <w:bottom w:val="single" w:color="1F3A5F" w:sz="8" w:space="4"/>
        </w:pBdr>
        <w:bidi/>
        <w:spacing w:after="240"/>
      </w:pPr>
      <w:r>
        <w:rPr>
          <w:rFonts w:ascii="Arial" w:cs="Arial" w:eastAsia="Arial" w:hAnsi="Arial"/>
          <w:color w:val="555555"/>
          <w:sz w:val="20"/>
          <w:szCs w:val="20"/>
          <w:rtl/>
        </w:rPr>
        <w:t xml:space="preserve">דוח קצר · נתונים מיום 22.9.2026 · התאמה מרחבית ברדיוס 400 מ'</w:t>
      </w:r>
    </w:p>
    <w:p>
      <w:pPr>
        <w:pStyle w:val="Heading1"/>
        <w:bidi/>
        <w:spacing w:after="120" w:before="280"/>
      </w:pPr>
      <w:r>
        <w:rPr>
          <w:rFonts w:ascii="Arial" w:cs="Arial" w:eastAsia="Arial" w:hAnsi="Arial"/>
          <w:b/>
          <w:bCs/>
          <w:color w:val="1F3A5F"/>
          <w:sz w:val="30"/>
          <w:szCs w:val="30"/>
          <w:rtl/>
        </w:rPr>
        <w:t xml:space="preserve">1. מה הושווה</w:t>
      </w:r>
    </w:p>
    <w:p>
      <w:pPr>
        <w:bidi/>
        <w:spacing w:after="120"/>
      </w:pPr>
      <w:r>
        <w:rPr>
          <w:rFonts w:ascii="Arial" w:cs="Arial" w:eastAsia="Arial" w:hAnsi="Arial"/>
          <w:b/>
          <w:bCs/>
          <w:sz w:val="22"/>
          <w:szCs w:val="22"/>
          <w:rtl/>
        </w:rPr>
        <w:t xml:space="preserve">פרויקט תעדוף מתחמים: </w:t>
      </w:r>
      <w:r>
        <w:rPr>
          <w:rFonts w:ascii="Arial" w:cs="Arial" w:eastAsia="Arial" w:hAnsi="Arial"/>
          <w:sz w:val="22"/>
          <w:szCs w:val="22"/>
          <w:rtl/>
        </w:rPr>
        <w:t xml:space="preserve">115 מתחמים (מתוך 142 שורות בקובץ, לאחר הסרת 27 שורות המסומנות HubType = Not Hub). כל מתחם מיוצג בנקודה אחת, עם רשימת האמצעים המתוכננים (Mode_Planned), סוג המתחם (ארצי / מטרופוליני / עירוני), דירוג וביקוש כולל.</w:t>
      </w:r>
    </w:p>
    <w:p>
      <w:pPr>
        <w:bidi/>
        <w:spacing w:after="120"/>
      </w:pPr>
      <w:r>
        <w:rPr>
          <w:rFonts w:ascii="Arial" w:cs="Arial" w:eastAsia="Arial" w:hAnsi="Arial"/>
          <w:b/>
          <w:bCs/>
          <w:sz w:val="22"/>
          <w:szCs w:val="22"/>
          <w:rtl/>
        </w:rPr>
        <w:t xml:space="preserve">מנהל התכנון: </w:t>
      </w:r>
      <w:r>
        <w:rPr>
          <w:rFonts w:ascii="Arial" w:cs="Arial" w:eastAsia="Arial" w:hAnsi="Arial"/>
          <w:sz w:val="22"/>
          <w:szCs w:val="22"/>
          <w:rtl/>
        </w:rPr>
        <w:t xml:space="preserve">204 תחנות מתוך מפת TOD ישראל שיש להן hub_id ולפחות שני אמצעי תחבורה (n_modes ≥ 2). המפה היא ברמת תחנה, כך שמתחם אחד עשוי להופיע בה כמה פעמים (למשל תחנת מטרו ותחנת רק"ל סמוכות).</w:t>
      </w:r>
    </w:p>
    <w:p>
      <w:pPr>
        <w:bidi/>
        <w:spacing w:after="120"/>
      </w:pPr>
      <w:r>
        <w:rPr>
          <w:rFonts w:ascii="Arial" w:cs="Arial" w:eastAsia="Arial" w:hAnsi="Arial"/>
          <w:b/>
          <w:bCs/>
          <w:sz w:val="22"/>
          <w:szCs w:val="22"/>
          <w:rtl/>
        </w:rPr>
        <w:t xml:space="preserve">שיטה: </w:t>
      </w:r>
      <w:r>
        <w:rPr>
          <w:rFonts w:ascii="Arial" w:cs="Arial" w:eastAsia="Arial" w:hAnsi="Arial"/>
          <w:sz w:val="22"/>
          <w:szCs w:val="22"/>
          <w:rtl/>
        </w:rPr>
        <w:t xml:space="preserve">כל תחנה במפה שויכה למתחם הקרוב ביותר בקובץ (ברשת ישראל, EPSG:2039). מרחק עד 400 מ' נחשב התאמה; 400–1,000 מ' סומן "אפשרי" לבדיקה ידנית. אמצעי התחבורה הוסבו לאוצר מילים אחיד (רכבת בין-עירונית / פרברית → Rail; רכבת מהירה → Rail fast).</w:t>
      </w:r>
    </w:p>
    <w:p>
      <w:pPr>
        <w:pStyle w:val="Heading1"/>
        <w:bidi/>
        <w:spacing w:after="120" w:before="280"/>
      </w:pPr>
      <w:r>
        <w:rPr>
          <w:rFonts w:ascii="Arial" w:cs="Arial" w:eastAsia="Arial" w:hAnsi="Arial"/>
          <w:b/>
          <w:bCs/>
          <w:color w:val="1F3A5F"/>
          <w:sz w:val="30"/>
          <w:szCs w:val="30"/>
          <w:rtl/>
        </w:rPr>
        <w:t xml:space="preserve">2. תוצאות במספרים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shd w:fill="1F3A5F" w:color="auto"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קבוצה</w:t>
            </w:r>
          </w:p>
        </w:tc>
        <w:tc>
          <w:tcPr>
            <w:tcW w:type="dxa" w:w="1700"/>
            <w:shd w:fill="1F3A5F" w:color="auto"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פרויקט תעדוף מתחמים</w:t>
            </w:r>
          </w:p>
        </w:tc>
        <w:tc>
          <w:tcPr>
            <w:tcW w:type="dxa" w:w="1700"/>
            <w:shd w:fill="1F3A5F" w:color="auto"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מנהל התכנון</w:t>
            </w:r>
          </w:p>
        </w:tc>
        <w:tc>
          <w:tcPr>
            <w:tcW w:type="dxa" w:w="3560"/>
            <w:shd w:fill="1F3A5F" w:color="auto" w:val="clear"/>
            <w:tcMar>
              <w:top w:type="dxa" w:w="60"/>
              <w:left w:type="dxa" w:w="100"/>
              <w:bottom w:type="dxa" w:w="60"/>
              <w:right w:type="dxa" w:w="100"/>
            </w:tcMar>
          </w:tcPr>
          <w:p>
            <w:pPr>
              <w:bidi/>
              <w:jc w:val="right"/>
            </w:pPr>
            <w:r>
              <w:rPr>
                <w:rFonts w:ascii="Arial" w:cs="Arial" w:eastAsia="Arial" w:hAnsi="Arial"/>
                <w:b/>
                <w:bCs/>
                <w:color w:val="FFFFFF"/>
                <w:sz w:val="20"/>
                <w:szCs w:val="20"/>
                <w:rtl/>
              </w:rPr>
              <w:t xml:space="preserve">הערה</w:t>
            </w:r>
          </w:p>
        </w:tc>
      </w:tr>
      <w:tr>
        <w:trPr>
          <w:tblHeader w:val="false"/>
        </w:trPr>
        <w:tc>
          <w:tcPr>
            <w:tcW w:type="dxa" w:w="240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נמצאו בשני המקורות</w:t>
            </w:r>
          </w:p>
        </w:tc>
        <w:tc>
          <w:tcPr>
            <w:tcW w:type="dxa" w:w="170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64 מתחמים (56%)</w:t>
            </w:r>
          </w:p>
        </w:tc>
        <w:tc>
          <w:tcPr>
            <w:tcW w:type="dxa" w:w="170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70 תחנות (34%)</w:t>
            </w:r>
          </w:p>
        </w:tc>
        <w:tc>
          <w:tcPr>
            <w:tcW w:type="dxa" w:w="356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6 מתחמים בקובץ מיוצגים ביותר מתחנה אחת במפה</w:t>
            </w:r>
          </w:p>
        </w:tc>
      </w:tr>
      <w:tr>
        <w:trPr>
          <w:tblHeader w:val="false"/>
        </w:trPr>
        <w:tc>
          <w:tcPr>
            <w:tcW w:type="dxa" w:w="2400"/>
            <w:shd w:fill="EEF2F7" w:color="auto" w:val="clear"/>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רק בפרויקט תעדוף מתחמים</w:t>
            </w:r>
          </w:p>
        </w:tc>
        <w:tc>
          <w:tcPr>
            <w:tcW w:type="dxa" w:w="1700"/>
            <w:shd w:fill="EEF2F7" w:color="auto" w:val="clear"/>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51 (44%)</w:t>
            </w:r>
          </w:p>
        </w:tc>
        <w:tc>
          <w:tcPr>
            <w:tcW w:type="dxa" w:w="1700"/>
            <w:shd w:fill="EEF2F7" w:color="auto" w:val="clear"/>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w:t>
            </w:r>
          </w:p>
        </w:tc>
        <w:tc>
          <w:tcPr>
            <w:tcW w:type="dxa" w:w="3560"/>
            <w:shd w:fill="EEF2F7" w:color="auto" w:val="clear"/>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אין תחנה רב-אמצעית במפה ברדיוס 400 מ'</w:t>
            </w:r>
          </w:p>
        </w:tc>
      </w:tr>
      <w:tr>
        <w:trPr>
          <w:tblHeader w:val="false"/>
        </w:trPr>
        <w:tc>
          <w:tcPr>
            <w:tcW w:type="dxa" w:w="240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רק במנהל התכנון</w:t>
            </w:r>
          </w:p>
        </w:tc>
        <w:tc>
          <w:tcPr>
            <w:tcW w:type="dxa" w:w="170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w:t>
            </w:r>
          </w:p>
        </w:tc>
        <w:tc>
          <w:tcPr>
            <w:tcW w:type="dxa" w:w="170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134 (66%)</w:t>
            </w:r>
          </w:p>
        </w:tc>
        <w:tc>
          <w:tcPr>
            <w:tcW w:type="dxa" w:w="356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אין מתחם בקובץ ברדיוס 400 מ'</w:t>
            </w:r>
          </w:p>
        </w:tc>
      </w:tr>
      <w:tr>
        <w:trPr>
          <w:tblHeader w:val="false"/>
        </w:trPr>
        <w:tc>
          <w:tcPr>
            <w:tcW w:type="dxa" w:w="2400"/>
            <w:shd w:fill="EEF2F7" w:color="auto" w:val="clear"/>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אפשריים (400–1,000 מ')</w:t>
            </w:r>
          </w:p>
        </w:tc>
        <w:tc>
          <w:tcPr>
            <w:tcW w:type="dxa" w:w="1700"/>
            <w:shd w:fill="EEF2F7" w:color="auto" w:val="clear"/>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6</w:t>
            </w:r>
          </w:p>
        </w:tc>
        <w:tc>
          <w:tcPr>
            <w:tcW w:type="dxa" w:w="1700"/>
            <w:shd w:fill="EEF2F7" w:color="auto" w:val="clear"/>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29</w:t>
            </w:r>
          </w:p>
        </w:tc>
        <w:tc>
          <w:tcPr>
            <w:tcW w:type="dxa" w:w="3560"/>
            <w:shd w:fill="EEF2F7" w:color="auto" w:val="clear"/>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דורשים בדיקה ידנית</w:t>
            </w:r>
          </w:p>
        </w:tc>
      </w:tr>
      <w:tr>
        <w:trPr>
          <w:tblHeader w:val="false"/>
        </w:trPr>
        <w:tc>
          <w:tcPr>
            <w:tcW w:type="dxa" w:w="240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סה"כ</w:t>
            </w:r>
          </w:p>
        </w:tc>
        <w:tc>
          <w:tcPr>
            <w:tcW w:type="dxa" w:w="170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115</w:t>
            </w:r>
          </w:p>
        </w:tc>
        <w:tc>
          <w:tcPr>
            <w:tcW w:type="dxa" w:w="170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204</w:t>
            </w:r>
          </w:p>
        </w:tc>
        <w:tc>
          <w:tcPr>
            <w:tcW w:type="dxa" w:w="3560"/>
            <w:tcMar>
              <w:top w:type="dxa" w:w="60"/>
              <w:left w:type="dxa" w:w="100"/>
              <w:bottom w:type="dxa" w:w="60"/>
              <w:right w:type="dxa" w:w="100"/>
            </w:tcMar>
          </w:tcPr>
          <w:p>
            <w:pPr>
              <w:bidi/>
              <w:jc w:val="right"/>
            </w:pPr>
            <w:r>
              <w:rPr>
                <w:rFonts w:ascii="Arial" w:cs="Arial" w:eastAsia="Arial" w:hAnsi="Arial"/>
                <w:b w:val="false"/>
                <w:bCs w:val="false"/>
                <w:color w:val="000000"/>
                <w:sz w:val="20"/>
                <w:szCs w:val="20"/>
                <w:rtl/>
              </w:rPr>
              <w:t xml:space="preserve"/>
            </w:r>
          </w:p>
        </w:tc>
      </w:tr>
    </w:tbl>
    <w:p>
      <w:pPr>
        <w:bidi/>
        <w:spacing w:after="60"/>
      </w:pPr>
      <w:r>
        <w:rPr>
          <w:rFonts w:ascii="Arial" w:cs="Arial" w:eastAsia="Arial" w:hAnsi="Arial"/>
          <w:sz w:val="22"/>
          <w:szCs w:val="22"/>
          <w:rtl/>
        </w:rPr>
        <w:t xml:space="preserve"/>
      </w:r>
    </w:p>
    <w:p>
      <w:pPr>
        <w:bidi/>
        <w:spacing w:after="120"/>
      </w:pPr>
      <w:r>
        <w:rPr>
          <w:rFonts w:ascii="Arial" w:cs="Arial" w:eastAsia="Arial" w:hAnsi="Arial"/>
          <w:b/>
          <w:bCs/>
          <w:sz w:val="22"/>
          <w:szCs w:val="22"/>
          <w:rtl/>
        </w:rPr>
        <w:t xml:space="preserve">איכות ההתאמות: </w:t>
      </w:r>
      <w:r>
        <w:rPr>
          <w:rFonts w:ascii="Arial" w:cs="Arial" w:eastAsia="Arial" w:hAnsi="Arial"/>
          <w:sz w:val="22"/>
          <w:szCs w:val="22"/>
          <w:rtl/>
        </w:rPr>
        <w:t xml:space="preserve">בקרב 70 הזוגות שהותאמו המרחק החציוני הוא 91 מ' (ממוצע 120 מ', מקסימום 382 מ'); 36 זוגות נמצאים בטווח של עד 100 מ'. כלומר כשיש התאמה היא בדרך כלל הדוקה.</w:t>
      </w:r>
    </w:p>
    <w:p>
      <w:pPr>
        <w:bidi/>
        <w:spacing w:after="120"/>
      </w:pPr>
      <w:r>
        <w:rPr>
          <w:rFonts w:ascii="Arial" w:cs="Arial" w:eastAsia="Arial" w:hAnsi="Arial"/>
          <w:b/>
          <w:bCs/>
          <w:sz w:val="22"/>
          <w:szCs w:val="22"/>
          <w:rtl/>
        </w:rPr>
        <w:t xml:space="preserve">הסכמה על אמצעים: </w:t>
      </w:r>
      <w:r>
        <w:rPr>
          <w:rFonts w:ascii="Arial" w:cs="Arial" w:eastAsia="Arial" w:hAnsi="Arial"/>
          <w:sz w:val="22"/>
          <w:szCs w:val="22"/>
          <w:rtl/>
        </w:rPr>
        <w:t xml:space="preserve">רק ב-23 מתוך 70 הזוגות (33%) סל האמצעים זהה. במפה מופיעים אמצעים שאינם בקובץ בעיקר BRT (15 מקרים) ומטרו (11); בקובץ מופיעים אמצעים שאינם במפה בעיקר BRT (10) ורק"ל (9).</w:t>
      </w:r>
    </w:p>
    <w:p>
      <w:pPr>
        <w:pStyle w:val="Heading1"/>
        <w:bidi/>
        <w:spacing w:after="120" w:before="280"/>
      </w:pPr>
      <w:r>
        <w:rPr>
          <w:rFonts w:ascii="Arial" w:cs="Arial" w:eastAsia="Arial" w:hAnsi="Arial"/>
          <w:b/>
          <w:bCs/>
          <w:color w:val="1F3A5F"/>
          <w:sz w:val="30"/>
          <w:szCs w:val="30"/>
          <w:rtl/>
        </w:rPr>
        <w:t xml:space="preserve">3. דמיון בין המקורות</w:t>
      </w:r>
    </w:p>
    <w:p>
      <w:pPr>
        <w:pStyle w:val="ListParagraph"/>
        <w:numPr>
          <w:ilvl w:val="0"/>
          <w:numId w:val="2"/>
        </w:numPr>
        <w:bidi/>
        <w:spacing w:after="60"/>
      </w:pPr>
      <w:r>
        <w:rPr>
          <w:rFonts w:ascii="Arial" w:cs="Arial" w:eastAsia="Arial" w:hAnsi="Arial"/>
          <w:b/>
          <w:bCs/>
          <w:sz w:val="22"/>
          <w:szCs w:val="22"/>
          <w:rtl/>
        </w:rPr>
        <w:t xml:space="preserve">המתחמים הארציים כמעט זהים. </w:t>
      </w:r>
      <w:r>
        <w:rPr>
          <w:rFonts w:ascii="Arial" w:cs="Arial" w:eastAsia="Arial" w:hAnsi="Arial"/>
          <w:sz w:val="22"/>
          <w:szCs w:val="22"/>
          <w:rtl/>
        </w:rPr>
        <w:t xml:space="preserve">14 מתוך 15 המתחמים הארציים בקובץ נמצאו במפה, רובם תחנות רכבת פעילות (31 מתוך 70 ההתאמות הן תחנות במצב Operating).</w:t>
      </w:r>
    </w:p>
    <w:p>
      <w:pPr>
        <w:pStyle w:val="ListParagraph"/>
        <w:numPr>
          <w:ilvl w:val="0"/>
          <w:numId w:val="2"/>
        </w:numPr>
        <w:bidi/>
        <w:spacing w:after="60"/>
      </w:pPr>
      <w:r>
        <w:rPr>
          <w:rFonts w:ascii="Arial" w:cs="Arial" w:eastAsia="Arial" w:hAnsi="Arial"/>
          <w:b/>
          <w:bCs/>
          <w:sz w:val="22"/>
          <w:szCs w:val="22"/>
          <w:rtl/>
        </w:rPr>
        <w:t xml:space="preserve">הליבה המטרופולינית משותפת. </w:t>
      </w:r>
      <w:r>
        <w:rPr>
          <w:rFonts w:ascii="Arial" w:cs="Arial" w:eastAsia="Arial" w:hAnsi="Arial"/>
          <w:sz w:val="22"/>
          <w:szCs w:val="22"/>
          <w:rtl/>
        </w:rPr>
        <w:t xml:space="preserve">35 מתוך 67 המתחמים המטרופוליניים ו-15 מתוך 33 העירוניים בקובץ נמצאו במפה.</w:t>
      </w:r>
    </w:p>
    <w:p>
      <w:pPr>
        <w:pStyle w:val="ListParagraph"/>
        <w:numPr>
          <w:ilvl w:val="0"/>
          <w:numId w:val="2"/>
        </w:numPr>
        <w:bidi/>
        <w:spacing w:after="60"/>
      </w:pPr>
      <w:r>
        <w:rPr>
          <w:rFonts w:ascii="Arial" w:cs="Arial" w:eastAsia="Arial" w:hAnsi="Arial"/>
          <w:b/>
          <w:bCs/>
          <w:sz w:val="22"/>
          <w:szCs w:val="22"/>
          <w:rtl/>
        </w:rPr>
        <w:t xml:space="preserve">כשההתאמה קיימת, המיקום מדויק. </w:t>
      </w:r>
      <w:r>
        <w:rPr>
          <w:rFonts w:ascii="Arial" w:cs="Arial" w:eastAsia="Arial" w:hAnsi="Arial"/>
          <w:sz w:val="22"/>
          <w:szCs w:val="22"/>
          <w:rtl/>
        </w:rPr>
        <w:t xml:space="preserve">מחצית הזוגות במרחק של פחות מ-100 מ' זה מזה, בטווח הסטייה הצפוי בין נקודת מרכז מתחם לבין נקודת תחנה.</w:t>
      </w:r>
    </w:p>
    <w:p>
      <w:pPr>
        <w:pStyle w:val="ListParagraph"/>
        <w:numPr>
          <w:ilvl w:val="0"/>
          <w:numId w:val="2"/>
        </w:numPr>
        <w:bidi/>
        <w:spacing w:after="60"/>
      </w:pPr>
      <w:r>
        <w:rPr>
          <w:rFonts w:ascii="Arial" w:cs="Arial" w:eastAsia="Arial" w:hAnsi="Arial"/>
          <w:b/>
          <w:bCs/>
          <w:sz w:val="22"/>
          <w:szCs w:val="22"/>
          <w:rtl/>
        </w:rPr>
        <w:t xml:space="preserve">סוגי המתחמים דומים: </w:t>
      </w:r>
      <w:r>
        <w:rPr>
          <w:rFonts w:ascii="Arial" w:cs="Arial" w:eastAsia="Arial" w:hAnsi="Arial"/>
          <w:sz w:val="22"/>
          <w:szCs w:val="22"/>
          <w:rtl/>
        </w:rPr>
        <w:t xml:space="preserve">בשני המקורות רוב המתחמים הם דו-אמצעיים (76 מתוך 115 בקובץ; 129 מתוך 134 התחנות שרק במפה).</w:t>
      </w:r>
    </w:p>
    <w:p>
      <w:pPr>
        <w:pStyle w:val="Heading1"/>
        <w:bidi/>
        <w:spacing w:after="120" w:before="280"/>
      </w:pPr>
      <w:r>
        <w:rPr>
          <w:rFonts w:ascii="Arial" w:cs="Arial" w:eastAsia="Arial" w:hAnsi="Arial"/>
          <w:b/>
          <w:bCs/>
          <w:color w:val="1F3A5F"/>
          <w:sz w:val="30"/>
          <w:szCs w:val="30"/>
          <w:rtl/>
        </w:rPr>
        <w:t xml:space="preserve">4. הבדלים עיקריים</w:t>
      </w:r>
    </w:p>
    <w:p>
      <w:pPr>
        <w:pStyle w:val="Heading2"/>
        <w:bidi/>
        <w:spacing w:after="80" w:before="200"/>
      </w:pPr>
      <w:r>
        <w:rPr>
          <w:rFonts w:ascii="Arial" w:cs="Arial" w:eastAsia="Arial" w:hAnsi="Arial"/>
          <w:b/>
          <w:bCs/>
          <w:color w:val="1F3A5F"/>
          <w:sz w:val="25"/>
          <w:szCs w:val="25"/>
          <w:rtl/>
        </w:rPr>
        <w:t xml:space="preserve">4.1 המפה מכילה הרבה יותר מתחמים (134 רק במפה)</w:t>
      </w:r>
    </w:p>
    <w:p>
      <w:pPr>
        <w:pStyle w:val="ListParagraph"/>
        <w:numPr>
          <w:ilvl w:val="0"/>
          <w:numId w:val="2"/>
        </w:numPr>
        <w:bidi/>
        <w:spacing w:after="60"/>
      </w:pPr>
      <w:r>
        <w:rPr>
          <w:rFonts w:ascii="Arial" w:cs="Arial" w:eastAsia="Arial" w:hAnsi="Arial"/>
          <w:sz w:val="22"/>
          <w:szCs w:val="22"/>
          <w:rtl/>
        </w:rPr>
        <w:t xml:space="preserve">107 מתוך 134 (80%) כוללות BRT. הצירופים הנפוצים: רק"ל + BRT (55), מטרו + BRT (33), BRT + פוניקולר (11). המפה סופרת כל צומת של קו BRT עם אמצעי אחר כמתחם; פרויקט תעדוף מתחמים כנראה מחמיר יותר בהגדרת מתחם.</w:t>
      </w:r>
    </w:p>
    <w:p>
      <w:pPr>
        <w:pStyle w:val="ListParagraph"/>
        <w:numPr>
          <w:ilvl w:val="0"/>
          <w:numId w:val="2"/>
        </w:numPr>
        <w:bidi/>
        <w:spacing w:after="60"/>
      </w:pPr>
      <w:r>
        <w:rPr>
          <w:rFonts w:ascii="Arial" w:cs="Arial" w:eastAsia="Arial" w:hAnsi="Arial"/>
          <w:sz w:val="22"/>
          <w:szCs w:val="22"/>
          <w:rtl/>
        </w:rPr>
        <w:t xml:space="preserve">81 מתוך 134 (60%) במצב תכנון Strategic, כלומר קווים בשלב מוקדם שייתכן שלא נכללו בקובץ התעדוף.</w:t>
      </w:r>
    </w:p>
    <w:p>
      <w:pPr>
        <w:pStyle w:val="ListParagraph"/>
        <w:numPr>
          <w:ilvl w:val="0"/>
          <w:numId w:val="2"/>
        </w:numPr>
        <w:bidi/>
        <w:spacing w:after="60"/>
      </w:pPr>
      <w:r>
        <w:rPr>
          <w:rFonts w:ascii="Arial" w:cs="Arial" w:eastAsia="Arial" w:hAnsi="Arial"/>
          <w:sz w:val="22"/>
          <w:szCs w:val="22"/>
          <w:rtl/>
        </w:rPr>
        <w:t xml:space="preserve">פיזור גיאוגרפי: תל אביב 54, חיפה 34, ירושלים 12, באר שבע 10. ירושלים ובאר שבע כמעט אינן מיוצגות בקובץ (3 מתחמים בכל אחת), ולכן 22 תחנות שם ללא מקבילה הן ככל הנראה פער כיסוי ולא פער מיקום.</w:t>
      </w:r>
    </w:p>
    <w:p>
      <w:pPr>
        <w:pStyle w:val="ListParagraph"/>
        <w:numPr>
          <w:ilvl w:val="0"/>
          <w:numId w:val="2"/>
        </w:numPr>
        <w:bidi/>
        <w:spacing w:after="60"/>
      </w:pPr>
      <w:r>
        <w:rPr>
          <w:rFonts w:ascii="Arial" w:cs="Arial" w:eastAsia="Arial" w:hAnsi="Arial"/>
          <w:sz w:val="22"/>
          <w:szCs w:val="22"/>
          <w:rtl/>
        </w:rPr>
        <w:t xml:space="preserve">רק 8 מהן נמצאות במרחק של עד 600 מ' ממתחם בקובץ; 105 רחוקות יותר מק"מ. רובן אינן "כמעט התאמה" אלא מתחמים שאינם בקובץ.</w:t>
      </w:r>
    </w:p>
    <w:p>
      <w:pPr>
        <w:pStyle w:val="Heading2"/>
        <w:bidi/>
        <w:spacing w:after="80" w:before="200"/>
      </w:pPr>
      <w:r>
        <w:rPr>
          <w:rFonts w:ascii="Arial" w:cs="Arial" w:eastAsia="Arial" w:hAnsi="Arial"/>
          <w:b/>
          <w:bCs/>
          <w:color w:val="1F3A5F"/>
          <w:sz w:val="25"/>
          <w:szCs w:val="25"/>
          <w:rtl/>
        </w:rPr>
        <w:t xml:space="preserve">4.2 מתחמים בקובץ ללא מקבילה במפה (51)</w:t>
      </w:r>
    </w:p>
    <w:p>
      <w:pPr>
        <w:pStyle w:val="ListParagraph"/>
        <w:numPr>
          <w:ilvl w:val="0"/>
          <w:numId w:val="2"/>
        </w:numPr>
        <w:bidi/>
        <w:spacing w:after="60"/>
      </w:pPr>
      <w:r>
        <w:rPr>
          <w:rFonts w:ascii="Arial" w:cs="Arial" w:eastAsia="Arial" w:hAnsi="Arial"/>
          <w:sz w:val="22"/>
          <w:szCs w:val="22"/>
          <w:rtl/>
        </w:rPr>
        <w:t xml:space="preserve">32 מטרופוליניים, 18 עירוניים ומתחם ארצי אחד. 39 מתוכם במטרופולין תל אביב, 7 בחיפה.</w:t>
      </w:r>
    </w:p>
    <w:p>
      <w:pPr>
        <w:pStyle w:val="ListParagraph"/>
        <w:numPr>
          <w:ilvl w:val="0"/>
          <w:numId w:val="2"/>
        </w:numPr>
        <w:bidi/>
        <w:spacing w:after="60"/>
      </w:pPr>
      <w:r>
        <w:rPr>
          <w:rFonts w:ascii="Arial" w:cs="Arial" w:eastAsia="Arial" w:hAnsi="Arial"/>
          <w:sz w:val="22"/>
          <w:szCs w:val="22"/>
          <w:rtl/>
        </w:rPr>
        <w:t xml:space="preserve">כולם דו- או תלת-אמצעיים (42 ו-9 בהתאמה), רובם צירופי BRT + מטרו (9), BRT + רק"ל (8), רק"ל + מטרו (5) ו-BRT + רכבת פרברית (4).</w:t>
      </w:r>
    </w:p>
    <w:p>
      <w:pPr>
        <w:pStyle w:val="ListParagraph"/>
        <w:numPr>
          <w:ilvl w:val="0"/>
          <w:numId w:val="2"/>
        </w:numPr>
        <w:bidi/>
        <w:spacing w:after="60"/>
      </w:pPr>
      <w:r>
        <w:rPr>
          <w:rFonts w:ascii="Arial" w:cs="Arial" w:eastAsia="Arial" w:hAnsi="Arial"/>
          <w:sz w:val="22"/>
          <w:szCs w:val="22"/>
          <w:rtl/>
        </w:rPr>
        <w:t xml:space="preserve">אף אחד מהם אינו ברדיוס 600 מ' מתחנה במפה; 6 בטווח 600–1,000 מ' (למשל רוטשילד/רמז בראשון לציון, 663 מ' מתחנת ז'בוטינסקי; התדהר/התעשייה ברעננה, 732 מ' מתחנת עקיבא), 26 בטווח 1–2 ק"מ ו-19 מעבר ל-2 ק"מ.</w:t>
      </w:r>
    </w:p>
    <w:p>
      <w:pPr>
        <w:pStyle w:val="Heading2"/>
        <w:bidi/>
        <w:spacing w:after="80" w:before="200"/>
      </w:pPr>
      <w:r>
        <w:rPr>
          <w:rFonts w:ascii="Arial" w:cs="Arial" w:eastAsia="Arial" w:hAnsi="Arial"/>
          <w:b/>
          <w:bCs/>
          <w:color w:val="1F3A5F"/>
          <w:sz w:val="25"/>
          <w:szCs w:val="25"/>
          <w:rtl/>
        </w:rPr>
        <w:t xml:space="preserve">4.3 אי-הסכמה על אמצעים גם במתחמים משותפים</w:t>
      </w:r>
    </w:p>
    <w:p>
      <w:pPr>
        <w:pStyle w:val="ListParagraph"/>
        <w:numPr>
          <w:ilvl w:val="0"/>
          <w:numId w:val="2"/>
        </w:numPr>
        <w:bidi/>
        <w:spacing w:after="60"/>
      </w:pPr>
      <w:r>
        <w:rPr>
          <w:rFonts w:ascii="Arial" w:cs="Arial" w:eastAsia="Arial" w:hAnsi="Arial"/>
          <w:sz w:val="22"/>
          <w:szCs w:val="22"/>
          <w:rtl/>
        </w:rPr>
        <w:t xml:space="preserve">ב-47 מתוך 70 הזוגות סל האמצעים שונה, לרוב באמצעי אחד. ההבדל הבולט הוא BRT: המפה מוסיפה BRT ב-15 מקרים והקובץ מוסיף BRT ב-10 מקרים אחרים, מה שמעיד על מיפוי שונה של מסלולי BRT ולא רק על שוני בתחנות.</w:t>
      </w:r>
    </w:p>
    <w:p>
      <w:pPr>
        <w:pStyle w:val="Heading1"/>
        <w:bidi/>
        <w:spacing w:after="120" w:before="280"/>
      </w:pPr>
      <w:r>
        <w:rPr>
          <w:rFonts w:ascii="Arial" w:cs="Arial" w:eastAsia="Arial" w:hAnsi="Arial"/>
          <w:b/>
          <w:bCs/>
          <w:color w:val="1F3A5F"/>
          <w:sz w:val="30"/>
          <w:szCs w:val="30"/>
          <w:rtl/>
        </w:rPr>
        <w:t xml:space="preserve">5. גורמים אפשריים לפערים</w:t>
      </w:r>
    </w:p>
    <w:p>
      <w:pPr>
        <w:pStyle w:val="ListParagraph"/>
        <w:numPr>
          <w:ilvl w:val="0"/>
          <w:numId w:val="2"/>
        </w:numPr>
        <w:bidi/>
        <w:spacing w:after="60"/>
      </w:pPr>
      <w:r>
        <w:rPr>
          <w:rFonts w:ascii="Arial" w:cs="Arial" w:eastAsia="Arial" w:hAnsi="Arial"/>
          <w:b/>
          <w:bCs/>
          <w:sz w:val="22"/>
          <w:szCs w:val="22"/>
          <w:rtl/>
        </w:rPr>
        <w:t xml:space="preserve">הגדרת מתחם שונה. </w:t>
      </w:r>
      <w:r>
        <w:rPr>
          <w:rFonts w:ascii="Arial" w:cs="Arial" w:eastAsia="Arial" w:hAnsi="Arial"/>
          <w:sz w:val="22"/>
          <w:szCs w:val="22"/>
          <w:rtl/>
        </w:rPr>
        <w:t xml:space="preserve">המפה מגדירה מתחם ברמת תחנה בודדת עם שני אמצעים ומעלה, כולל BRT ופוניקולר; הקובץ מגדיר מתחם ברמת מרחב ומסנן (HubType = Not Hub) מתחמים חלשים. זה ההסבר העיקרי ל-134 התחנות שרק במפה.</w:t>
      </w:r>
    </w:p>
    <w:p>
      <w:pPr>
        <w:pStyle w:val="ListParagraph"/>
        <w:numPr>
          <w:ilvl w:val="0"/>
          <w:numId w:val="2"/>
        </w:numPr>
        <w:bidi/>
        <w:spacing w:after="60"/>
      </w:pPr>
      <w:r>
        <w:rPr>
          <w:rFonts w:ascii="Arial" w:cs="Arial" w:eastAsia="Arial" w:hAnsi="Arial"/>
          <w:b/>
          <w:bCs/>
          <w:sz w:val="22"/>
          <w:szCs w:val="22"/>
          <w:rtl/>
        </w:rPr>
        <w:t xml:space="preserve">פרויקטים חסרים או תרחישי תכנון שונים. </w:t>
      </w:r>
      <w:r>
        <w:rPr>
          <w:rFonts w:ascii="Arial" w:cs="Arial" w:eastAsia="Arial" w:hAnsi="Arial"/>
          <w:sz w:val="22"/>
          <w:szCs w:val="22"/>
          <w:rtl/>
        </w:rPr>
        <w:t xml:space="preserve">60% מהתחנות שרק במפה הן Strategic. ייתכן שקובץ התעדוף מבוסס על רשימת פרויקטים מאושרת יותר, או על שנת יעד שונה. במקביל, 51 מתחמים בקובץ שאין להם מקבילה ברדיוס ק"מ מעידים על קווים או תחנות שאינם במפה (למשל קווי BRT ורכבת פרברית באזורים כמו צריפין, רמלה ונתניה).</w:t>
      </w:r>
    </w:p>
    <w:p>
      <w:pPr>
        <w:pStyle w:val="ListParagraph"/>
        <w:numPr>
          <w:ilvl w:val="0"/>
          <w:numId w:val="2"/>
        </w:numPr>
        <w:bidi/>
        <w:spacing w:after="60"/>
      </w:pPr>
      <w:r>
        <w:rPr>
          <w:rFonts w:ascii="Arial" w:cs="Arial" w:eastAsia="Arial" w:hAnsi="Arial"/>
          <w:b/>
          <w:bCs/>
          <w:sz w:val="22"/>
          <w:szCs w:val="22"/>
          <w:rtl/>
        </w:rPr>
        <w:t xml:space="preserve">כיסוי גיאוגרפי חלקי של הקובץ. </w:t>
      </w:r>
      <w:r>
        <w:rPr>
          <w:rFonts w:ascii="Arial" w:cs="Arial" w:eastAsia="Arial" w:hAnsi="Arial"/>
          <w:sz w:val="22"/>
          <w:szCs w:val="22"/>
          <w:rtl/>
        </w:rPr>
        <w:t xml:space="preserve">הקובץ מרוכז בתל אביב (80 מתוך 115) ובחיפה (19); ירושלים ובאר שבע כמעט אינן מכוסות, בעוד שהמפה כוללת שם 29 תחנות רב-אמצעיות.</w:t>
      </w:r>
    </w:p>
    <w:p>
      <w:pPr>
        <w:pStyle w:val="ListParagraph"/>
        <w:numPr>
          <w:ilvl w:val="0"/>
          <w:numId w:val="2"/>
        </w:numPr>
        <w:bidi/>
        <w:spacing w:after="60"/>
      </w:pPr>
      <w:r>
        <w:rPr>
          <w:rFonts w:ascii="Arial" w:cs="Arial" w:eastAsia="Arial" w:hAnsi="Arial"/>
          <w:b/>
          <w:bCs/>
          <w:sz w:val="22"/>
          <w:szCs w:val="22"/>
          <w:rtl/>
        </w:rPr>
        <w:t xml:space="preserve">מיקום לא מדויק. </w:t>
      </w:r>
      <w:r>
        <w:rPr>
          <w:rFonts w:ascii="Arial" w:cs="Arial" w:eastAsia="Arial" w:hAnsi="Arial"/>
          <w:sz w:val="22"/>
          <w:szCs w:val="22"/>
          <w:rtl/>
        </w:rPr>
        <w:t xml:space="preserve">ההבדלים ברמת עשרות עד מאות מטרים בזוגות שהותאמו (עד 382 מ') נובעים מהפרש בין נקודת מרכז מתחם (h3 / כתובת) לבין קואורדינטת התחנה. סף של 400 מ' תפס את רובם, אך 6 מתחמים בקובץ ו-29 תחנות במפה נמצאים בטווח 400–1,000 מ' וייתכן שהם אותו מתחם.</w:t>
      </w:r>
    </w:p>
    <w:p>
      <w:pPr>
        <w:pStyle w:val="ListParagraph"/>
        <w:numPr>
          <w:ilvl w:val="0"/>
          <w:numId w:val="2"/>
        </w:numPr>
        <w:bidi/>
        <w:spacing w:after="60"/>
      </w:pPr>
      <w:r>
        <w:rPr>
          <w:rFonts w:ascii="Arial" w:cs="Arial" w:eastAsia="Arial" w:hAnsi="Arial"/>
          <w:b/>
          <w:bCs/>
          <w:sz w:val="22"/>
          <w:szCs w:val="22"/>
          <w:rtl/>
        </w:rPr>
        <w:t xml:space="preserve">גרעיניות שונה. </w:t>
      </w:r>
      <w:r>
        <w:rPr>
          <w:rFonts w:ascii="Arial" w:cs="Arial" w:eastAsia="Arial" w:hAnsi="Arial"/>
          <w:sz w:val="22"/>
          <w:szCs w:val="22"/>
          <w:rtl/>
        </w:rPr>
        <w:t xml:space="preserve">6 מתחמים בקובץ תואמים ליותר מתחנה אחת במפה. ספירת "70 תחנות" מול "64 מתחמים" משקפת זאת, ואינה מעידה על טעות.</w:t>
      </w:r>
    </w:p>
    <w:p>
      <w:pPr>
        <w:pStyle w:val="ListParagraph"/>
        <w:numPr>
          <w:ilvl w:val="0"/>
          <w:numId w:val="2"/>
        </w:numPr>
        <w:bidi/>
        <w:spacing w:after="60"/>
      </w:pPr>
      <w:r>
        <w:rPr>
          <w:rFonts w:ascii="Arial" w:cs="Arial" w:eastAsia="Arial" w:hAnsi="Arial"/>
          <w:b/>
          <w:bCs/>
          <w:sz w:val="22"/>
          <w:szCs w:val="22"/>
          <w:rtl/>
        </w:rPr>
        <w:t xml:space="preserve">אוצר מילים של אמצעים. </w:t>
      </w:r>
      <w:r>
        <w:rPr>
          <w:rFonts w:ascii="Arial" w:cs="Arial" w:eastAsia="Arial" w:hAnsi="Arial"/>
          <w:sz w:val="22"/>
          <w:szCs w:val="22"/>
          <w:rtl/>
        </w:rPr>
        <w:t xml:space="preserve">הקובץ מבחין בין רכבת בין-עירונית, פרברית ומהירה ו"קו כבלים"; המפה מציינת Rail / Rail fast ו-Funicular. ההסבה אחידה אך ייתכנו הבדלי סיווג (למשל קו כבלים מול פוניקולר) שנרשמים כאי-הסכמה.</w:t>
      </w:r>
    </w:p>
    <w:p>
      <w:pPr>
        <w:pStyle w:val="Heading1"/>
        <w:bidi/>
        <w:spacing w:after="120" w:before="280"/>
      </w:pPr>
      <w:r>
        <w:rPr>
          <w:rFonts w:ascii="Arial" w:cs="Arial" w:eastAsia="Arial" w:hAnsi="Arial"/>
          <w:b/>
          <w:bCs/>
          <w:color w:val="1F3A5F"/>
          <w:sz w:val="30"/>
          <w:szCs w:val="30"/>
          <w:rtl/>
        </w:rPr>
        <w:t xml:space="preserve">6. המלצות להמשך</w:t>
      </w:r>
    </w:p>
    <w:p>
      <w:pPr>
        <w:pStyle w:val="ListParagraph"/>
        <w:numPr>
          <w:ilvl w:val="0"/>
          <w:numId w:val="2"/>
        </w:numPr>
        <w:bidi/>
        <w:spacing w:after="60"/>
      </w:pPr>
      <w:r>
        <w:rPr>
          <w:rFonts w:ascii="Arial" w:cs="Arial" w:eastAsia="Arial" w:hAnsi="Arial"/>
          <w:sz w:val="22"/>
          <w:szCs w:val="22"/>
          <w:rtl/>
        </w:rPr>
        <w:t xml:space="preserve">לבדוק ידנית את 35 המקרים ה"אפשריים" (400–1,000 מ') ולהחליט אם להרחיב את סף ההתאמה ל-600–800 מ' באזורים עירוניים צפופים.</w:t>
      </w:r>
    </w:p>
    <w:p>
      <w:pPr>
        <w:pStyle w:val="ListParagraph"/>
        <w:numPr>
          <w:ilvl w:val="0"/>
          <w:numId w:val="2"/>
        </w:numPr>
        <w:bidi/>
        <w:spacing w:after="60"/>
      </w:pPr>
      <w:r>
        <w:rPr>
          <w:rFonts w:ascii="Arial" w:cs="Arial" w:eastAsia="Arial" w:hAnsi="Arial"/>
          <w:sz w:val="22"/>
          <w:szCs w:val="22"/>
          <w:rtl/>
        </w:rPr>
        <w:t xml:space="preserve">להשוות את רשימת קווי ה-BRT בשני המקורות; זהו מקור הפער הגדול ביותר, הן במספר המתחמים והן בהסכמה על אמצעים.</w:t>
      </w:r>
    </w:p>
    <w:p>
      <w:pPr>
        <w:pStyle w:val="ListParagraph"/>
        <w:numPr>
          <w:ilvl w:val="0"/>
          <w:numId w:val="2"/>
        </w:numPr>
        <w:bidi/>
        <w:spacing w:after="60"/>
      </w:pPr>
      <w:r>
        <w:rPr>
          <w:rFonts w:ascii="Arial" w:cs="Arial" w:eastAsia="Arial" w:hAnsi="Arial"/>
          <w:sz w:val="22"/>
          <w:szCs w:val="22"/>
          <w:rtl/>
        </w:rPr>
        <w:t xml:space="preserve">להוסיף לקובץ התעדוף מתחמים בירושלים ובבאר שבע, או לתעד שהם מחוץ לתחום העבודה.</w:t>
      </w:r>
    </w:p>
    <w:p>
      <w:pPr>
        <w:pStyle w:val="ListParagraph"/>
        <w:numPr>
          <w:ilvl w:val="0"/>
          <w:numId w:val="2"/>
        </w:numPr>
        <w:bidi/>
        <w:spacing w:after="60"/>
      </w:pPr>
      <w:r>
        <w:rPr>
          <w:rFonts w:ascii="Arial" w:cs="Arial" w:eastAsia="Arial" w:hAnsi="Arial"/>
          <w:sz w:val="22"/>
          <w:szCs w:val="22"/>
          <w:rtl/>
        </w:rPr>
        <w:t xml:space="preserve">לתעד את שנת היעד / תרחיש התכנון של כל מקור, כדי להבחין בין פער אמיתי לבין הבדל בשלב התכנון.</w:t>
      </w:r>
    </w:p>
    <w:p>
      <w:pPr>
        <w:bidi/>
        <w:spacing w:before="300"/>
      </w:pPr>
      <w:r>
        <w:rPr>
          <w:rFonts w:ascii="Arial" w:cs="Arial" w:eastAsia="Arial" w:hAnsi="Arial"/>
          <w:color w:val="666666"/>
          <w:sz w:val="18"/>
          <w:szCs w:val="18"/>
          <w:rtl/>
        </w:rPr>
        <w:t xml:space="preserve">מקורות: hub_prioritization_results.xlsx (לאחר סינון Not Hub); tod_israel.xlsx גיליון stations; חוברת ההשוואה hub_comparison.xlsx (גיליונות summary, both, only_xlsx, only_map, possible_matches); המפה האינטראקטיבית compare.html.</w:t>
      </w:r>
    </w:p>
    <w:sectPr>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500" w:hanging="260"/>
      </w:pPr>
    </w:lvl>
    <w:lvl w:ilvl="1" w15:tentative="1">
      <w:start w:val="1"/>
      <w:numFmt w:val="bullet"/>
      <w:lvlText w:val="–"/>
      <w:lvlJc w:val="right"/>
      <w:pPr>
        <w:ind w:left="0" w:righ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2026-09-22T09:52:17.717Z</dcterms:created>
  <dcterms:modified xsi:type="dcterms:W3CDTF">2026-09-22T09:52:17.717Z</dcterms:modified>
</cp:coreProperties>
</file>

<file path=docProps/custom.xml><?xml version="1.0" encoding="utf-8"?>
<Properties xmlns="http://schemas.openxmlformats.org/officeDocument/2006/custom-properties" xmlns:vt="http://schemas.openxmlformats.org/officeDocument/2006/docPropsVTypes"/>
</file>