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Findings, and what the matrices can and cannot be used for — revision 1.4</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 Revision 1.1 (same day) corrects the LRT travel times — the calibration report’s 500 m section assumption was checked against the Red Line’s own timetable and found to halve the underground speed — and adds the bus level of service per TAZ from the national GTFS, the Metronit tagging, and the check of the bus timetable against what surveyed bus users report. Revision 1.2 adds the observed bus running times: every timetable trip routed over the measured May 2026 bus link speeds. Revision 1.3 (same day) records three decisions of the study team — money out of the comparison (a flat, integrated fare with a daily cap), the LRT valued as a premium mode (five generalized minutes), and free LRT–Metronit transfers — and adds the complete skim set per mode, the first flow comparison, and — with the zonal forecast files now pulled and the four 2040 / 2050 sets produced — the same capture on the forecast matrices (Part E).</w:t>
      </w:r>
      <w:r>
        <w:t xml:space="preserve"> Revision 1.4 (23 September 2026) adds the revision note below: the mode-code correction, the person-level estimate of the cost sensitivity, and the rebuild of the bus calibration on RavKav’s own alightings; the body of the report reads at the 22 September state.</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GTFS_bus_LOS_TAZ, GTFS_bus_observed_times, GC_data_inventory_and_skims, Mode_skims_and_flow_comparison (all under notebooks/current/); THS_2017_PCA_car_vs_transit (diagnostics). Methodology sections 6s, 6v–6ac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Output/gtfs/, Output/gc/, Output/skims/, Output/figures/.</w:t>
      </w:r>
    </w:p>
    <w:p>
      <w:pPr>
        <w:spacing w:after="240" w:before="0"/>
      </w:pPr>
      <w:r>
        <w:rPr>
          <w:b/>
        </w:rPr>
        <w:t>What changed in revision 1.4.</w:t>
      </w:r>
      <w:r>
        <w:t xml:space="preserve"> Three things changed on 23 September 2026 and every product this report draws on was rebuilt; the body of the report still reads at the 22 September state, and this note carries the current values. (1) The survey’s mode codes 4 (group taxi) and 5 (Matronit) were swapped in the chain, so the Metronit riders had been left out of the transit nest of the capture model of Part E; corrected. (2) The cost sensitivity λ, which section 7.2 could not identify from the 2022 cross-section, was estimated from the survey’s person records with car availability held constant: 0.035 per generalized minute (0.002–0.068), supporting the assumed 0.03; for licence holders in car-owning households it is not identified (0.008 ± 0.017). (3) New 2025 smart-card data and a rerun of the matrix tests showed that the ticketing matrix the bus calibration had used — RavKav volumes spread on the on-board survey’s alighting pattern — shares no destination structure with the survey, while the raw RavKav journeys on their own alightings match it as well as the survey matches itself; the calibration was rebuilt on the latter. The survey-versus-ticketing disagreement of section 3.4 (down direction, Nazareth branch) was the on-board pattern and is gone; the corridor transit market grew with the Metronit riders; the LRT capture rate did not change. Full account: METHODOLOGY.md §0 (“Rerun”, “Rebuild”), §6ae, §6af, §6ag, §6z, §6ac–§6ad, and docs/PLAIN_ENGLISH_METHODOLOGY.md Part 5.</w:t>
      </w:r>
    </w:p>
    <w:tbl>
      <w:tblPr>
        <w:tblW w:type="auto" w:w="0"/>
        <w:tblLook w:firstColumn="1" w:firstRow="1" w:lastColumn="0" w:lastRow="0" w:noHBand="0" w:noVBand="1" w:val="04A0"/>
      </w:tblPr>
      <w:tblGrid>
        <w:gridCol w:w="2256"/>
        <w:gridCol w:w="2256"/>
        <w:gridCol w:w="2256"/>
        <w:gridCol w:w="2256"/>
      </w:tblGrid>
      <w:tr>
        <w:tc>
          <w:tcPr>
            <w:tcW w:type="dxa" w:w="2256"/>
          </w:tcPr>
          <w:p>
            <w:r/>
            <w:r>
              <w:rPr>
                <w:b/>
              </w:rPr>
              <w:t>Quantity</w:t>
            </w:r>
          </w:p>
        </w:tc>
        <w:tc>
          <w:tcPr>
            <w:tcW w:type="dxa" w:w="2256"/>
          </w:tcPr>
          <w:p>
            <w:r/>
            <w:r>
              <w:rPr>
                <w:b/>
              </w:rPr>
              <w:t>Revision 1.3 (22 Sep)</w:t>
            </w:r>
          </w:p>
        </w:tc>
        <w:tc>
          <w:tcPr>
            <w:tcW w:type="dxa" w:w="2256"/>
          </w:tcPr>
          <w:p>
            <w:r/>
            <w:r>
              <w:rPr>
                <w:b/>
              </w:rPr>
              <w:t>Corrected codes, on-board prior (23 Sep, morning)</w:t>
            </w:r>
          </w:p>
        </w:tc>
        <w:tc>
          <w:tcPr>
            <w:tcW w:type="dxa" w:w="2256"/>
          </w:tcPr>
          <w:p>
            <w:r/>
            <w:r>
              <w:rPr>
                <w:b/>
              </w:rPr>
              <w:t>Revision 1.4: corrected codes, RavKav’s own alightings (23 Sep)</w:t>
            </w:r>
          </w:p>
        </w:tc>
      </w:tr>
      <w:tr>
        <w:tc>
          <w:tcPr>
            <w:tcW w:type="dxa" w:w="2256"/>
          </w:tcPr>
          <w:p>
            <w:r>
              <w:t>Trips with both ends in the 25 V2 areas: car / bus / taxi-type / rail</w:t>
            </w:r>
          </w:p>
        </w:tc>
        <w:tc>
          <w:tcPr>
            <w:tcW w:type="dxa" w:w="2256"/>
          </w:tcPr>
          <w:p>
            <w:r>
              <w:t>156,944 / 18,788 / 8,323 / 51</w:t>
            </w:r>
          </w:p>
        </w:tc>
        <w:tc>
          <w:tcPr>
            <w:tcW w:type="dxa" w:w="2256"/>
          </w:tcPr>
          <w:p>
            <w:r>
              <w:t>156,944 / 20,902 / 2,170 / 51</w:t>
            </w:r>
          </w:p>
        </w:tc>
        <w:tc>
          <w:tcPr>
            <w:tcW w:type="dxa" w:w="2256"/>
          </w:tcPr>
          <w:p>
            <w:r>
              <w:t>156,944 / 22,735 / 2,170 / 51</w:t>
            </w:r>
          </w:p>
        </w:tc>
      </w:tr>
      <w:tr>
        <w:tc>
          <w:tcPr>
            <w:tcW w:type="dxa" w:w="2256"/>
          </w:tcPr>
          <w:p>
            <w:r>
              <w:t>Corridor-internal market, off-diagonal: car / transit / taxi</w:t>
            </w:r>
          </w:p>
        </w:tc>
        <w:tc>
          <w:tcPr>
            <w:tcW w:type="dxa" w:w="2256"/>
          </w:tcPr>
          <w:p>
            <w:r>
              <w:t>56,445 / 11,664 / 6,982</w:t>
            </w:r>
          </w:p>
        </w:tc>
        <w:tc>
          <w:tcPr>
            <w:tcW w:type="dxa" w:w="2256"/>
          </w:tcPr>
          <w:p>
            <w:r>
              <w:t>56,445 / 13,778 / 720</w:t>
            </w:r>
          </w:p>
        </w:tc>
        <w:tc>
          <w:tcPr>
            <w:tcW w:type="dxa" w:w="2256"/>
          </w:tcPr>
          <w:p>
            <w:r>
              <w:t>56,445 / 14,133 / 720</w:t>
            </w:r>
          </w:p>
        </w:tc>
      </w:tr>
      <w:tr>
        <w:tc>
          <w:tcPr>
            <w:tcW w:type="dxa" w:w="2256"/>
          </w:tcPr>
          <w:p>
            <w:r>
              <w:t>Survey ÷ ticketing, Haifa segment, up: T1 / T2 / T3 / network</w:t>
            </w:r>
          </w:p>
        </w:tc>
        <w:tc>
          <w:tcPr>
            <w:tcW w:type="dxa" w:w="2256"/>
          </w:tcPr>
          <w:p>
            <w:r>
              <w:t>0.78–0.83</w:t>
            </w:r>
          </w:p>
        </w:tc>
        <w:tc>
          <w:tcPr>
            <w:tcW w:type="dxa" w:w="2256"/>
          </w:tcPr>
          <w:p>
            <w:r>
              <w:t>0.97–1.06 / 1.07</w:t>
            </w:r>
          </w:p>
        </w:tc>
        <w:tc>
          <w:tcPr>
            <w:tcW w:type="dxa" w:w="2256"/>
          </w:tcPr>
          <w:p>
            <w:r>
              <w:t>1.01–1.02 / 1.04</w:t>
            </w:r>
          </w:p>
        </w:tc>
      </w:tr>
      <w:tr>
        <w:tc>
          <w:tcPr>
            <w:tcW w:type="dxa" w:w="2256"/>
          </w:tcPr>
          <w:p>
            <w:r>
              <w:t>Survey ÷ ticketing, Haifa segment, down: T1 / T2 / T3 / network</w:t>
            </w:r>
          </w:p>
        </w:tc>
        <w:tc>
          <w:tcPr>
            <w:tcW w:type="dxa" w:w="2256"/>
          </w:tcPr>
          <w:p>
            <w:r>
              <w:t>0.66 / 0.92 / — / —</w:t>
            </w:r>
          </w:p>
        </w:tc>
        <w:tc>
          <w:tcPr>
            <w:tcW w:type="dxa" w:w="2256"/>
          </w:tcPr>
          <w:p>
            <w:r>
              <w:t>0.51 / 0.92 / 0.58 / 0.62</w:t>
            </w:r>
          </w:p>
        </w:tc>
        <w:tc>
          <w:tcPr>
            <w:tcW w:type="dxa" w:w="2256"/>
          </w:tcPr>
          <w:p>
            <w:r>
              <w:t>1.04 / 1.12 / 0.86 / 0.98</w:t>
            </w:r>
          </w:p>
        </w:tc>
      </w:tr>
      <w:tr>
        <w:tc>
          <w:tcPr>
            <w:tcW w:type="dxa" w:w="2256"/>
          </w:tcPr>
          <w:p>
            <w:r>
              <w:t>Nazareth as origin: survey vs ticketed corridor-bound transit trips</w:t>
            </w:r>
          </w:p>
        </w:tc>
        <w:tc>
          <w:tcPr>
            <w:tcW w:type="dxa" w:w="2256"/>
          </w:tcPr>
          <w:p>
            <w:r>
              <w:t>—</w:t>
            </w:r>
          </w:p>
        </w:tc>
        <w:tc>
          <w:tcPr>
            <w:tcW w:type="dxa" w:w="2256"/>
          </w:tcPr>
          <w:p>
            <w:r>
              <w:t>962 vs 2,402</w:t>
            </w:r>
          </w:p>
        </w:tc>
        <w:tc>
          <w:tcPr>
            <w:tcW w:type="dxa" w:w="2256"/>
          </w:tcPr>
          <w:p>
            <w:r>
              <w:t>517 vs 185 (the two alighting inferences bracket the survey)</w:t>
            </w:r>
          </w:p>
        </w:tc>
      </w:tr>
      <w:tr>
        <w:tc>
          <w:tcPr>
            <w:tcW w:type="dxa" w:w="2256"/>
          </w:tcPr>
          <w:p>
            <w:r>
              <w:t>Tree network, Bazan-Hutsot → Tsomet Kiryat Ata towards Haifa: all layers / transit, 3 h</w:t>
            </w:r>
          </w:p>
        </w:tc>
        <w:tc>
          <w:tcPr>
            <w:tcW w:type="dxa" w:w="2256"/>
          </w:tcPr>
          <w:p>
            <w:r>
              <w:t>16,231 / 2,898</w:t>
            </w:r>
          </w:p>
        </w:tc>
        <w:tc>
          <w:tcPr>
            <w:tcW w:type="dxa" w:w="2256"/>
          </w:tcPr>
          <w:p>
            <w:r>
              <w:t>15,628 / 3,886</w:t>
            </w:r>
          </w:p>
        </w:tc>
        <w:tc>
          <w:tcPr>
            <w:tcW w:type="dxa" w:w="2256"/>
          </w:tcPr>
          <w:p>
            <w:r>
              <w:t>16,161 / 4,420</w:t>
            </w:r>
          </w:p>
        </w:tc>
      </w:tr>
      <w:tr>
        <w:tc>
          <w:tcPr>
            <w:tcW w:type="dxa" w:w="2256"/>
          </w:tcPr>
          <w:p>
            <w:r>
              <w:t>Bus peak-hour factor on the V2 network, up / down</w:t>
            </w:r>
          </w:p>
        </w:tc>
        <w:tc>
          <w:tcPr>
            <w:tcW w:type="dxa" w:w="2256"/>
          </w:tcPr>
          <w:p>
            <w:r>
              <w:t>0.590 (study area)</w:t>
            </w:r>
          </w:p>
        </w:tc>
        <w:tc>
          <w:tcPr>
            <w:tcW w:type="dxa" w:w="2256"/>
          </w:tcPr>
          <w:p>
            <w:r>
              <w:t>0.549 / 0.457</w:t>
            </w:r>
          </w:p>
        </w:tc>
        <w:tc>
          <w:tcPr>
            <w:tcW w:type="dxa" w:w="2256"/>
          </w:tcPr>
          <w:p>
            <w:r>
              <w:t>0.549 / 0.457</w:t>
            </w:r>
          </w:p>
        </w:tc>
      </w:tr>
      <w:tr>
        <w:tc>
          <w:tcPr>
            <w:tcW w:type="dxa" w:w="2256"/>
          </w:tcPr>
          <w:p>
            <w:r>
              <w:t>Cost sensitivity λ</w:t>
            </w:r>
          </w:p>
        </w:tc>
        <w:tc>
          <w:tcPr>
            <w:tcW w:type="dxa" w:w="2256"/>
          </w:tcPr>
          <w:p>
            <w:r>
              <w:t>assumed 0.03</w:t>
            </w:r>
          </w:p>
        </w:tc>
        <w:tc>
          <w:tcPr>
            <w:tcW w:type="dxa" w:w="2256"/>
          </w:tcPr>
          <w:p>
            <w:r>
              <w:t>assumed 0.03; person-level 0.035 (0.002–0.068)</w:t>
            </w:r>
          </w:p>
        </w:tc>
        <w:tc>
          <w:tcPr>
            <w:tcW w:type="dxa" w:w="2256"/>
          </w:tcPr>
          <w:p>
            <w:r>
              <w:t>same</w:t>
            </w:r>
          </w:p>
        </w:tc>
      </w:tr>
      <w:tr>
        <w:tc>
          <w:tcPr>
            <w:tcW w:type="dxa" w:w="2256"/>
          </w:tcPr>
          <w:p>
            <w:r>
              <w:t>LRT trips 06:00–09:00, central case: underground / ground / design regime</w:t>
            </w:r>
          </w:p>
        </w:tc>
        <w:tc>
          <w:tcPr>
            <w:tcW w:type="dxa" w:w="2256"/>
          </w:tcPr>
          <w:p>
            <w:r>
              <w:t>3,332 / 2,544 / 3,970</w:t>
            </w:r>
          </w:p>
        </w:tc>
        <w:tc>
          <w:tcPr>
            <w:tcW w:type="dxa" w:w="2256"/>
          </w:tcPr>
          <w:p>
            <w:r>
              <w:t>4,114 / 3,201 / 4,814</w:t>
            </w:r>
          </w:p>
        </w:tc>
        <w:tc>
          <w:tcPr>
            <w:tcW w:type="dxa" w:w="2256"/>
          </w:tcPr>
          <w:p>
            <w:r>
              <w:t>4,250 / 3,207 / 5,095</w:t>
            </w:r>
          </w:p>
        </w:tc>
      </w:tr>
      <w:tr>
        <w:tc>
          <w:tcPr>
            <w:tcW w:type="dxa" w:w="2256"/>
          </w:tcPr>
          <w:p>
            <w:r>
              <w:t>λ range, underground</w:t>
            </w:r>
          </w:p>
        </w:tc>
        <w:tc>
          <w:tcPr>
            <w:tcW w:type="dxa" w:w="2256"/>
          </w:tcPr>
          <w:p>
            <w:r>
              <w:t>2,401–4,903</w:t>
            </w:r>
          </w:p>
        </w:tc>
        <w:tc>
          <w:tcPr>
            <w:tcW w:type="dxa" w:w="2256"/>
          </w:tcPr>
          <w:p>
            <w:r>
              <w:t>3,083–5,812</w:t>
            </w:r>
          </w:p>
        </w:tc>
        <w:tc>
          <w:tcPr>
            <w:tcW w:type="dxa" w:w="2256"/>
          </w:tcPr>
          <w:p>
            <w:r>
              <w:t>3,161–6,028</w:t>
            </w:r>
          </w:p>
        </w:tc>
      </w:tr>
      <w:tr>
        <w:tc>
          <w:tcPr>
            <w:tcW w:type="dxa" w:w="2256"/>
          </w:tcPr>
          <w:p>
            <w:r>
              <w:t>LRT share of no-build transit, underground</w:t>
            </w:r>
          </w:p>
        </w:tc>
        <w:tc>
          <w:tcPr>
            <w:tcW w:type="dxa" w:w="2256"/>
          </w:tcPr>
          <w:p>
            <w:r>
              <w:t>0.265</w:t>
            </w:r>
          </w:p>
        </w:tc>
        <w:tc>
          <w:tcPr>
            <w:tcW w:type="dxa" w:w="2256"/>
          </w:tcPr>
          <w:p>
            <w:r>
              <w:t>0.277</w:t>
            </w:r>
          </w:p>
        </w:tc>
        <w:tc>
          <w:tcPr>
            <w:tcW w:type="dxa" w:w="2256"/>
          </w:tcPr>
          <w:p>
            <w:r>
              <w:t>0.277</w:t>
            </w:r>
          </w:p>
        </w:tc>
      </w:tr>
      <w:tr>
        <w:tc>
          <w:tcPr>
            <w:tcW w:type="dxa" w:w="2256"/>
          </w:tcPr>
          <w:p>
            <w:r>
              <w:t>Busiest LRT trunk link (Namal-Giborim → Hamifrats down), 3 h / peak hour</w:t>
            </w:r>
          </w:p>
        </w:tc>
        <w:tc>
          <w:tcPr>
            <w:tcW w:type="dxa" w:w="2256"/>
          </w:tcPr>
          <w:p>
            <w:r>
              <w:t>995 / 588</w:t>
            </w:r>
          </w:p>
        </w:tc>
        <w:tc>
          <w:tcPr>
            <w:tcW w:type="dxa" w:w="2256"/>
          </w:tcPr>
          <w:p>
            <w:r>
              <w:t>1,452 / 663</w:t>
            </w:r>
          </w:p>
        </w:tc>
        <w:tc>
          <w:tcPr>
            <w:tcW w:type="dxa" w:w="2256"/>
          </w:tcPr>
          <w:p>
            <w:r>
              <w:t>1,671 / 764</w:t>
            </w:r>
          </w:p>
        </w:tc>
      </w:tr>
      <w:tr>
        <w:tc>
          <w:tcPr>
            <w:tcW w:type="dxa" w:w="2256"/>
          </w:tcPr>
          <w:p>
            <w:r>
              <w:t>LRT trips 2040 / 2050, underground: BU 2040 / BU 2050 / HS 2040 / HS 2050</w:t>
            </w:r>
          </w:p>
        </w:tc>
        <w:tc>
          <w:tcPr>
            <w:tcW w:type="dxa" w:w="2256"/>
          </w:tcPr>
          <w:p>
            <w:r>
              <w:t>4,114 / 4,498 / 4,520 / 5,354</w:t>
            </w:r>
          </w:p>
        </w:tc>
        <w:tc>
          <w:tcPr>
            <w:tcW w:type="dxa" w:w="2256"/>
          </w:tcPr>
          <w:p>
            <w:r>
              <w:t>5,329 / 5,962 / 5,335 / 6,245</w:t>
            </w:r>
          </w:p>
        </w:tc>
        <w:tc>
          <w:tcPr>
            <w:tcW w:type="dxa" w:w="2256"/>
          </w:tcPr>
          <w:p>
            <w:r>
              <w:t>5,390 / 6,094 / 5,598 / 6,516</w:t>
            </w:r>
          </w:p>
        </w:tc>
      </w:tr>
    </w:tbl>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Four new inputs arrived on 22 September 2026: a new corridor aggregation (V2 — 25 areas built from 174 traffic analysis zones, arranged as three routes on a common trunk), the planned LRT alignment with its stations, a street network carrying measured bus speeds for May 2026, and the national GTFS timetable of 22 May 2026. Alongside them came a calibrated stop-to-stop travel-time function for the Tel Aviv Red Line,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Six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bus network today. </w:t>
      </w:r>
      <w:r>
        <w:rPr>
          <w:sz w:val="22"/>
          <w:szCs w:val="22"/>
          <w:rFonts w:ascii="Calibri" w:cs="Calibri" w:eastAsia="Calibri" w:hAnsi="Calibri"/>
        </w:rPr>
        <w:t xml:space="preserve">A level of service for every TAZ from the national timetable — stops, lines, peak-hour departures, headway grade, direct reach — for all buses and for the Metronit lines separately; a timetable-based in-vehicle time and headway between the 25 areas; and the same trips routed over the measured bus link speeds for an observed running time.</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 first fill of the car, bus, Metronit and LRT matrices on the 25 areas; and the bus timetable checked against what surveyed bus users report.</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 / 65.8 min (17.1 km/h) with the calibrated function transferred through the Red Line’s actual station spacing; underground saves 38 %. (Revision 1’s 73.5 / 89.7 min read the function over a nominal 500 m spacing and is superseded)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level of service from the GTFS (Tuesday 2 June 2026)</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719 of 781 TAZs served in the peak hour; on the best single line 215 TAZs grade A, 239 B, 106 C, 97 D, 61 E; 60 TAZs with a Metronit stop, 41 of them in 20 of the 25 V2 areas</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Direct bus services between the trunk areas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82 of 90 pairs (72 by Metronit); scheduled in-vehicle time 13 min median at a 1.7-minute combined headway; Metronit 10 min at 6 min</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Observed bus running time (trips routed over the measured link speeds) against the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Per trip 1.09 × (Metronit 0.87); hops under 500 m on schedule, hops over 2 km 1.4 × slower; trunk pairs 14.4 min observed against 10.4 scheduled, demand-weighted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observed: in-vehicle 14.4, walk 4.7, wait 1.6 min (partial cost 27.0). LRT: in-vehicle 11.7 (underground) / 18.9 (ground) min, walk 13.6, wait 2.5 at a 5-minute headway (partial cost 43.9 / 51.1)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GTFS-based bus door-to-door against the survey, same pairs</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min against 31.8 reported (× 1.3): a fixed overhead of about 7 minutes, 1.9 × on pairs under 3 km, 1.1–1.5 × at 3–20 km, parity beyond</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LRT function was being read too slowly, and the fix came from the Red Line’s own timetable. </w:t>
      </w:r>
      <w:r>
        <w:rPr>
          <w:sz w:val="22"/>
          <w:szCs w:val="22"/>
          <w:rFonts w:ascii="Calibri" w:cs="Calibri" w:eastAsia="Calibri" w:hAnsi="Calibri"/>
        </w:rPr>
        <w:t xml:space="preserve">The calibration report converts its per-section times to speeds by assuming 500 m between stops. The Red Line’s timetable in the GTFS shows its underground sections average 970 m and its surface sections 577 m, so 1.96 minutes per underground section is a 30 km/h section, not a 15 km/h one. Fitting running time and a stop penalty on the Red Line’s scheduled sections and levelling to the calibration gives 46 km/h plus 49 seconds per stop underground and 31 km/h plus 74 seconds at the surface. On this line’s 815 m spacing that is 40.7 minutes end to end underground (27.6 km/h) and 65.8 at ground level (17.1 km/h); going underground saves 38 %.</w:t>
      </w:r>
    </w:p>
    <w:p>
      <w:pPr>
        <w:pStyle w:val="ListParagraph"/>
        <w:numPr>
          <w:ilvl w:val="0"/>
          <w:numId w:val="2"/>
        </w:numPr>
        <w:spacing w:after="80"/>
      </w:pPr>
      <w:r>
        <w:rPr>
          <w:b/>
          <w:bCs/>
          <w:sz w:val="22"/>
          <w:szCs w:val="22"/>
          <w:rFonts w:ascii="Calibri" w:cs="Calibri" w:eastAsia="Calibri" w:hAnsi="Calibri"/>
        </w:rPr>
        <w:t xml:space="preserve">The buses run slower than their timetable where the demand is, and the LRT would be faster in the vehicle. </w:t>
      </w:r>
      <w:r>
        <w:rPr>
          <w:sz w:val="22"/>
          <w:szCs w:val="22"/>
          <w:rFonts w:ascii="Calibri" w:cs="Calibri" w:eastAsia="Calibri" w:hAnsi="Calibri"/>
        </w:rPr>
        <w:t xml:space="preserve">Every morning-peak timetable trip was routed stop by stop over the measured bus link speeds. Short hops match the schedule to the minute, so the link speeds include the dwell at stops; hops over a kilometre — the arterial stretches — run 1.25 to 1.4 times slower than scheduled in the 07:00–08:00 hour, and the Metronit runs faster than its timetable (0.87). Demand-weighted on the trunk pairs the observed bus in-vehicle time is 14.4 minutes against 10.4 scheduled, and the underground LRT’s 11.7 minutes is now three minutes below it.</w:t>
      </w:r>
    </w:p>
    <w:p>
      <w:pPr>
        <w:pStyle w:val="ListParagraph"/>
        <w:numPr>
          <w:ilvl w:val="0"/>
          <w:numId w:val="2"/>
        </w:numPr>
        <w:spacing w:after="80"/>
      </w:pPr>
      <w:r>
        <w:rPr>
          <w:b/>
          <w:bCs/>
          <w:sz w:val="22"/>
          <w:szCs w:val="22"/>
          <w:rFonts w:ascii="Calibri" w:cs="Calibri" w:eastAsia="Calibri" w:hAnsi="Calibri"/>
        </w:rPr>
        <w:t xml:space="preserve">What the LRT loses on is station access. </w:t>
      </w:r>
      <w:r>
        <w:rPr>
          <w:sz w:val="22"/>
          <w:szCs w:val="22"/>
          <w:rFonts w:ascii="Calibri" w:cs="Calibri" w:eastAsia="Calibri" w:hAnsi="Calibri"/>
        </w:rPr>
        <w:t xml:space="preserve">24 stations against 12,845 stops means 13.6 minutes of walking against 4.7, and with walking weighted twice the LRT’s partial generalized cost (43.9 underground, 51.1 at ground level, with a 5-minute headway) is above the bus’s 27.0 on every trunk pair. Door to door the underground LRT (28 min) equals what bus users report today (27 min). The open question on the LRT side is no longer its speed but its access: feeder buses, the walking network and park-and-ride.</w:t>
      </w:r>
    </w:p>
    <w:p>
      <w:pPr>
        <w:pStyle w:val="ListParagraph"/>
        <w:numPr>
          <w:ilvl w:val="0"/>
          <w:numId w:val="2"/>
        </w:numPr>
        <w:spacing w:after="80"/>
      </w:pPr>
      <w:r>
        <w:rPr>
          <w:b/>
          <w:bCs/>
          <w:sz w:val="22"/>
          <w:szCs w:val="22"/>
          <w:rFonts w:ascii="Calibri" w:cs="Calibri" w:eastAsia="Calibri" w:hAnsi="Calibri"/>
        </w:rPr>
        <w:t xml:space="preserve">The GTFS-based door-to-door time is below what bus users report, by a fixed seven minutes. </w:t>
      </w:r>
      <w:r>
        <w:rPr>
          <w:sz w:val="22"/>
          <w:szCs w:val="22"/>
          <w:rFonts w:ascii="Calibri" w:cs="Calibri" w:eastAsia="Calibri" w:hAnsi="Calibri"/>
        </w:rPr>
        <w:t xml:space="preserve">On the same area pairs the best direct service — observed in-vehicle time plus walk to the nearest stop plus half the pooled headway — gives 24 minutes door to door; surveyed bus users report 32. The ratio is 1.9 on pairs under 3 km and shrinks towards parity beyond 20 km, so it is an overhead (the transfer, the wait for the line actually needed), not a speed error: the running time itself is now observed. It is the calibration margin for the bus generalized cost.</w:t>
      </w:r>
    </w:p>
    <w:p>
      <w:pPr>
        <w:pStyle w:val="ListParagraph"/>
        <w:numPr>
          <w:ilvl w:val="0"/>
          <w:numId w:val="2"/>
        </w:numPr>
        <w:spacing w:after="80"/>
      </w:pPr>
      <w:r>
        <w:rPr>
          <w:b/>
          <w:bCs/>
          <w:sz w:val="22"/>
          <w:szCs w:val="22"/>
          <w:rFonts w:ascii="Calibri" w:cs="Calibri" w:eastAsia="Calibri" w:hAnsi="Calibri"/>
        </w:rPr>
        <w:t xml:space="preserve">The Metronit codes needed correcting. </w:t>
      </w:r>
      <w:r>
        <w:rPr>
          <w:sz w:val="22"/>
          <w:szCs w:val="22"/>
          <w:rFonts w:ascii="Calibri" w:cs="Calibri" w:eastAsia="Calibri" w:hAnsi="Calibri"/>
        </w:rPr>
        <w:t xml:space="preserve">Of the five codes supplied, only 83001 (line 1) is a Metronit route in the feed; 83003 and 83005 belong to local lines elsewhere and 83002 / 83004 do not exist. The lines in the feed are 83001, 67002 (line 2), 67003 (line 3), 62004 (line 4) and 52005 (line 5). 60 TAZs have a Metronit stop; Tirat Carmel, Shefaram, Hamovil, Nazareth and Kiryat Ata North-East have none.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spacing w:after="120" w:before="0"/>
      </w:pPr>
      <w:r>
        <w:rPr>
          <w:b/>
          <w:bCs/>
          <w:sz w:val="22"/>
          <w:szCs w:val="22"/>
          <w:rFonts w:ascii="Calibri" w:cs="Calibri" w:eastAsia="Calibri" w:hAnsi="Calibri"/>
        </w:rPr>
        <w:t xml:space="preserve">Revision 1.3 — the skims and the first flow comparison. </w:t>
      </w:r>
      <w:r>
        <w:rPr>
          <w:sz w:val="22"/>
          <w:szCs w:val="22"/>
          <w:rFonts w:ascii="Calibri" w:cs="Calibri" w:eastAsia="Calibri" w:hAnsi="Calibri"/>
        </w:rPr>
        <w:t xml:space="preserve">Each mode now has a complete 25 × 25 skim (car, bus, Metronit, LRT underground and LRT ground); the LRT reaches the fifteen areas off the drawn line through a feeder leg to the cheapest gateway station — the Metronit, with a free transfer, on 378 of those 510 pairs. Set against the observed 2022 flows the skims cannot calibrate the cost sensitivity: the transit share is highest exactly where the bus is worst placed, which is car availability, not cost. With the sensitivity assumed (0.03 per generalized minute), the LRT valued five minutes above the bus and money out of the comparison, the underground line would take 3,332 of the 11,664 transit trips made between the 25 areas in the three morning hours of 2022 (2,544 at ground level), a third to 45 % of today’s bus movements on the trunk links, most of it boarding at Hamifrats and Namal-Giborim where the Krayot feeders arrive. Across the ranges of the three assumptions the figure moves between 2,357 and 4,855 — wider than the difference between the two alignments.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 the Tel Aviv Red Line)</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underground section, 2.393 min per surface section, dwell included; speeds quoted under a 500 m spacing assumption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transferred to Haifa’s spacing through the Red Line’s actual section lengths.</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israel-public-transportation.zip (national GTFS, 22 May 2026)</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12,845 stops in the study area, 33,499 trips calling at them on the representative Tuesday (2 June 2026), 955 MB of stop times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bus level of service per TAZ and the Metronit tagging (Part D); the direct-service in-vehicle time and headway between areas that the generalized cost now uses; the Red Line’s section lengths for the LRT function.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the 500 m assumption, and the two scenarios</w:t>
      </w:r>
    </w:p>
    <w:p>
      <w:pPr>
        <w:spacing w:after="120" w:before="0"/>
      </w:pPr>
      <w:r>
        <w:rPr>
          <w:sz w:val="22"/>
          <w:szCs w:val="22"/>
          <w:rFonts w:ascii="Calibri" w:cs="Calibri" w:eastAsia="Calibri" w:hAnsi="Calibri"/>
        </w:rPr>
        <w:t xml:space="preserve">The function is T = 1.961 × (underground sections) + 2.393 × (other sections), in minutes per section, dwell included; a section counts as underground only when both its stations are. The two scenarios asked for are the two pure regimes: every section underground, or every section at ground level.</w:t>
      </w:r>
    </w:p>
    <w:p>
      <w:pPr>
        <w:spacing w:after="120" w:before="0"/>
      </w:pPr>
      <w:r>
        <w:rPr>
          <w:sz w:val="22"/>
          <w:szCs w:val="22"/>
          <w:rFonts w:ascii="Calibri" w:cs="Calibri" w:eastAsia="Calibri" w:hAnsi="Calibri"/>
        </w:rPr>
        <w:t xml:space="preserve">Revision 1 of this report read the coefficients as the calibration report does, over a nominal 500 m section, and got 73.5 and 89.7 minutes end to end. That was too slow, and the Red Line’s own timetable — in the same national GTFS, routes 34447 and 34448, 32 stops over 21.4 km in 70.6 scheduled minutes — shows why: its underground sections average 970 m and its surface sections 577 m. The calibrated 1.961 minutes per underground section is therefore a 30 km/h section. Fitting the scheduled section time against distance on the Red Line’s 14,477 scheduled sections separates running time from the stop penalty per regime, and levelling each regime to the calibration’s observed mean (0.94 underground, 1.02 surface) keeps the observed 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620"/>
        <w:gridCol w:w="1440"/>
        <w:gridCol w:w="1260"/>
        <w:gridCol w:w="3240"/>
      </w:tblGrid>
      <w:tr>
        <w:trPr>
          <w:tblHeader/>
        </w:trPr>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Regime</w:t>
            </w:r>
          </w:p>
        </w:tc>
        <w:tc>
          <w:tcPr>
            <w:tcW w:type="dxa" w:w="16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Red Line mean section</w:t>
            </w:r>
          </w:p>
        </w:tc>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Running speed</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Stop penalty</w:t>
            </w:r>
          </w:p>
        </w:tc>
        <w:tc>
          <w:tcPr>
            <w:tcW w:type="dxa" w:w="32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time at Haifa’s 815 m spacing</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970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49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1.77 min (27.6 km/h)</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Ground level</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577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min (17.1 km/h)</w:t>
            </w:r>
          </w:p>
        </w:tc>
      </w:tr>
    </w:tbl>
    <w:p>
      <w:pPr>
        <w:spacing w:after="120" w:before="0"/>
      </w:pPr>
      <w:r>
        <w:rPr>
          <w:sz w:val="22"/>
          <w:szCs w:val="22"/>
          <w:rFonts w:ascii="Calibri" w:cs="Calibri" w:eastAsia="Calibri" w:hAnsi="Calibri"/>
        </w:rPr>
        <w:t xml:space="preserve">A third scenario was added at the study team’s request: a specified design regime of 50 km/h between stops with 10 seconds per stop, at the same 5-minute headway. It runs end to end in 26.3 minutes (42.7 km/h), 35 % below the calibrated underground case, because the specification carries no acceleration or braking — the calibrated forms put 49 to 74 seconds per stop into the stop penalty, where dwell, acceleration and deceleration all sit. It should be read as the ceiling of the alignment, beside the two calibrated scenarios rather than as a third observed regime.</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2160"/>
        <w:gridCol w:w="198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decomposed form (the estimate)</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 (one calibrated section per link, fast bound)</w:t>
            </w:r>
          </w:p>
        </w:tc>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Nominal 500 m form (revision 1, superseded)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min (17.1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Specified design regime: 50 km/h + 10 s per stop (third scenario)</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26.3 min (42.7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Saving from going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25.1 min, 38 %</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 18 %</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 18 %</w:t>
            </w:r>
          </w:p>
        </w:tc>
      </w:tr>
    </w:tbl>
    <w:p>
      <w:pPr>
        <w:spacing w:after="120"/>
      </w:pPr>
    </w:p>
    <w:p>
      <w:pPr>
        <w:spacing w:after="120" w:before="0"/>
      </w:pPr>
      <w:r>
        <w:rPr>
          <w:sz w:val="22"/>
          <w:szCs w:val="22"/>
          <w:rFonts w:ascii="Calibri" w:cs="Calibri" w:eastAsia="Calibri" w:hAnsi="Calibri"/>
        </w:rPr>
        <w:t xml:space="preserve">The decomposed form is the estimate carried into the generalized cost. The section form is kept as a bound: it is right for the underground where Haifa’s spacing is close to the Red Line’s, and too fast at the surface, where Haifa’s sections are 40 % longer than the Red Line’s. The saving from going underground is larger than the 18 % per section because the two coefficients embed different section lengths. The earlier capture-model assumption of 22–26 km/h sits inside the underground range.</w:t>
      </w:r>
    </w:p>
    <w:p>
      <w:pPr>
        <w:spacing w:before="120" w:after="60"/>
        <w:jc w:val="center"/>
      </w:pPr>
      <w:r>
        <w:drawing>
          <wp:inline distT="0" distB="0" distL="0" distR="0">
            <wp:extent cx="58102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384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the decomposed form (solid, the estimate), the section form (dashed) and the superseded nominal 500 m form (dotted);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(decomposed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(decomposed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6.1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9.8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16.0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15.0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32.8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41.5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46.2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31.3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50.6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35.2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57.0 / 47.9</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Fares and parking were in the formula until revision 1.3; they are now out of the comparison by decision (Part 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observed running time of the direct GTFS services routed over the measured link speeds, on the 422 of 600 pairs that have one (82 of 90 trunk pairs); the scheduled time kept alongside; elsewhere the fastest path on the speed network scaled by 1.12</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(decomposed form);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the nearest served GTFS stop, weighted by residents and jobs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half the combined 07:00–08:00 headway of the direct services, capped at 10 min; a placeholder where no direct service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5-minute headway (12 departures an hour)</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 where a direct service exists; missing on the 178 pairs without one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(out of the comparison)</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(flat integrated fare with a daily cap)</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(the same fare as the bus)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Excluded by the same decision</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810"/>
        <w:gridCol w:w="810"/>
        <w:gridCol w:w="1440"/>
        <w:gridCol w:w="2430"/>
      </w:tblGrid>
      <w:tr>
        <w:trPr>
          <w:tblHeader/>
        </w:trPr>
        <w:tc>
          <w:tcPr>
            <w:tcW w:type="dxa" w:w="135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21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(observed running time)</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14.4 min (direct services over the measured link speeds; the timetable says 10.4, the speed-network floor 12.5)</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27.0</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 (on its 72 trunk pairs)</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8.6 min (scheduled 7.8)</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Level with all-bus on the same pairs (20.2), which already includes it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11.7 min (decomposed form; section form 13.3)</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Dearer than the bus on every trunk pair, by 4–31 (median 17)</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18.9 min (section form 16.2)</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Money components are constant by decision and enter at zero. Bus values on the eight trunk pairs without a direct service are placeholders.</w:t>
      </w:r>
    </w:p>
    <w:p>
      <w:pPr>
        <w:spacing w:after="120" w:before="0"/>
      </w:pPr>
      <w:r>
        <w:rPr>
          <w:sz w:val="22"/>
          <w:szCs w:val="22"/>
          <w:rFonts w:ascii="Calibri" w:cs="Calibri" w:eastAsia="Calibri" w:hAnsi="Calibri"/>
        </w:rPr>
        <w:t xml:space="preserve">Two of the LRT’s minutes are structural rather than uncertain. Twenty-four stations over 18.7 km put the average trunk resident 6.8 minutes from a station against 2.4 minutes from a bus stop; with walking weighted twice, that alone is 18 generalized minutes, the whole of the LRT’s median disadvantage against the bus.</w:t>
      </w:r>
    </w:p>
    <w:p>
      <w:pPr>
        <w:spacing w:before="120" w:after="60"/>
        <w:jc w:val="center"/>
      </w:pPr>
      <w:r>
        <w:drawing>
          <wp:inline distT="0" distB="0" distL="0" distR="0">
            <wp:extent cx="58102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8097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the bus partial generalized cost from the timetable, and the LRT partial generalized cost (all underground), in generalized minutes.</w:t>
      </w:r>
    </w:p>
    <w:p>
      <w:pPr>
        <w:pStyle w:val="Heading2"/>
        <w:spacing w:before="280" w:after="120"/>
      </w:pPr>
      <w:r>
        <w:rPr>
          <w:rFonts w:ascii="Calibri" w:cs="Calibri" w:eastAsia="Calibri" w:hAnsi="Calibri"/>
        </w:rPr>
        <w:t xml:space="preserve">5.3 Observed running times, and the bus against what bus users report</w:t>
      </w:r>
    </w:p>
    <w:p>
      <w:pPr>
        <w:spacing w:after="120" w:before="0"/>
      </w:pPr>
      <w:r>
        <w:rPr>
          <w:sz w:val="22"/>
          <w:szCs w:val="22"/>
          <w:rFonts w:ascii="Calibri" w:cs="Calibri" w:eastAsia="Calibri" w:hAnsi="Calibri"/>
        </w:rPr>
        <w:t xml:space="preserve">Every morning-peak timetable trip was routed, stop by stop, over the street network with the measured May 2026 bus link speeds (weekday 3, 07:00–08:00): 7,324 trips, 15,929 distinct stop-to-stop segments routed once each by shortest path, 94 % of the routed length on links with a measured speed, 2 % of segments falling back to the schedule. Per trip the observed in-vehicle time is 1.09 times the scheduled one (Metronit 0.87, ordinary buses 1.10). The pattern by hop length says what the speeds contain: hops under 500 m, two thirds of all hops, take exactly the scheduled time, so the link speeds include the dwell at stops; hops of 1–2 km run 1.25 times slower than scheduled and hops over 2 km 1.4 times, which is the peak-hour congestion on the arterials that the timetable pads only partly. Demand-weighted on the trunk pairs the observed in-vehicle time is 14.4 minutes against 10.4 scheduled. The long interurban timetables are padded (observed 0.88 of schedule on pairs over 30 scheduled minutes), except from Nazareth, where the observed times to the Haifa trunk run 8–9 minutes above the schedule.</w:t>
      </w:r>
    </w:p>
    <w:p>
      <w:pPr>
        <w:spacing w:before="120" w:after="60"/>
        <w:jc w:val="center"/>
      </w:pPr>
      <w:r>
        <w:drawing>
          <wp:inline distT="0" distB="0" distL="0" distR="0">
            <wp:extent cx="5810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6. Observed against scheduled bus in-vehicle time per area pair (left) and the observed-to-scheduled ratio by hop length with the measured-link coverage (right).</w:t>
      </w:r>
    </w:p>
    <w:p>
      <w:pPr>
        <w:spacing w:after="120" w:before="0"/>
      </w:pPr>
      <w:r>
        <w:rPr>
          <w:sz w:val="22"/>
          <w:szCs w:val="22"/>
          <w:rFonts w:ascii="Calibri" w:cs="Calibri" w:eastAsia="Calibri" w:hAnsi="Calibri"/>
        </w:rPr>
        <w:t xml:space="preserve">The surveyed bus trips of 2b were then compared, pair by pair, with the GTFS-based door-to-door time for their area pair: observed in-vehicle time plus walking to the nearest served stop plus half the pooled headway. On the pairs with a direct service, which carry 97 % of the surveyed bus trips, this gives 24.3 minutes (in-vehicle 17.1, walk 5.3, wait 1.9) against 31.8 reported. The ratio is not constant: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41"/>
        <w:gridCol w:w="1206"/>
        <w:gridCol w:w="1485"/>
        <w:gridCol w:w="1485"/>
        <w:gridCol w:w="1577"/>
        <w:gridCol w:w="1206"/>
      </w:tblGrid>
      <w:tr>
        <w:trPr>
          <w:tblHeader/>
        </w:trPr>
        <w:tc>
          <w:tcPr>
            <w:tcW w:type="dxa" w:w="2041"/>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Area pairs</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Sampled bus trips</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door-to-door (min)</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observed in-vehicle (min)</w:t>
            </w:r>
          </w:p>
        </w:tc>
        <w:tc>
          <w:tcPr>
            <w:tcW w:type="dxa" w:w="1577"/>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door-to-door (min)</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 GTFS</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All with a direct service</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99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31.8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17.1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24.3</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Trunk to trunk</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26.8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20.0</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Under 3 km apart</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57</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7.8</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13.7</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1.9</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28.9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18.7</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1.1</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50.2</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27.3</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36.9</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20–60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54.3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55.9</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70.4</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0.8</w:t>
            </w:r>
          </w:p>
        </w:tc>
      </w:tr>
    </w:tbl>
    <w:p>
      <w:pPr>
        <w:spacing w:after="120"/>
      </w:pPr>
    </w:p>
    <w:p>
      <w:pPr>
        <w:spacing w:after="120" w:before="0"/>
      </w:pPr>
      <w:r>
        <w:rPr>
          <w:sz w:val="22"/>
          <w:szCs w:val="22"/>
          <w:rFonts w:ascii="Calibri" w:cs="Calibri" w:eastAsia="Calibri" w:hAnsi="Calibri"/>
        </w:rPr>
        <w:t xml:space="preserve">The gap is an overhead of about seven minutes rather than a proportional error: large on short pairs, gone on the longest. With the running time now observed, it is what a best direct service does not carry — the transfer that a share of bus journeys involve and the wait for the line actually needed rather than the pooled headway of everything that passes. Only three pairs hold three or more sampled trips, so this is a trip-level comparison by distance band, not a pair-level fit. For the capture model it is the calibration margin for the bus generalized cost: either add the overhead, or replace the pooled wait by the headway of the route actually used.</w:t>
      </w:r>
    </w:p>
    <w:p>
      <w:pPr>
        <w:spacing w:before="120" w:after="6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3622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7. Bus: the GTFS-based door-to-door time (observed in-vehicle time, walk and wait) against what surveyed bus users report — by area pair (left, indicative) and by distance band (right).</w:t>
      </w:r>
    </w:p>
    <w:p>
      <w:pPr>
        <w:pStyle w:val="Heading2"/>
        <w:spacing w:before="280" w:after="120"/>
      </w:pPr>
      <w:r>
        <w:rPr>
          <w:rFonts w:ascii="Calibri" w:cs="Calibri" w:eastAsia="Calibri" w:hAnsi="Calibri"/>
        </w:rPr>
        <w:t xml:space="preserve">5.4 What decides the answer now</w:t>
      </w:r>
    </w:p>
    <w:p>
      <w:pPr>
        <w:spacing w:after="120" w:before="0"/>
      </w:pPr>
      <w:r>
        <w:rPr>
          <w:sz w:val="22"/>
          <w:szCs w:val="22"/>
          <w:rFonts w:ascii="Calibri" w:cs="Calibri" w:eastAsia="Calibri" w:hAnsi="Calibri"/>
        </w:rPr>
        <w:t xml:space="preserve">Revision 1 said the LRT speed was the decisive input. With the function transferred through the Red Line’s actual spacing and the bus running times observed rather than scheduled, it no longer is: the LRT’s in-vehicle time on the trunk pairs is three minutes below the buses’ observed running time underground and four minutes above it at ground level. What separates the LRT from the bus in this first fill is station access, and that is a matter of the access model — feeder buses to the stations, the walking network instead of a straight-line detour factor, park-and-ride where the station plan allows — and of the station plan itself, not of the travel-time function. The two inputs to obtain first are therefore the alignment and stations beyond Hamifrats and on the three branches, without which 15 of the 25 areas have no LRT time at all, and an access treatment for the LRT. The money components are out of the comparison by decision: the flat, integrated fare with a daily cap is the same for every transit mode and every pair, and against the car it is a constant per trip that the pivot on the observed shares absorbs.</w:t>
      </w:r>
    </w:p>
    <w:p>
      <w:pPr>
        <w:pStyle w:val="Heading1"/>
        <w:spacing w:before="360" w:after="160"/>
      </w:pPr>
      <w:r>
        <w:rPr>
          <w:rFonts w:ascii="Calibri" w:cs="Calibri" w:eastAsia="Calibri" w:hAnsi="Calibri"/>
        </w:rPr>
        <w:t xml:space="preserve">6. Part D — the bus network today: level of service per TAZ from the GTFS</w:t>
      </w:r>
    </w:p>
    <w:p>
      <w:pPr>
        <w:spacing w:after="120" w:before="0"/>
      </w:pPr>
      <w:r>
        <w:rPr>
          <w:sz w:val="22"/>
          <w:szCs w:val="22"/>
          <w:rFonts w:ascii="Calibri" w:cs="Calibri" w:eastAsia="Calibri" w:hAnsi="Calibri"/>
        </w:rPr>
        <w:t xml:space="preserve">The national timetable of 22 May 2026 was reduced to the study area on its representative Tuesday, 2 June 2026: 12,845 stops in 730 of the 781 TAZs, 33,499 trips calling at them on the day, 7,324 of them departing a study-area stop between 06:00 and 09:00. For every TAZ, for all buses and for the Metronit separately, the table Output/gtfs/bus_los_taz.csv gives the served stops, the lines, the departures in the three hours and in the peak hour, the combined headway of everything that passes, the headway of the best single line, the number of TAZs reachable without a transfer (and within 30 scheduled minutes), the distance from the TAZ centroid to the nearest stop, and a frequency grade in the TCQSM classes (A ≤ 10 min, B ≤ 15, C ≤ 20, D ≤ 30, E ≤ 60). The grade on the best single line is the informative one; the combined headway grades almost every TAZ A because some bus passes every few minutes.</w:t>
      </w:r>
    </w:p>
    <w:p>
      <w:pPr>
        <w:spacing w:after="120" w:before="0"/>
      </w:pPr>
      <w:r>
        <w:rPr>
          <w:sz w:val="22"/>
          <w:szCs w:val="22"/>
          <w:rFonts w:ascii="Calibri" w:cs="Calibri" w:eastAsia="Calibri" w:hAnsi="Calibri"/>
        </w:rPr>
        <w:t xml:space="preserve">The Metronit was tagged by its route codes in the feed. The five codes supplied with the request were checked: only 83001 (line 1) is a Metronit route; 83003 and 83005 belong to local lines in Kiryat Malachi and Arara BaNegev, and 83002 and 83004 do not exist. The lines in the feed, all under Superbus, are 83001 (line 1, Hof HaCarmel – Krayot), 67002 (line 2, Bat Galim – Kiryat Ata), 67003 (line 3, Krayot loop), 62004 (line 4, via the Carmel tunnels) and 52005 (line 5, Yagur). The notebook prints every matched route so the tagging can be audited.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55"/>
        <w:gridCol w:w="818"/>
        <w:gridCol w:w="1545"/>
        <w:gridCol w:w="1727"/>
        <w:gridCol w:w="1455"/>
      </w:tblGrid>
      <w:tr>
        <w:trPr>
          <w:tblHeader/>
        </w:trPr>
        <w:tc>
          <w:tcPr>
            <w:tcW w:type="dxa" w:w="20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V2 area</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(unserved in the peak hour)</w:t>
            </w:r>
          </w:p>
        </w:tc>
        <w:tc>
          <w:tcPr>
            <w:tcW w:type="dxa" w:w="8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Lines</w:t>
            </w:r>
          </w:p>
        </w:tc>
        <w:tc>
          <w:tcPr>
            <w:tcW w:type="dxa" w:w="154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Best-line headway (min, median TAZ)</w:t>
            </w:r>
          </w:p>
        </w:tc>
        <w:tc>
          <w:tcPr>
            <w:tcW w:type="dxa" w:w="1727"/>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reachable without transfer in 30 min</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with a Metronit stop</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Hamifrats</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Bat Galim-Kiryat Eliezer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Lower City</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Bialik Center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Yam B+C</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Tirat Carmel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(3)</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North-East</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Shefaram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Hamovil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Nazareth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bl>
    <w:p>
      <w:pPr>
        <w:spacing w:after="200"/>
      </w:pPr>
      <w:r>
        <w:rPr>
          <w:i/>
          <w:iCs/>
          <w:color w:val="52514E"/>
          <w:sz w:val="18"/>
          <w:szCs w:val="18"/>
          <w:rFonts w:ascii="Calibri" w:cs="Calibri" w:eastAsia="Calibri" w:hAnsi="Calibri"/>
        </w:rPr>
        <w:t xml:space="preserve">A selection of the 25 areas; the full table is in the notebook. 719 of the 781 TAZs have a peak-hour departure; the 62 without are mostly zones with no stop at all (Bazan, the port, the Matam fringe, Kiryat Ata industry).</w:t>
      </w:r>
    </w:p>
    <w:p>
      <w:pPr>
        <w:spacing w:after="120" w:before="0"/>
      </w:pPr>
      <w:r>
        <w:rPr>
          <w:sz w:val="22"/>
          <w:szCs w:val="22"/>
          <w:rFonts w:ascii="Calibri" w:cs="Calibri" w:eastAsia="Calibri" w:hAnsi="Calibri"/>
        </w:rPr>
        <w:t xml:space="preserve">The Haifa trunk is A to B on the best line and reaches 40 to 100 TAZs without a transfer within half an hour. The branches are weaker in kind: the Kiryat Ata branch has 18 to 20 minute best-line headways, five of its fourteen TAZs unserved in the peak hour and a direct reach of ten TAZs; Shefaram and Hamovil 20 and 30 minutes; Nazareth is dense (2,438 peak-hour departures across its 38 TAZs) but local. Sixty TAZs have a Metronit stop, 41 of them in twenty of the 25 V2 areas; Tirat Carmel, Shefaram, Hamovil, Nazareth and Kiryat Ata North-East have none.</w:t>
      </w:r>
    </w:p>
    <w:p>
      <w:pPr>
        <w:spacing w:after="120" w:before="0"/>
      </w:pPr>
      <w:r>
        <w:rPr>
          <w:sz w:val="22"/>
          <w:szCs w:val="22"/>
          <w:rFonts w:ascii="Calibri" w:cs="Calibri" w:eastAsia="Calibri" w:hAnsi="Calibri"/>
        </w:rPr>
        <w:t xml:space="preserve">Between the 25 areas, 422 of the 600 ordered pairs have a direct bus service in the morning peak and 278 a direct Metronit service; on the trunk 82 of 90 pairs (72 by Metronit). The eight trunk pairs without one are Tirat Carmel to and from Bat Galim, Hamoshava, Lower City and Hamifrats, which need a change at Hof HaCarmel. The scheduled in-vehicle time of these direct services, their number in the peak hour and the implied headway are the bus skim of Part C.</w:t>
      </w:r>
    </w:p>
    <w:p>
      <w:pPr>
        <w:spacing w:before="120" w:after="60"/>
        <w:jc w:val="center"/>
      </w:pPr>
      <w:r>
        <w:drawing>
          <wp:inline distT="0" distB="0" distL="0" distR="0">
            <wp:extent cx="58102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6860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8. Left: bus frequency grade per TAZ on the combined peak-hour headway (Tuesday 2 June 2026, 07:00–08:00). Right: the TAZs with a Metronit stop and the Metronit stops.</w:t>
      </w:r>
    </w:p>
    <w:p>
      <w:pPr>
        <w:pStyle w:val="Heading1"/>
        <w:spacing w:before="360" w:after="160"/>
      </w:pPr>
      <w:r>
        <w:rPr>
          <w:rFonts w:ascii="Calibri" w:cs="Calibri" w:eastAsia="Calibri" w:hAnsi="Calibri"/>
        </w:rPr>
        <w:t xml:space="preserve">7. Part E — the complete skims and the first flow comparison</w:t>
      </w:r>
    </w:p>
    <w:p>
      <w:pPr>
        <w:pStyle w:val="Heading2"/>
        <w:spacing w:before="280" w:after="120"/>
      </w:pPr>
      <w:r>
        <w:rPr>
          <w:rFonts w:ascii="Calibri" w:cs="Calibri" w:eastAsia="Calibri" w:hAnsi="Calibri"/>
        </w:rPr>
        <w:t xml:space="preserve">7.1 One skim set per mode</w:t>
      </w:r>
    </w:p>
    <w:p>
      <w:pPr>
        <w:spacing w:after="120" w:before="0"/>
      </w:pPr>
      <w:r>
        <w:rPr>
          <w:sz w:val="22"/>
          <w:szCs w:val="22"/>
          <w:rFonts w:ascii="Calibri" w:cs="Calibri" w:eastAsia="Calibri" w:hAnsi="Calibri"/>
        </w:rPr>
        <w:t xml:space="preserve">The components of Part C were assembled into one complete 25 × 25 skim per mode — in-vehicle time, walk, wait, transfers, partial generalized cost and a status for every cell — for car, bus, Metronit, LRT all underground and LRT all ground (Output/skims/skims_area_v2.xlsx, one sheet per mode and component, and the same as CSV). Car is full from the survey; bus is the observed running time of the direct services on 422 pairs and a scaled fastest-path floor with one transfer on the other 178; the Metronit is a direct-service skim on 278 pairs and not available elsewhere. The LRT, which the drawn line serves on ten areas only, is extended to all 25 through a feeder leg: from an area off the line the traveller rides to the cheapest gateway station and transfers. The feeder is the bus, with the eight-minute transfer penalty, or — where a direct Metronit service reaches the gateway — the Metronit, with the LRT–Metronit transfer free by decision; both ends off the line combine two such legs. The gateway and the feeder modes are recorded per pair. Money is out of the comparison by decision: the transit fare in the area is flat and integrated with a daily cap, the same for bus, Metronit and LRT and for every pair, and against the car a constant per trip.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20"/>
        <w:gridCol w:w="1194"/>
        <w:gridCol w:w="1378"/>
        <w:gridCol w:w="918"/>
        <w:gridCol w:w="918"/>
        <w:gridCol w:w="1102"/>
        <w:gridCol w:w="1469"/>
      </w:tblGrid>
      <w:tr>
        <w:trPr>
          <w:tblHeader/>
        </w:trPr>
        <w:tc>
          <w:tcPr>
            <w:tcW w:type="dxa" w:w="20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1194"/>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Pairs skimmed</w:t>
            </w:r>
          </w:p>
        </w:tc>
        <w:tc>
          <w:tcPr>
            <w:tcW w:type="dxa" w:w="137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Trunk pairs: IVT</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102"/>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GC</w:t>
            </w:r>
          </w:p>
        </w:tc>
        <w:tc>
          <w:tcPr>
            <w:tcW w:type="dxa" w:w="1469"/>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All pairs: GC</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14.7</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598</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14.9</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27.8</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38.5</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278</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25.6</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31.0 (its pairs)</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12.6</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64.6</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51.8</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70.0</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design 50 km/h + 10 s (specified)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8.0</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39.4</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61.1</w:t>
            </w:r>
          </w:p>
        </w:tc>
      </w:tr>
    </w:tbl>
    <w:p>
      <w:pPr>
        <w:spacing w:after="200"/>
      </w:pPr>
      <w:r>
        <w:rPr>
          <w:i/>
          <w:iCs/>
          <w:color w:val="52514E"/>
          <w:sz w:val="18"/>
          <w:szCs w:val="18"/>
          <w:rFonts w:ascii="Calibri" w:cs="Calibri" w:eastAsia="Calibri" w:hAnsi="Calibri"/>
        </w:rPr>
        <w:t xml:space="preserve">Minutes, weighted by the 2022 transit trips of each pair; the trunk pairs are the 90 pairs among the ten station areas. GC = IVT + 2 × walk + 2 × wait + 8 × penalised transfers, in generalized minutes; the LRT premium is not in the skim.</w:t>
      </w:r>
    </w:p>
    <w:p>
      <w:pPr>
        <w:spacing w:after="120" w:before="0"/>
      </w:pPr>
      <w:r>
        <w:rPr>
          <w:sz w:val="22"/>
          <w:szCs w:val="22"/>
          <w:rFonts w:ascii="Calibri" w:cs="Calibri" w:eastAsia="Calibri" w:hAnsi="Calibri"/>
        </w:rPr>
        <w:t xml:space="preserve">On physical cost the LRT is dearer than the bus on 560 of the 598 pairs — on the trunk by 4 to 28 generalized minutes, median 15 — and what makes it dearer on the trunk is station access: 13.2 minutes of walking against 4.8 to the nearest bus stop, weighted twice. Off the line it is the feeder ride. With the five-minute premium the LRT is the cheaper transit mode on 96 pairs carrying 441 of the transit trips.</w:t>
      </w:r>
    </w:p>
    <w:p>
      <w:pPr>
        <w:pStyle w:val="Heading2"/>
        <w:spacing w:before="280" w:after="120"/>
      </w:pPr>
      <w:r>
        <w:rPr>
          <w:rFonts w:ascii="Calibri" w:cs="Calibri" w:eastAsia="Calibri" w:hAnsi="Calibri"/>
        </w:rPr>
        <w:t xml:space="preserve">7.2 The 2022 flows do not calibrate the cost sensitivity</w:t>
      </w:r>
    </w:p>
    <w:p>
      <w:pPr>
        <w:spacing w:after="120" w:before="0"/>
      </w:pPr>
      <w:r>
        <w:rPr>
          <w:sz w:val="22"/>
          <w:szCs w:val="22"/>
          <w:rFonts w:ascii="Calibri" w:cs="Calibri" w:eastAsia="Calibri" w:hAnsi="Calibri"/>
        </w:rPr>
        <w:t xml:space="preserve">The plan was to read the cost sensitivity off revealed behaviour: the observed 2022 transit share of each pair against the bus’s cost handicap over the car. On 573 pairs and 67,700 car and transit trips the fit returns the wrong sign, and no sensitivity at all once a constant per distance band is allowed. The transit share is 0.11 under three kilometres, 0.25 at three to six, 0.16 to 0.17 at six to twenty and 0.41 beyond twenty (Nazareth, Shefaram), while the bus’s handicap grows steadily from 11 to 28 generalized minutes over the same bands: the pairs where the bus is worst placed are those whose travellers are least car-available, and car availability is not in the skims. The cross-section identifies car availability, not cost. The sensitivity is therefore assumed — 0.03 per generalized minute, a range of 0.02 to 0.05, twice that within the transit nest — with the observed shares entering only as the pivot; fitting it properly needs a segmented estimation on the survey’s person records.</w:t>
      </w:r>
    </w:p>
    <w:p>
      <w:pPr>
        <w:spacing w:before="120" w:after="60"/>
        <w:jc w:val="center"/>
      </w:pPr>
      <w:r>
        <w:drawing>
          <wp:inline distT="0" distB="0" distL="0" distR="0">
            <wp:extent cx="58102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34327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9. The observed 2022 transit share of each pair against the skim cost difference (bus minus car); the orange line is the trip-weighted share by band, the black line the fitted logit, whose slope has the wrong sign.</w:t>
      </w:r>
    </w:p>
    <w:p>
      <w:pPr>
        <w:pStyle w:val="Heading2"/>
        <w:spacing w:before="280" w:after="120"/>
      </w:pPr>
      <w:r>
        <w:rPr>
          <w:rFonts w:ascii="Calibri" w:cs="Calibri" w:eastAsia="Calibri" w:hAnsi="Calibri"/>
        </w:rPr>
        <w:t xml:space="preserve">7.3 What the LRT would take, on the 2022 market between the 25 areas</w:t>
      </w:r>
    </w:p>
    <w:p>
      <w:pPr>
        <w:spacing w:after="120" w:before="0"/>
      </w:pPr>
      <w:r>
        <w:rPr>
          <w:sz w:val="22"/>
          <w:szCs w:val="22"/>
          <w:rFonts w:ascii="Calibri" w:cs="Calibri" w:eastAsia="Calibri" w:hAnsi="Calibri"/>
        </w:rPr>
        <w:t xml:space="preserve">A nested incremental logit pivoted on the observed trips of each pair — with the LRT removed it returns 2022 exactly — splits the transit trips between bus and LRT on the cost difference less the premium, and lets the improved transit nest draw a little from the car. The market is the 11,664 bus and rail trips and 56,445 car trips made between the 25 areas in the three morning hours of 2022; nothing from outside the areas, no growth to 2040, no capacity, no route choice against the buses that remain.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22"/>
        <w:gridCol w:w="1469"/>
        <w:gridCol w:w="918"/>
        <w:gridCol w:w="918"/>
        <w:gridCol w:w="1194"/>
        <w:gridCol w:w="1378"/>
      </w:tblGrid>
      <w:tr>
        <w:trPr>
          <w:tblHeader/>
        </w:trPr>
        <w:tc>
          <w:tcPr>
            <w:tcW w:type="dxa" w:w="3122"/>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Scenario and case</w:t>
            </w:r>
          </w:p>
        </w:tc>
        <w:tc>
          <w:tcPr>
            <w:tcW w:type="dxa" w:w="1469"/>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 trips 06:00–09:00</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from bus</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from car</w:t>
            </w:r>
          </w:p>
        </w:tc>
        <w:tc>
          <w:tcPr>
            <w:tcW w:type="dxa" w:w="1194"/>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share of transit</w:t>
            </w:r>
          </w:p>
        </w:tc>
        <w:tc>
          <w:tcPr>
            <w:tcW w:type="dxa" w:w="137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trunk pairs: share of transit</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central (λ 0.03, premium 5, free LRT–Metronit transfer)</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3,332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3,037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295</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34 %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4,855 / 2,357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36 % / 19 %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42 % / 25 %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premium 0 / 10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2,658 / 4,122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22 % / 32 %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28 % / 41 %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central</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2,544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2,375</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169</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21 %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4,277 / 1,472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32 % / 12 %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36 % / 14 %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premium 0 / 10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1,999 / 3,200</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 / 26 %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20 % / 31 %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Design 50 km/h + 10 s, central</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3,970</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3,534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437</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40 %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Design 50 km/h + 10 s,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5,272 / 3,227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 / 26 %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45 % / 35 %</w:t>
            </w:r>
          </w:p>
        </w:tc>
      </w:tr>
    </w:tbl>
    <w:p>
      <w:pPr>
        <w:spacing w:after="120" w:before="0"/>
      </w:pPr>
      <w:r>
        <w:rPr>
          <w:sz w:val="22"/>
          <w:szCs w:val="22"/>
          <w:rFonts w:ascii="Calibri" w:cs="Calibri" w:eastAsia="Calibri" w:hAnsi="Calibri"/>
        </w:rPr>
        <w:t xml:space="preserve">Two of the three assumptions each add about a fifth to the central figure: without the premium the underground line takes 2,658 trips, some 400 of which the free Metronit transfer brings in from the Krayot; with a ten-minute premium 4,122. The range across the cost sensitivity, 2,357 to 4,855, is wider than the difference between the two alignments. In the specified design regime the line draws 3,970 trips, a fifth more than underground — what the ceiling of the alignment is worth, and less than the range across λ. The trips board mostly at the two Krayot-facing ends — Hamifrats 995 and Namal-Giborim 747, where the Metronit feeders arrive — then Hecht-Shprintzak 391 and Bat Galim 353; the largest single flows run to the Matam employment end from Bat Galim (122), Hecht-Shprintzak (116) and Tirat Carmel (104), then Nazareth to the Lower City (75) by feeder bus.</w:t>
      </w:r>
    </w:p>
    <w:p>
      <w:pPr>
        <w:spacing w:before="120" w:after="60"/>
        <w:jc w:val="center"/>
      </w:pPr>
      <w:r>
        <w:drawing>
          <wp:inline distT="0" distB="0" distL="0" distR="0">
            <wp:extent cx="581025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5148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10. The nine trunk links, both directions: today’s bus movements (grey) against the LRT loads of the central case, underground (blue) and ground (orange); the whiskers span the cost-sensitivity range.</w:t>
      </w:r>
    </w:p>
    <w:p>
      <w:pPr>
        <w:spacing w:after="120" w:before="0"/>
      </w:pPr>
      <w:r>
        <w:rPr>
          <w:sz w:val="22"/>
          <w:szCs w:val="22"/>
          <w:rFonts w:ascii="Calibri" w:cs="Calibri" w:eastAsia="Calibri" w:hAnsi="Calibri"/>
        </w:rPr>
        <w:t xml:space="preserve">On the trunk links the underground line carries 79 to 995 trips per link and direction over the three hours (47 to 588 in the peak hour), a third to 45 % of the bus movements on the same links today and 84 % on Namal-Giborim to Hamifrats towards the Krayot, where the feeder trips concentrate; the ground scenario carries 44 to 595. These are the loads of the corridor-internal 2022 market only; the external trips would add to them, the buses that keep running in parallel would take from them.</w:t>
      </w:r>
    </w:p>
    <w:p>
      <w:pPr>
        <w:pStyle w:val="Heading2"/>
        <w:spacing w:before="280" w:after="120"/>
      </w:pPr>
      <w:r>
        <w:rPr>
          <w:rFonts w:ascii="Calibri" w:cs="Calibri" w:eastAsia="Calibri" w:hAnsi="Calibri"/>
        </w:rPr>
        <w:t xml:space="preserve">7.4 The same capture on the 2040 / 2050 matrices</w:t>
      </w:r>
    </w:p>
    <w:p>
      <w:pPr>
        <w:spacing w:after="120" w:before="0"/>
      </w:pPr>
      <w:r>
        <w:rPr>
          <w:sz w:val="22"/>
          <w:szCs w:val="22"/>
          <w:rFonts w:ascii="Calibri" w:cs="Calibri" w:eastAsia="Calibri" w:hAnsi="Calibri"/>
        </w:rPr>
        <w:t xml:space="preserve">With the zonal forecast files pulled, the four demographic-reference sets of the forecast step (BU and HS, 2040 and 2050) were produced at TAZ level and aggregated to the 25 areas: transit trips between the areas grow from 11,664 to 14,836 and 16,369 under BU and to 16,076 and 18,291 under HS, car trips a little faster, so the no-build transit share stays at 0.16–0.17 by construction. The capture applied to them, with the skims held at today’s conditions, gives 4,114 and 4,498 LRT trips underground under BU and 4,520 and 5,354 under HS (ground level 3,105 / 3,386 and 3,430 / 4,047): the capture rate is the same as in 2022 — 28 to 29 % of the transit trips underground — because nothing in the skims changes with the year; what changes is the market and where it grows. BU grows Tirat Carmel and the Krayot branch, HS the Carmel coast (Matam, Hof Carmel, Bat Galim) and the western Krayot, and the boardings follow: Hamifrats stays the largest station area in every scenario (995 today, 1,717 by HS 2050), Tirat Carmel more than doubles under BU, Bat Galim and Matam under HS. The busiest trunk link, Namal-Giborim to Hamifrats towards the Krayot, goes from 995 trips in the three hours today to 1,367 (BU 2050) and 1,717 (HS 2050) — about 1,000 in the peak hour by HS 2050; in the design regime 6,432 trips by HS 2050 and 2,104 on that link, about 1,250 in the peak hour.</w:t>
      </w:r>
    </w:p>
    <w:p>
      <w:pPr>
        <w:pStyle w:val="Heading1"/>
        <w:spacing w:before="360" w:after="160"/>
      </w:pPr>
      <w:r>
        <w:rPr>
          <w:rFonts w:ascii="Calibri" w:cs="Calibri" w:eastAsia="Calibri" w:hAnsi="Calibri"/>
        </w:rPr>
        <w:t xml:space="preserve">8. Part F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 design_50kmh}.csv (+ …_section_form, …_nominal500m_form)</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the decomposed form is the estimate, the other two are bounds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(40.7 / 65.8 min end to end); the 38 %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nominal 500 m form (revision 1, superseded);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gtfs/bus_los_taz.csv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Bus and Metronit level of service per TAZ from the timetable of 22 May 2026 (Tuesday 2 June)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TAZs and areas by service; the BRT-access flag; catchment and station-area work</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Observed operations (it is the schedule); the combined-headway grade as a measure of service to one destination</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gtfs/bus_direct_skim_area_v2.csv, gtfs/bus_observed_skim_area_v2.csv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Scheduled and observed in-vehicle time, trips and headway of the direct services between the 25 areas, bus and Metronit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bus in-vehicle time (observed), wait and transfer count of the generalized cost on the 422 pairs with a direct service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Pairs without a direct service (transfer paths not built); door-to-door time without the seven-minute overhead of 5.3</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(car, bus, brt, lrt),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including the Metronit;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 (LRT access by straight-line walk; the LRT off the line only through a feeder)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skims/skims_area_v2.xlsx, skim_{mode}_{component}.csv, skims_area_v2_long.csv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One complete 25 × 25 skim set per mode — car, bus, Metronit, LRT underground, LRT ground — with in-vehicle time, walk, wait, transfers, partial generalized cost and a status per cell; the LRT off the line through a feeder (bus, or Metronit with a free transfer) to the cheapest gateway station, recorded per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comparing modes pair by pair; feeding any assignment or appraisal that works on the 25 areas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Intra-area cells (not skimmed); TAZ-level questions; the 178 bus pairs without a direct service (a scaled floor with one transfer assumed)</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skims/lrt_capture_scenarios.csv, lrt_trips_2022_*_central.csv, trunk_link_flows_bus_vs_lrt.csv, lrt_boardings_by_station_area_central.csv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LRT trips per pair, by scenario and case, and their loads on the nine trunk links against today’s bus movements; boardings by station area</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order of magnitude of the corridor-internal market the LRT would take in 2022 conditions and where it loads; sensitivity to the three assumptions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ridership forecast: no external trips, no forecast-year growth, no capacity, no route choice against the buses that remain; the sensitivity is assumed, not estimated</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forecast_taz/{BU_2040, BU_2050, HS_2040, HS_2050}/</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four demographic-reference matrix sets at TAZ level (car, transit, taxi-type, total), grown from the final 2022 layers on the zonal forecasts; dry_run/ keeps the mechanics test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growth by scenario and where it falls; the no-build input to the capture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forecast of mode choice or destination choice (both held at 2022); taxi-type row margins (unconverged to 10–15 %)</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forecast sets on the 25 areas and the step 31 capture run on each: LRT trips per pair, boardings, trunk-link loads by scenario-year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order of magnitude and growth of the LRT’s corridor-internal market to 2040 / 2050; the tilt of the trunk loads by reference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ridership forecast: today’s skims, no external trips, no capacity, assumptions not estimates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for the LRT, the decomposed form unless a bound is meant.</w:t>
      </w:r>
    </w:p>
    <w:p>
      <w:pPr>
        <w:pStyle w:val="Heading1"/>
        <w:spacing w:before="360" w:after="160"/>
      </w:pPr>
      <w:r>
        <w:rPr>
          <w:rFonts w:ascii="Calibri" w:cs="Calibri" w:eastAsia="Calibri" w:hAnsi="Calibri"/>
        </w:rPr>
        <w:t xml:space="preserve">9.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the Red Line and transferred to Haifa’s spacing through the Red Line’s scheduled running time and stop penalty. The level is the calibration’s; the split between running and dwell is the schedule’s. A regime per section of the actual design would replace the two pure scenarios.</w:t>
      </w:r>
    </w:p>
    <w:p>
      <w:pPr>
        <w:pStyle w:val="ListParagraph"/>
        <w:numPr>
          <w:ilvl w:val="0"/>
          <w:numId w:val="3"/>
        </w:numPr>
        <w:spacing w:after="80"/>
      </w:pPr>
      <w:r>
        <w:rPr>
          <w:sz w:val="22"/>
          <w:szCs w:val="22"/>
          <w:rFonts w:ascii="Calibri" w:cs="Calibri" w:eastAsia="Calibri" w:hAnsi="Calibri"/>
        </w:rPr>
        <w:t xml:space="preserve">The bus generalized cost is the best direct service at its observed running time. Bus users report seven minutes more door to door; the 178 area pairs without a direct service, eight of them on the trunk, have no transfer path yet. The observed times route each trip by shortest path between its stops, and 13.5 % of the hops needed link direction ignored to route plausibly.</w:t>
      </w:r>
    </w:p>
    <w:p>
      <w:pPr>
        <w:pStyle w:val="ListParagraph"/>
        <w:numPr>
          <w:ilvl w:val="0"/>
          <w:numId w:val="3"/>
        </w:numPr>
        <w:spacing w:after="80"/>
      </w:pPr>
      <w:r>
        <w:rPr>
          <w:sz w:val="22"/>
          <w:szCs w:val="22"/>
          <w:rFonts w:ascii="Calibri" w:cs="Calibri" w:eastAsia="Calibri" w:hAnsi="Calibri"/>
        </w:rPr>
        <w:t xml:space="preserve">The LRT’s access is a straight-line walk from TAZ centroids to 24 stations, the bus’s to the nearest of 12,845 stops. The comparison between them is dominated by that difference until feeder access is modelled.</w:t>
      </w:r>
    </w:p>
    <w:p>
      <w:pPr>
        <w:pStyle w:val="ListParagraph"/>
        <w:numPr>
          <w:ilvl w:val="0"/>
          <w:numId w:val="3"/>
        </w:numPr>
        <w:spacing w:after="80"/>
      </w:pPr>
      <w:r>
        <w:rPr>
          <w:sz w:val="22"/>
          <w:szCs w:val="22"/>
          <w:rFonts w:ascii="Calibri" w:cs="Calibri" w:eastAsia="Calibri" w:hAnsi="Calibri"/>
        </w:rPr>
        <w:t xml:space="preserve">Money is out of the comparison by decision (the flat, integrated fare with a daily cap). The cost sensitivity, the LRT premium and the free LRT–Metronit transfer are assumptions, not estimates; the capture numbers move by a third across their ranges.</w:t>
      </w:r>
    </w:p>
    <w:p>
      <w:pPr>
        <w:pStyle w:val="ListParagraph"/>
        <w:numPr>
          <w:ilvl w:val="0"/>
          <w:numId w:val="3"/>
        </w:numPr>
        <w:spacing w:after="80"/>
      </w:pPr>
      <w:r>
        <w:rPr>
          <w:sz w:val="22"/>
          <w:szCs w:val="22"/>
          <w:rFonts w:ascii="Calibri" w:cs="Calibri" w:eastAsia="Calibri" w:hAnsi="Calibri"/>
        </w:rPr>
        <w:t xml:space="preserve">The 2040 / 2050 matrices are a demographic reference: margins grown from the zonal forecasts, destination choice and mode split at 2022. The capture on them (Part E) applies today’s skims unchanged.</w:t>
      </w:r>
    </w:p>
    <w:p>
      <w:pPr>
        <w:pStyle w:val="Heading1"/>
        <w:spacing w:before="360" w:after="160"/>
      </w:pPr>
      <w:r>
        <w:rPr>
          <w:rFonts w:ascii="Calibri" w:cs="Calibri" w:eastAsia="Calibri" w:hAnsi="Calibri"/>
        </w:rPr>
        <w:t xml:space="preserve">10.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LRT access. </w:t>
      </w:r>
      <w:r>
        <w:rPr>
          <w:sz w:val="22"/>
          <w:szCs w:val="22"/>
          <w:rFonts w:ascii="Calibri" w:cs="Calibri" w:eastAsia="Calibri" w:hAnsi="Calibri"/>
        </w:rPr>
        <w:t xml:space="preserve">Feeder-bus access to the stations from the GTFS, a walking network instead of the straight-line detour factor, and park-and-ride where the station plan allows. This is what the generalized-cost comparison now turns on.</w:t>
      </w:r>
    </w:p>
    <w:p>
      <w:pPr>
        <w:pStyle w:val="ListParagraph"/>
        <w:numPr>
          <w:ilvl w:val="0"/>
          <w:numId w:val="3"/>
        </w:numPr>
        <w:spacing w:after="80"/>
      </w:pPr>
      <w:r>
        <w:rPr>
          <w:b/>
          <w:bCs/>
          <w:sz w:val="22"/>
          <w:szCs w:val="22"/>
          <w:rFonts w:ascii="Calibri" w:cs="Calibri" w:eastAsia="Calibri" w:hAnsi="Calibri"/>
        </w:rPr>
        <w:t xml:space="preserve">Bus transfer paths. </w:t>
      </w:r>
      <w:r>
        <w:rPr>
          <w:sz w:val="22"/>
          <w:szCs w:val="22"/>
          <w:rFonts w:ascii="Calibri" w:cs="Calibri" w:eastAsia="Calibri" w:hAnsi="Calibri"/>
        </w:rPr>
        <w:t xml:space="preserve">The 178 area pairs without a direct service, and the wait set to the headway of the route actually used.</w:t>
      </w:r>
    </w:p>
    <w:p>
      <w:pPr>
        <w:pStyle w:val="ListParagraph"/>
        <w:numPr>
          <w:ilvl w:val="0"/>
          <w:numId w:val="3"/>
        </w:numPr>
        <w:spacing w:after="80"/>
      </w:pPr>
      <w:r>
        <w:rPr>
          <w:b/>
          <w:bCs/>
          <w:sz w:val="22"/>
          <w:szCs w:val="22"/>
          <w:rFonts w:ascii="Calibri" w:cs="Calibri" w:eastAsia="Calibri" w:hAnsi="Calibri"/>
        </w:rPr>
        <w:t xml:space="preserve">The cost sensitivity. </w:t>
      </w:r>
      <w:r>
        <w:rPr>
          <w:sz w:val="22"/>
          <w:szCs w:val="22"/>
          <w:rFonts w:ascii="Calibri" w:cs="Calibri" w:eastAsia="Calibri" w:hAnsi="Calibri"/>
        </w:rPr>
        <w:t xml:space="preserve">A segmented mode-choice estimation on the survey’s person records (car availability, purpose), or a value transferred from the national model with its source; confirm the walk / wait / transfer weights, the LRT premium and the free LRT–Metronit transfer against נוהל פר"ת.</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 a regime (underground / ground) per section of the actual LRT design.</w:t>
      </w:r>
    </w:p>
    <w:p>
      <w:pPr>
        <w:pStyle w:val="Heading1"/>
        <w:spacing w:before="360" w:after="160"/>
      </w:pPr>
      <w:r>
        <w:rPr>
          <w:rFonts w:ascii="Calibri" w:cs="Calibri" w:eastAsia="Calibri" w:hAnsi="Calibri"/>
        </w:rPr>
        <w:t xml:space="preserve">11.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lrt_calibration_redline_spacing_check.csv; lrt_station_distances_km.csv; lrt_station_times_{all_underground, all_ground}.csv (decomposed form) with _section_form and _nominal500m_form; lrt_end_to_end_summary.csv;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Output/gtfs/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bus_los_taz.csv (781 TAZs, bus and Metronit metrics, grades, BRT access); bus_direct_skim_area_v2.csv (422 area pairs, scheduled); bus_observed_skim_area_v2.csv (observed), bus_segments_observed.csv, bus_trips_observed.csv.gz; the stop and stop-time intermediates; dry_run/ (the synthetic mechanics test)</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bus_gtfs_vs_survey_summary.csv and _pairs.csv; lrt_access_taz_v2.csv, lrt_access_area_v2.csv; gc_components_area_v2_long.csv; gc_area_v2_{car, bus, brt,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 gtfs_bus_observed_vs_scheduled.png; gc_bus_gtfs_vs_survey.png; gtfs_bus_los_taz.png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revision 1.2,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cqp75jetyxa1gr-pdexm2.png"/><Relationship Id="rId8" Type="http://schemas.openxmlformats.org/officeDocument/2006/relationships/image" Target="media/kvohuqm_xiyjy7sfzalfi.png"/><Relationship Id="rId9" Type="http://schemas.openxmlformats.org/officeDocument/2006/relationships/image" Target="media/pkmhzh04cwwhbvoakxn-l.png"/><Relationship Id="rId10" Type="http://schemas.openxmlformats.org/officeDocument/2006/relationships/image" Target="media/opwlocygwp2vbntnngetg.png"/><Relationship Id="rId11" Type="http://schemas.openxmlformats.org/officeDocument/2006/relationships/image" Target="media/grby1toalsfeqoigtnsrf.png"/><Relationship Id="rId12" Type="http://schemas.openxmlformats.org/officeDocument/2006/relationships/image" Target="media/vjswz9ubdetgk-dmqi1jy.png"/><Relationship Id="rId13" Type="http://schemas.openxmlformats.org/officeDocument/2006/relationships/image" Target="media/boe2cb4srqgef-z89vz5a.png"/><Relationship Id="rId14" Type="http://schemas.openxmlformats.org/officeDocument/2006/relationships/image" Target="media/r7y0d_sazq3qb50bumjbz.png"/><Relationship Id="rId15" Type="http://schemas.openxmlformats.org/officeDocument/2006/relationships/image" Target="media/ipwfirgm57ydlvncdwp3j.png"/><Relationship Id="rId16" Type="http://schemas.openxmlformats.org/officeDocument/2006/relationships/image" Target="media/_oo17orlnviwc8kfep1le.png"/><Relationship Id="rIdFont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2026-09-22T16:02:54.560Z</dcterms:created>
  <dcterms:modified xsi:type="dcterms:W3CDTF">2026-09-22T16:02:54.560Z</dcterms:modified>
</cp:coreProperties>
</file>

<file path=docProps/custom.xml><?xml version="1.0" encoding="utf-8"?>
<Properties xmlns="http://schemas.openxmlformats.org/officeDocument/2006/custom-properties" xmlns:vt="http://schemas.openxmlformats.org/officeDocument/2006/docPropsVTypes"/>
</file>