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bidi/>
        <w:spacing w:after="60" w:before="0"/>
      </w:pPr>
      <w:r>
        <w:rPr>
          <w:rFonts w:ascii="Arial" w:cs="Arial" w:eastAsia="Arial" w:hAnsi="Arial"/>
          <w:b/>
          <w:bCs/>
          <w:i w:val="false"/>
          <w:iCs w:val="false"/>
          <w:sz w:val="40"/>
          <w:szCs w:val="40"/>
          <w:rtl/>
        </w:rPr>
        <w:t xml:space="preserve">השוואת מטריצת הסקר מול מטריצת הסלולר בשיטת PCA</w:t>
      </w:r>
    </w:p>
    <w:p>
      <w:pPr>
        <w:bidi/>
        <w:spacing w:after="4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2514E"/>
          <w:sz w:val="26"/>
          <w:szCs w:val="26"/>
          <w:rtl/>
        </w:rPr>
        <w:t xml:space="preserve">הסבר פשוט של המבחנים, התוצאות והמשמעות — מקור 2018 ומקור 2017</w:t>
      </w:r>
    </w:p>
    <w:p>
      <w:pPr>
        <w:bidi/>
        <w:spacing w:after="24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2514E"/>
          <w:sz w:val="20"/>
          <w:szCs w:val="20"/>
          <w:rtl/>
        </w:rPr>
        <w:t xml:space="preserve">פרויקט הארכת הרכבת הקלה לנופית · ספטמבר 2026</w:t>
      </w:r>
    </w:p>
    <w:p>
      <w:pPr>
        <w:pStyle w:val="Heading1"/>
        <w:bidi/>
        <w:spacing w:after="160" w:before="280"/>
      </w:pPr>
      <w:r>
        <w:rPr>
          <w:rFonts w:ascii="Arial" w:cs="Arial" w:eastAsia="Arial" w:hAnsi="Arial"/>
          <w:b/>
          <w:bCs/>
          <w:i w:val="false"/>
          <w:iCs w:val="false"/>
          <w:sz w:val="32"/>
          <w:szCs w:val="32"/>
          <w:rtl/>
        </w:rPr>
        <w:t xml:space="preserve">1. מה בכלל עשינו?</w:t>
      </w:r>
    </w:p>
    <w:p>
      <w:pPr>
        <w:bidi/>
        <w:spacing w:after="12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  <w:rtl/>
        </w:rPr>
        <w:t xml:space="preserve">יש לנו שתי "תמונות" עצמאיות של אותו דבר — לאן אנשים נוסעים בשעות הבוקר (6:00–9:00) באזור המחקר: אחת מסקר הרגלי הנסיעה (מדגם של משקי בית שמדווחים על נסיעותיהם) ואחת מנתוני סלולר (מעקב אנונימי אחרי מיליוני מכשירים).</w:t>
      </w:r>
    </w:p>
    <w:p>
      <w:pPr>
        <w:bidi/>
        <w:spacing w:after="12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  <w:rtl/>
        </w:rPr>
        <w:t xml:space="preserve">השיטה, ניתוח גורמים ראשיים (PCA), לא משווה תא מול תא במטריצה, אלא שואלת שאלה מבנית: האם שתי התמונות מצוירות מאותם "קווי מתאר" — אותם דפוסים ראשיים של בחירת יעדים? כל שורה במטריצה היא אזור־מוצא, והתאים בה אומרים איזה אחוז מהנסיעות הולך לכל יעד; ה־PCA מחלץ מהשורות האלה את הדפוסים הדומיננטיים ומאפשר להשוות אותם בין המקורות.</w:t>
      </w:r>
    </w:p>
    <w:p>
      <w:pPr>
        <w:bidi/>
        <w:spacing w:after="6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  <w:rtl/>
        </w:rPr>
        <w:t xml:space="preserve">לכל מדד נתנו שני קווי ייחוס:</w:t>
      </w:r>
    </w:p>
    <w:p>
      <w:pPr>
        <w:pStyle w:val="ListParagraph"/>
        <w:numPr>
          <w:ilvl w:val="0"/>
          <w:numId w:val="2"/>
        </w:numPr>
        <w:bidi/>
        <w:spacing w:after="80"/>
      </w:pPr>
      <w:r>
        <w:rPr>
          <w:rFonts w:ascii="Arial" w:cs="Arial" w:eastAsia="Arial" w:hAnsi="Arial"/>
          <w:b/>
          <w:bCs/>
          <w:i w:val="false"/>
          <w:iCs w:val="false"/>
          <w:sz w:val="22"/>
          <w:szCs w:val="22"/>
          <w:rtl/>
        </w:rPr>
        <w:t xml:space="preserve">תקרה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  <w:rtl/>
        </w:rPr>
        <w:t xml:space="preserve"> — עד כמה הסקר מסכים עם עצמו (יום סקר ראשון מול יום סקר שני). אי אפשר לצפות שההשוואה מול הסלולר תעבור את ההסכמה של הסקר עם עצמו.</w:t>
      </w:r>
    </w:p>
    <w:p>
      <w:pPr>
        <w:pStyle w:val="ListParagraph"/>
        <w:numPr>
          <w:ilvl w:val="0"/>
          <w:numId w:val="2"/>
        </w:numPr>
        <w:bidi/>
        <w:spacing w:after="80"/>
      </w:pPr>
      <w:r>
        <w:rPr>
          <w:rFonts w:ascii="Arial" w:cs="Arial" w:eastAsia="Arial" w:hAnsi="Arial"/>
          <w:b/>
          <w:bCs/>
          <w:i w:val="false"/>
          <w:iCs w:val="false"/>
          <w:sz w:val="22"/>
          <w:szCs w:val="22"/>
          <w:rtl/>
        </w:rPr>
        <w:t xml:space="preserve">רצפה (מקריות)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  <w:rtl/>
        </w:rPr>
        <w:t xml:space="preserve"> — מה היה יוצא בלי שום קשר אמיתי, כולל מבחן תמורות: ערבבנו את שמות האזורים באקראי אלפי פעמים ובדקנו איזה ציון "מקרי" בכלל אפשרי.</w:t>
      </w:r>
    </w:p>
    <w:p>
      <w:pPr>
        <w:pStyle w:val="Heading1"/>
        <w:bidi/>
        <w:spacing w:after="160" w:before="280"/>
      </w:pPr>
      <w:r>
        <w:rPr>
          <w:rFonts w:ascii="Arial" w:cs="Arial" w:eastAsia="Arial" w:hAnsi="Arial"/>
          <w:b/>
          <w:bCs/>
          <w:i w:val="false"/>
          <w:iCs w:val="false"/>
          <w:sz w:val="32"/>
          <w:szCs w:val="32"/>
          <w:rtl/>
        </w:rPr>
        <w:t xml:space="preserve">2. התוצאות על מקור 2018 — ארבעה ממצאים</w:t>
      </w:r>
    </w:p>
    <w:p>
      <w:pPr>
        <w:bidi/>
        <w:spacing w:after="120" w:before="0"/>
      </w:pPr>
      <w:r>
        <w:rPr>
          <w:rFonts w:ascii="Arial" w:cs="Arial" w:eastAsia="Arial" w:hAnsi="Arial"/>
          <w:b/>
          <w:bCs/>
          <w:i w:val="false"/>
          <w:iCs w:val="false"/>
          <w:sz w:val="22"/>
          <w:szCs w:val="22"/>
          <w:rtl/>
        </w:rPr>
        <w:t xml:space="preserve">א. שני המקורות מספרים את אותו סיפור. 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  <w:rtl/>
        </w:rPr>
        <w:t xml:space="preserve">ציון הדמיון בין הדפוסים הראשיים: 0.76 (התקרה: 0.90, מקריות: 0.33). בערבוב אקראי של שמות האזורים אף פעם לא עברנו 0.53 — כלומר ההסכמה אמיתית ומובהקת (p ≈ 0.0005). ניסוח אחר של אותו דבר: הדפוסים של הסלולר מסבירים 93% ממה שהדפוסים של הסקר עצמו מסבירים.</w:t>
      </w:r>
    </w:p>
    <w:p>
      <w:pPr>
        <w:bidi/>
        <w:spacing w:after="120" w:before="0"/>
      </w:pPr>
      <w:r>
        <w:rPr>
          <w:rFonts w:ascii="Arial" w:cs="Arial" w:eastAsia="Arial" w:hAnsi="Arial"/>
          <w:b/>
          <w:bCs/>
          <w:i w:val="false"/>
          <w:iCs w:val="false"/>
          <w:sz w:val="22"/>
          <w:szCs w:val="22"/>
          <w:rtl/>
        </w:rPr>
        <w:t xml:space="preserve">ב. יש בדיוק מחלוקת אחת גדולה — "כמה נשארים בתוך האזור". 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  <w:rtl/>
        </w:rPr>
        <w:t xml:space="preserve">לפי הסקר, כ־72% מהנסיעות נשארות בתוך אזור המוצא; לפי הסלולר רק כ־34%. וזה כמעט כל הפער: 88% מאי־ההסכמה יושב בדיוק על השאלה הזאת. חשוב — זו לא הטיה משותפת (כמו "כולם מחסירים נסיעות למרכז מסוים"), אלא כל אזור "מתווכח" רק על עצמו.</w:t>
      </w:r>
    </w:p>
    <w:p>
      <w:pPr>
        <w:bidi/>
        <w:spacing w:after="120" w:before="0"/>
      </w:pPr>
      <w:r>
        <w:rPr>
          <w:rFonts w:ascii="Arial" w:cs="Arial" w:eastAsia="Arial" w:hAnsi="Arial"/>
          <w:b/>
          <w:bCs/>
          <w:i w:val="false"/>
          <w:iCs w:val="false"/>
          <w:sz w:val="22"/>
          <w:szCs w:val="22"/>
          <w:rtl/>
        </w:rPr>
        <w:t xml:space="preserve">ג. ברזולוציה העדינה (778 אזורי תנועה) הסקר דליל מדי. 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  <w:rtl/>
        </w:rPr>
        <w:t xml:space="preserve">שם הסקר אפילו לא מסכים עם עצמו בין שני ימי הסקר (0.43 בלבד). זה לא אומר שהסקר "טועה" — פשוט אין בו מספיק תצפיות לכל אזור קטן, ומה שנמדד שם הוא בעיקר רעש דגימה.</w:t>
      </w:r>
    </w:p>
    <w:p>
      <w:pPr>
        <w:bidi/>
        <w:spacing w:after="120" w:before="0"/>
      </w:pPr>
      <w:r>
        <w:rPr>
          <w:rFonts w:ascii="Arial" w:cs="Arial" w:eastAsia="Arial" w:hAnsi="Arial"/>
          <w:b/>
          <w:bCs/>
          <w:i w:val="false"/>
          <w:iCs w:val="false"/>
          <w:sz w:val="22"/>
          <w:szCs w:val="22"/>
          <w:rtl/>
        </w:rPr>
        <w:t xml:space="preserve">ד. אותם שני דפוסים ראשיים בשני המקורות — בסדר חשיבות הפוך. 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  <w:rtl/>
        </w:rPr>
        <w:t xml:space="preserve">אצל הסלולר הדפוס החשוב ביותר הוא "כמה האזור עצמאי" (כי זה משתנה מאוד בין אזורים), ואצל הסקר — ציר גיאוגרפי צפון–דרום (כי אצלו כל האזורים "עצמאיים" באותה מידה, אז אין שם שונות). זה הצד השני של אותה מטבע מסעיף ב.</w:t>
      </w:r>
    </w:p>
    <w:p>
      <w:pPr>
        <w:pStyle w:val="Heading1"/>
        <w:bidi/>
        <w:spacing w:after="160" w:before="280"/>
      </w:pPr>
      <w:r>
        <w:rPr>
          <w:rFonts w:ascii="Arial" w:cs="Arial" w:eastAsia="Arial" w:hAnsi="Arial"/>
          <w:b/>
          <w:bCs/>
          <w:i w:val="false"/>
          <w:iCs w:val="false"/>
          <w:sz w:val="32"/>
          <w:szCs w:val="32"/>
          <w:rtl/>
        </w:rPr>
        <w:t xml:space="preserve">3. הרצת האימות על מקור 2017 — מה יצא?</w:t>
      </w:r>
    </w:p>
    <w:p>
      <w:pPr>
        <w:bidi/>
        <w:spacing w:after="12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  <w:rtl/>
        </w:rPr>
        <w:t xml:space="preserve">את כל המבחנים הרצנו שוב, הפעם על סקר מקובץ הנסיעות של 2017 — המקור שעליו בנויה המטריצה הסופית של הפרויקט. אם התוצאות חוזרות עם קובץ אחר לגמרי, הן אמת על המציאות ולא מקריות של קובץ מסוים.</w:t>
      </w:r>
    </w:p>
    <w:p>
      <w:pPr>
        <w:bidi/>
        <w:spacing w:after="120" w:before="0"/>
      </w:pPr>
      <w:r>
        <w:rPr>
          <w:rFonts w:ascii="Arial" w:cs="Arial" w:eastAsia="Arial" w:hAnsi="Arial"/>
          <w:b/>
          <w:bCs/>
          <w:i w:val="false"/>
          <w:iCs w:val="false"/>
          <w:sz w:val="22"/>
          <w:szCs w:val="22"/>
          <w:rtl/>
        </w:rPr>
        <w:t xml:space="preserve">הכל שוחזר. 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  <w:rtl/>
        </w:rPr>
        <w:t xml:space="preserve">אותו ציון הסכמה (0.76), אותם שני דפוסים מובילים בסדר הפוך, ושוב כמעט כל אי־ההסכמה (87%) על שאלת "בפנים או בחוץ". המסקנות קיבלו חותמת אימות.</w:t>
      </w:r>
    </w:p>
    <w:p>
      <w:pPr>
        <w:bidi/>
        <w:spacing w:after="120" w:before="0"/>
      </w:pPr>
      <w:r>
        <w:rPr>
          <w:rFonts w:ascii="Arial" w:cs="Arial" w:eastAsia="Arial" w:hAnsi="Arial"/>
          <w:b/>
          <w:bCs/>
          <w:i w:val="false"/>
          <w:iCs w:val="false"/>
          <w:sz w:val="22"/>
          <w:szCs w:val="22"/>
          <w:rtl/>
        </w:rPr>
        <w:t xml:space="preserve">חדשה אחת אמיתית: קובץ 2017 נקי יותר. 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  <w:rtl/>
        </w:rPr>
        <w:t xml:space="preserve">שני ימי הסקר שלו מסכימים זה עם זה הרבה יותר, ולכן גם ההסכמה עם הסלולר ברזולוציה העדינה כמעט הוכפלה. זה אישור עצמאי לבחירה בקובץ הנסיעות כמקור הראשי.</w:t>
      </w:r>
    </w:p>
    <w:p>
      <w:pPr>
        <w:bidi/>
        <w:spacing w:after="80" w:before="12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  <w:rtl/>
        </w:rPr>
        <w:t xml:space="preserve">השוואה מספרית (ברמת העל־אזורים, 36 אזורים):</w:t>
      </w:r>
    </w:p>
    <w:tbl>
      <w:tblPr>
        <w:bidiVisual/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00"/>
        <w:gridCol w:w="2200"/>
        <w:gridCol w:w="2200"/>
      </w:tblGrid>
      <w:tr>
        <w:tc>
          <w:tcPr>
            <w:tcW w:type="dxa" w:w="4600"/>
            <w:shd w:fill="F0EF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  <w:rtl/>
              </w:rPr>
              <w:t xml:space="preserve">המדד</w:t>
            </w:r>
          </w:p>
        </w:tc>
        <w:tc>
          <w:tcPr>
            <w:tcW w:type="dxa" w:w="2200"/>
            <w:shd w:fill="F0EF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  <w:rtl/>
              </w:rPr>
              <w:t xml:space="preserve">מקור 2018</w:t>
            </w:r>
          </w:p>
        </w:tc>
        <w:tc>
          <w:tcPr>
            <w:tcW w:type="dxa" w:w="2200"/>
            <w:shd w:fill="F0EF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  <w:rtl/>
              </w:rPr>
              <w:t xml:space="preserve">מקור 2017</w:t>
            </w:r>
          </w:p>
        </w:tc>
      </w:tr>
      <w:tr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  <w:rtl/>
              </w:rPr>
              <w:t xml:space="preserve">הסכמה על הדפוסים הראשיים מול הסלולר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  <w:rtl/>
              </w:rPr>
              <w:t xml:space="preserve">0.76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  <w:rtl/>
              </w:rPr>
              <w:t xml:space="preserve">0.76</w:t>
            </w:r>
          </w:p>
        </w:tc>
      </w:tr>
      <w:tr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  <w:rtl/>
              </w:rPr>
              <w:t xml:space="preserve">תקרה: הסכמת הסקר עם עצמו (יום מול יום)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  <w:rtl/>
              </w:rPr>
              <w:t xml:space="preserve">0.90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  <w:rtl/>
              </w:rPr>
              <w:t xml:space="preserve">0.94</w:t>
            </w:r>
          </w:p>
        </w:tc>
      </w:tr>
      <w:tr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  <w:rtl/>
              </w:rPr>
              <w:t xml:space="preserve">אחוז השונות של הסקר שהדפוסים של הסלולר מסבירים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  <w:rtl/>
              </w:rPr>
              <w:t xml:space="preserve">93%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  <w:rtl/>
              </w:rPr>
              <w:t xml:space="preserve">96%</w:t>
            </w:r>
          </w:p>
        </w:tc>
      </w:tr>
      <w:tr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  <w:rtl/>
              </w:rPr>
              <w:t xml:space="preserve">אחוז הנסיעות שנשארות באזור לפי הסקר (סלולר: ~34%)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  <w:rtl/>
              </w:rPr>
              <w:t xml:space="preserve">72%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  <w:rtl/>
              </w:rPr>
              <w:t xml:space="preserve">68%</w:t>
            </w:r>
          </w:p>
        </w:tc>
      </w:tr>
      <w:tr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  <w:rtl/>
              </w:rPr>
              <w:t xml:space="preserve">חלק ה"אלכסון" מתוך אי־ההסכמה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  <w:rtl/>
              </w:rPr>
              <w:t xml:space="preserve">88%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  <w:rtl/>
              </w:rPr>
              <w:t xml:space="preserve">87%</w:t>
            </w:r>
          </w:p>
        </w:tc>
      </w:tr>
      <w:tr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  <w:rtl/>
              </w:rPr>
              <w:t xml:space="preserve">רזולוציה עדינה: הסכמת הסקר עם עצמו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  <w:rtl/>
              </w:rPr>
              <w:t xml:space="preserve">0.43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  <w:rtl/>
              </w:rPr>
              <w:t xml:space="preserve">0.60</w:t>
            </w:r>
          </w:p>
        </w:tc>
      </w:tr>
      <w:tr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  <w:rtl/>
              </w:rPr>
              <w:t xml:space="preserve">רזולוציה עדינה: הסכמה מול הסלולר (מקריות: 0.07)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  <w:rtl/>
              </w:rPr>
              <w:t xml:space="preserve">0.13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  <w:rtl/>
              </w:rPr>
              <w:t xml:space="preserve">0.23</w:t>
            </w:r>
          </w:p>
        </w:tc>
      </w:tr>
    </w:tbl>
    <w:p>
      <w:pPr>
        <w:spacing w:after="60" w:before="160"/>
        <w:jc w:val="center"/>
      </w:pPr>
      <w:r>
        <w:drawing>
          <wp:inline distT="0" distB="0" distL="0" distR="0">
            <wp:extent cx="5619750" cy="48101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9750" cy="4810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bidi/>
        <w:spacing w:after="200" w:before="0"/>
      </w:pPr>
      <w:r>
        <w:rPr>
          <w:rFonts w:ascii="Arial" w:cs="Arial" w:eastAsia="Arial" w:hAnsi="Arial"/>
          <w:b w:val="false"/>
          <w:bCs w:val="false"/>
          <w:i/>
          <w:iCs/>
          <w:color w:val="52514E"/>
          <w:sz w:val="18"/>
          <w:szCs w:val="18"/>
          <w:rtl/>
        </w:rPr>
        <w:t xml:space="preserve">איור: מפה משותפת של הדפוסים — כל אזור מופיע פעמיים (ירוק: סלולר, כחול: סקר 2017) והקו ביניהם הוא הפער. כל האזורים זזים, פי ~9 מרעש יום־מול־יום — אבל כל אחד בכיוון "שלו".</w:t>
      </w:r>
    </w:p>
    <w:p>
      <w:pPr>
        <w:pStyle w:val="Heading1"/>
        <w:bidi/>
        <w:spacing w:after="160" w:before="280"/>
      </w:pPr>
      <w:r>
        <w:rPr>
          <w:rFonts w:ascii="Arial" w:cs="Arial" w:eastAsia="Arial" w:hAnsi="Arial"/>
          <w:b/>
          <w:bCs/>
          <w:i w:val="false"/>
          <w:iCs w:val="false"/>
          <w:sz w:val="32"/>
          <w:szCs w:val="32"/>
          <w:rtl/>
        </w:rPr>
        <w:t xml:space="preserve">4. איך בדיוק "בידדנו" את הנסיעות בתוך האזור?</w:t>
      </w:r>
    </w:p>
    <w:p>
      <w:pPr>
        <w:bidi/>
        <w:spacing w:after="12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  <w:rtl/>
        </w:rPr>
        <w:t xml:space="preserve">הבהרה קטנה קודם: אלו לא אנשים שנשארו בבית — אלו אנשים שכן נסעו, רק שהמוצא והיעד שלהם באותו אזור (למשל מהבית לעבודה באותה שכונה).</w:t>
      </w:r>
    </w:p>
    <w:p>
      <w:pPr>
        <w:bidi/>
        <w:spacing w:after="6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  <w:rtl/>
        </w:rPr>
        <w:t xml:space="preserve">במטריצה, כל שורה היא אזור־מוצא, וכל תא בשורה אומר איזה אחוז מהנסיעות הולך לכל יעד. התא שעל האלכסון — שורה X, עמודה X — הוא בדיוק "אחוז הנסיעות שנשארות בתוך X". הבידוד נעשה בשני צעדים, באותה צורה בשתי המטריצות:</w:t>
      </w:r>
    </w:p>
    <w:p>
      <w:pPr>
        <w:pStyle w:val="ListParagraph"/>
        <w:numPr>
          <w:ilvl w:val="0"/>
          <w:numId w:val="2"/>
        </w:numPr>
        <w:bidi/>
        <w:spacing w:after="80"/>
      </w:pPr>
      <w:r>
        <w:rPr>
          <w:rFonts w:ascii="Arial" w:cs="Arial" w:eastAsia="Arial" w:hAnsi="Arial"/>
          <w:b/>
          <w:bCs/>
          <w:i w:val="false"/>
          <w:iCs w:val="false"/>
          <w:sz w:val="22"/>
          <w:szCs w:val="22"/>
          <w:rtl/>
        </w:rPr>
        <w:t xml:space="preserve">איפסנו את תא האלכסון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  <w:rtl/>
        </w:rPr>
        <w:t xml:space="preserve"> בכל שורה — מחקנו את הנסיעות הפנימיות;</w:t>
      </w:r>
    </w:p>
    <w:p>
      <w:pPr>
        <w:pStyle w:val="ListParagraph"/>
        <w:numPr>
          <w:ilvl w:val="0"/>
          <w:numId w:val="2"/>
        </w:numPr>
        <w:bidi/>
        <w:spacing w:after="80"/>
      </w:pPr>
      <w:r>
        <w:rPr>
          <w:rFonts w:ascii="Arial" w:cs="Arial" w:eastAsia="Arial" w:hAnsi="Arial"/>
          <w:b/>
          <w:bCs/>
          <w:i w:val="false"/>
          <w:iCs w:val="false"/>
          <w:sz w:val="22"/>
          <w:szCs w:val="22"/>
          <w:rtl/>
        </w:rPr>
        <w:t xml:space="preserve">נרמלנו את השורה מחדש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  <w:rtl/>
        </w:rPr>
        <w:t xml:space="preserve"> כך שתסתכם שוב ל־100%.</w:t>
      </w:r>
    </w:p>
    <w:p>
      <w:pPr>
        <w:bidi/>
        <w:spacing w:after="12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  <w:rtl/>
        </w:rPr>
        <w:t xml:space="preserve">מה שנשאר בכל שורה הוא תשובה לשאלה מותנית: "מבין הנסיעות שכן יצאו מהאזור — לאן הן נסעו?" ואז הרצנו את כל השוואת ה־PCA מחדש רק על זה. דוגמה מספרית שממחישה למה זה מבודד את המחלוקת:</w:t>
      </w:r>
    </w:p>
    <w:tbl>
      <w:tblPr>
        <w:bidiVisual/>
        <w:tblW w:type="dxa" w:w="9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1900"/>
        <w:gridCol w:w="1900"/>
        <w:gridCol w:w="1900"/>
      </w:tblGrid>
      <w:tr>
        <w:tc>
          <w:tcPr>
            <w:tcW w:type="dxa" w:w="3400"/>
            <w:shd w:fill="F0EF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  <w:rtl/>
              </w:rPr>
              <w:t xml:space="preserve"/>
            </w:r>
          </w:p>
        </w:tc>
        <w:tc>
          <w:tcPr>
            <w:tcW w:type="dxa" w:w="1900"/>
            <w:shd w:fill="F0EF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  <w:rtl/>
              </w:rPr>
              <w:t xml:space="preserve">נשאר באזור</w:t>
            </w:r>
          </w:p>
        </w:tc>
        <w:tc>
          <w:tcPr>
            <w:tcW w:type="dxa" w:w="1900"/>
            <w:shd w:fill="F0EF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  <w:rtl/>
              </w:rPr>
              <w:t xml:space="preserve">לחיפה</w:t>
            </w:r>
          </w:p>
        </w:tc>
        <w:tc>
          <w:tcPr>
            <w:tcW w:type="dxa" w:w="1900"/>
            <w:shd w:fill="F0EF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2"/>
                <w:szCs w:val="22"/>
                <w:rtl/>
              </w:rPr>
              <w:t xml:space="preserve">לקריות</w:t>
            </w:r>
          </w:p>
        </w:tc>
      </w:tr>
      <w:tr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  <w:rtl/>
              </w:rPr>
              <w:t xml:space="preserve">סקר — שורה מקורית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  <w:rtl/>
              </w:rPr>
              <w:t xml:space="preserve">60%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  <w:rtl/>
              </w:rPr>
              <w:t xml:space="preserve">20%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  <w:rtl/>
              </w:rPr>
              <w:t xml:space="preserve">20%</w:t>
            </w:r>
          </w:p>
        </w:tc>
      </w:tr>
      <w:tr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  <w:rtl/>
              </w:rPr>
              <w:t xml:space="preserve">סלולר — שורה מקורית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  <w:rtl/>
              </w:rPr>
              <w:t xml:space="preserve">30%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  <w:rtl/>
              </w:rPr>
              <w:t xml:space="preserve">35%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  <w:rtl/>
              </w:rPr>
              <w:t xml:space="preserve">35%</w:t>
            </w:r>
          </w:p>
        </w:tc>
      </w:tr>
      <w:tr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  <w:rtl/>
              </w:rPr>
              <w:t xml:space="preserve">סקר — אחרי הסרת האלכסון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  <w:rtl/>
              </w:rPr>
              <w:t xml:space="preserve">—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  <w:rtl/>
              </w:rPr>
              <w:t xml:space="preserve">50%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  <w:rtl/>
              </w:rPr>
              <w:t xml:space="preserve">50%</w:t>
            </w:r>
          </w:p>
        </w:tc>
      </w:tr>
      <w:tr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  <w:rtl/>
              </w:rPr>
              <w:t xml:space="preserve">סלולר — אחרי הסרת האלכסון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  <w:rtl/>
              </w:rPr>
              <w:t xml:space="preserve">—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  <w:rtl/>
              </w:rPr>
              <w:t xml:space="preserve">50%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2"/>
                <w:szCs w:val="22"/>
                <w:rtl/>
              </w:rPr>
              <w:t xml:space="preserve">50%</w:t>
            </w:r>
          </w:p>
        </w:tc>
      </w:tr>
    </w:tbl>
    <w:p>
      <w:pPr>
        <w:bidi/>
        <w:spacing w:after="12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  <w:rtl/>
        </w:rPr>
        <w:t xml:space="preserve">בשורות המקוריות המקורות נראים חלוקים בכל תא; אחרי הבידוד מתברר שהם מסכימים לגמרי על כיווני היציאה — כל המחלוקת הייתה על "כמה נשארים בפנים".</w:t>
      </w:r>
    </w:p>
    <w:p>
      <w:pPr>
        <w:bidi/>
        <w:spacing w:after="12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  <w:rtl/>
        </w:rPr>
        <w:t xml:space="preserve">וזה בערך מה שקרה בנתונים האמיתיים: אחרי הסרת האלכסון, ההסכמה סקר–סלולר על יעדי היציאה היא 0.72 (תקרה: 0.89, מקריות: 0.33). כלומר שני המקורות מסכימים על לאן נוסעים מי שיוצאים, וחלוקים בעיקר על כמה בכלל יוצאים.</w:t>
      </w:r>
    </w:p>
    <w:p>
      <w:pPr>
        <w:spacing w:after="60" w:before="160"/>
        <w:jc w:val="center"/>
      </w:pPr>
      <w:r>
        <w:drawing>
          <wp:inline distT="0" distB="0" distL="0" distR="0">
            <wp:extent cx="5619750" cy="23717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9750" cy="2371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bidi/>
        <w:spacing w:after="200" w:before="0"/>
      </w:pPr>
      <w:r>
        <w:rPr>
          <w:rFonts w:ascii="Arial" w:cs="Arial" w:eastAsia="Arial" w:hAnsi="Arial"/>
          <w:b w:val="false"/>
          <w:bCs w:val="false"/>
          <w:i/>
          <w:iCs/>
          <w:color w:val="52514E"/>
          <w:sz w:val="18"/>
          <w:szCs w:val="18"/>
          <w:rtl/>
        </w:rPr>
        <w:t xml:space="preserve">איור: מימין — מטריצת ההפרש (סקר פחות סלולר): כמעט כל האדום (עודף הסקר) יושב על האלכסון. משמאל — הפער של כל אזור מוסבר כמעט לגמרי (r = 0.99) על ידי פער "כמה נשארים בפנים" שלו.</w:t>
      </w:r>
    </w:p>
    <w:p>
      <w:pPr>
        <w:spacing w:after="60" w:before="160"/>
        <w:jc w:val="center"/>
      </w:pPr>
      <w:r>
        <w:drawing>
          <wp:inline distT="0" distB="0" distL="0" distR="0">
            <wp:extent cx="5619750" cy="22574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9750" cy="2257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bidi/>
        <w:spacing w:after="200" w:before="0"/>
      </w:pPr>
      <w:r>
        <w:rPr>
          <w:rFonts w:ascii="Arial" w:cs="Arial" w:eastAsia="Arial" w:hAnsi="Arial"/>
          <w:b w:val="false"/>
          <w:bCs w:val="false"/>
          <w:i/>
          <w:iCs/>
          <w:color w:val="52514E"/>
          <w:sz w:val="18"/>
          <w:szCs w:val="18"/>
          <w:rtl/>
        </w:rPr>
        <w:t xml:space="preserve">איור: ההסכמה עם האלכסון ובלעדיו, מול תקרת יום־מול־יום (אפור) וקו המקריות (מקווקו). גם אחרי הסרת האלכסון ההסכמה נשארת גבוהה בהרבה מהמקריות.</w:t>
      </w:r>
    </w:p>
    <w:p>
      <w:pPr>
        <w:pStyle w:val="Heading1"/>
        <w:bidi/>
        <w:spacing w:after="160" w:before="280"/>
      </w:pPr>
      <w:r>
        <w:rPr>
          <w:rFonts w:ascii="Arial" w:cs="Arial" w:eastAsia="Arial" w:hAnsi="Arial"/>
          <w:b/>
          <w:bCs/>
          <w:i w:val="false"/>
          <w:iCs w:val="false"/>
          <w:sz w:val="32"/>
          <w:szCs w:val="32"/>
          <w:rtl/>
        </w:rPr>
        <w:t xml:space="preserve">5. מה זה אומר לפרויקט?</w:t>
      </w:r>
    </w:p>
    <w:p>
      <w:pPr>
        <w:bidi/>
        <w:spacing w:after="6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  <w:rtl/>
        </w:rPr>
        <w:t xml:space="preserve">התוצאות מאשרות, פעמיים ובאופן בלתי תלוי, את ההיגיון של המטריצה ההיברידית שנבנתה:</w:t>
      </w:r>
    </w:p>
    <w:p>
      <w:pPr>
        <w:pStyle w:val="ListParagraph"/>
        <w:numPr>
          <w:ilvl w:val="0"/>
          <w:numId w:val="2"/>
        </w:numPr>
        <w:bidi/>
        <w:spacing w:after="80"/>
      </w:pPr>
      <w:r>
        <w:rPr>
          <w:rFonts w:ascii="Arial" w:cs="Arial" w:eastAsia="Arial" w:hAnsi="Arial"/>
          <w:b/>
          <w:bCs/>
          <w:i w:val="false"/>
          <w:iCs w:val="false"/>
          <w:sz w:val="22"/>
          <w:szCs w:val="22"/>
          <w:rtl/>
        </w:rPr>
        <w:t xml:space="preserve">הסלולר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  <w:rtl/>
        </w:rPr>
        <w:t xml:space="preserve"> הוא הבסיס לפירוט המרחבי העדין — לסקר אין שם מידע יציב;</w:t>
      </w:r>
    </w:p>
    <w:p>
      <w:pPr>
        <w:pStyle w:val="ListParagraph"/>
        <w:numPr>
          <w:ilvl w:val="0"/>
          <w:numId w:val="2"/>
        </w:numPr>
        <w:bidi/>
        <w:spacing w:after="80"/>
      </w:pPr>
      <w:r>
        <w:rPr>
          <w:rFonts w:ascii="Arial" w:cs="Arial" w:eastAsia="Arial" w:hAnsi="Arial"/>
          <w:b/>
          <w:bCs/>
          <w:i w:val="false"/>
          <w:iCs w:val="false"/>
          <w:sz w:val="22"/>
          <w:szCs w:val="22"/>
          <w:rtl/>
        </w:rPr>
        <w:t xml:space="preserve">הסקר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  <w:rtl/>
        </w:rPr>
        <w:t xml:space="preserve"> תורם ברמה הגסה (על־אזורים), שם הוא אמין ומסכים עם הסלולר;</w:t>
      </w:r>
    </w:p>
    <w:p>
      <w:pPr>
        <w:pStyle w:val="ListParagraph"/>
        <w:numPr>
          <w:ilvl w:val="0"/>
          <w:numId w:val="2"/>
        </w:numPr>
        <w:bidi/>
        <w:spacing w:after="80"/>
      </w:pPr>
      <w:r>
        <w:rPr>
          <w:rFonts w:ascii="Arial" w:cs="Arial" w:eastAsia="Arial" w:hAnsi="Arial"/>
          <w:b/>
          <w:bCs/>
          <w:i w:val="false"/>
          <w:iCs w:val="false"/>
          <w:sz w:val="22"/>
          <w:szCs w:val="22"/>
          <w:rtl/>
        </w:rPr>
        <w:t xml:space="preserve">מנגנון התיקון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  <w:rtl/>
        </w:rPr>
        <w:t xml:space="preserve"> (מקדמי העל־אזורים עם מיצוע אמפירי־בייסיאני) מכוון בדיוק לנקודת המחלוקת האחת — חלוקת הנסיעות בין "בתוך האזור" ל"מחוץ לאזור".</w:t>
      </w:r>
    </w:p>
    <w:p>
      <w:pPr>
        <w:bidi/>
        <w:spacing w:after="12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  <w:rtl/>
        </w:rPr>
        <w:t xml:space="preserve">למה הסקר "רואה" הרבה יותר נסיעות פנימיות (68–72% מול ~34%)? זו השאלה המתודולוגית שנשארת פתוחה — כנראה שילוב של נסיעות קצרות שהסלולר מפספס (האנטנה לא מתחלפת בנסיעה של כמה מאות מטרים) עם תת־דיווח של נסיעות בסקר. לצורך התחזית, מה שחשוב הוא שהמחלוקת ממוקדת, מזוהה ומטופלת.</w:t>
      </w:r>
    </w:p>
    <w:p>
      <w:pPr>
        <w:bidi/>
        <w:spacing w:after="120" w:before="200"/>
      </w:pPr>
      <w:r>
        <w:rPr>
          <w:rFonts w:ascii="Arial" w:cs="Arial" w:eastAsia="Arial" w:hAnsi="Arial"/>
          <w:b w:val="false"/>
          <w:bCs w:val="false"/>
          <w:i/>
          <w:iCs/>
          <w:color w:val="52514E"/>
          <w:sz w:val="18"/>
          <w:szCs w:val="18"/>
          <w:rtl/>
        </w:rPr>
        <w:t xml:space="preserve">המסמך מבוסס על המחברות THS_2018_MTX_PCA_vs_cellular.ipynb ו־THS_2017_PCA_vs_cellular.ipynb שבמאגר; כל המספרים מחושבים ומתועדים שם.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right"/>
      <w:pPr>
        <w:ind w:left="431" w:hanging="215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592ef5e95f39949a75f880a95233b9bac3c219e4.png"/><Relationship Id="rId8" Type="http://schemas.openxmlformats.org/officeDocument/2006/relationships/image" Target="media/b3af0085a0cf008c0d3de5229ea81215a2ec7bc8.png"/><Relationship Id="rId9" Type="http://schemas.openxmlformats.org/officeDocument/2006/relationships/image" Target="media/a1cc31ed62869e63400c9f7768744392d4bff808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2026-09-10T13:35:25.489Z</dcterms:created>
  <dcterms:modified xsi:type="dcterms:W3CDTF">2026-09-10T13:35:25.489Z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