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i w:val="0"/>
          <w:color w:val="52514E"/>
          <w:sz w:val="24"/>
        </w:rPr>
        <w:t>Nofit LRT Extension</w:t>
      </w:r>
    </w:p>
    <w:p>
      <w:pPr>
        <w:spacing w:after="80"/>
      </w:pPr>
      <w:r>
        <w:rPr>
          <w:b/>
          <w:i w:val="0"/>
          <w:sz w:val="44"/>
        </w:rPr>
        <w:t>Building the Car, Bus, Taxi-type and Rail Demand Matrices from the Travel Habits Survey</w:t>
      </w:r>
    </w:p>
    <w:p>
      <w:pPr>
        <w:spacing w:after="200"/>
      </w:pPr>
      <w:r>
        <w:rPr>
          <w:i w:val="0"/>
          <w:color w:val="52514E"/>
          <w:sz w:val="24"/>
        </w:rPr>
        <w:t>Methodology, tests and results, in plain language — revision 2.2</w:t>
      </w:r>
    </w:p>
    <w:p>
      <w:pPr>
        <w:spacing w:after="20"/>
      </w:pPr>
      <w:r>
        <w:rPr>
          <w:i w:val="0"/>
          <w:sz w:val="20"/>
        </w:rPr>
        <w:t>Date: 23 September 2026 (revision 2.1: 21 September 2026; revision 1: 20 September 2026; revision 2.1 adds the peak-hour analysis, Part E section 7.3, and the car-versus-transit PCA, section 4.7)</w:t>
      </w:r>
      <w:r>
        <w:t>; revision 2.2 (23 September 2026) adds the revision note below: the mode-code correction and the rebuild of the bus calibration on RavKav’s own alightings)</w:t>
      </w:r>
    </w:p>
    <w:p>
      <w:pPr>
        <w:spacing w:after="20"/>
      </w:pPr>
      <w:r>
        <w:rPr>
          <w:i w:val="0"/>
          <w:sz w:val="20"/>
        </w:rPr>
        <w:t>Notebooks: THS_2017_cosine_GEH_tests, THS_2017_KS_tests, THS_2017_MSSIM_tests, Hybrid_superzone_conservation_test, THS_2017_two_mode_matrix, THS_2017_three_mode_2022, Corridor_flow_profile_survey_2022, Corridor_profile_hybrid_vs_ticketing, Corridor_peak_hour_2022, THS_2017_PCA_car_vs_transit</w:t>
      </w:r>
    </w:p>
    <w:p>
      <w:pPr>
        <w:spacing w:after="160"/>
      </w:pPr>
      <w:r>
        <w:rPr>
          <w:i w:val="0"/>
          <w:sz w:val="20"/>
        </w:rPr>
        <w:t>Outputs: Output/ths2017/tests/, Output/ths2017/two_mode/, Output/ths2017/three_mode_2022/</w:t>
      </w:r>
    </w:p>
    <w:p>
      <w:r>
        <w:rPr>
          <w:b/>
        </w:rPr>
        <w:t xml:space="preserve">What changed in revision 2. </w:t>
      </w:r>
      <w:r>
        <w:t>An external methodology review dated 21 September 2026 (Nofit_Demand_Methodology_Review.md in the repository) was assessed point by point and the work re-run where it was right. Four things changed: the ticketing coverage rule is applied per origin superzone and destination segment instead of per whole origin; taxi-type modes are a separate layer and no longer part of the bus matrix; the corridor profiles are labelled as three-hour potential movements rather than loads; and a new test shows that the earlier survey × cellular hybrid does not reproduce its own superzone totals, so the hybrid is now labelled historical. Every number below is the current one. Sections 4.1 to 4.5 (the similarity tests) are unchanged in substance, with the wording about the "day-to-day ceiling" corrected.</w:t>
      </w:r>
    </w:p>
    <w:p>
      <w:r>
        <w:rPr>
          <w:b/>
        </w:rPr>
        <w:t>What changed in revision 2.2.</w:t>
      </w:r>
      <w:r>
        <w:t xml:space="preserve"> Two corrections were made on 23 September 2026 and every product under Output/ was rebuilt; the body of this report still reads at the 21 September state, and this note carries the current values. First, the survey’s mode codes 4 (group taxi) and 5 (Matronit) were found swapped in the chain, so the Matronit riders had been sitting in the taxi-type layer; the chain was rerun with the corrected codes. Second, the matrix tests were rerun on the rebuilt products together with new 2025 smart-card data, and they showed that the survey’s bus matrix shares the same destination structure as the raw RavKav journeys of 2022 (cosine 0.89, the same as between the survey’s own two days) but not the destination pattern of the on-board survey that Part C had been calibrating to (cosine 0.62, no better than chance). The bus calibration of Part C was therefore rebuilt with RavKav’s own inferred alightings as its ticketing reference. The held-out validation of section 5.3 now prefers the ticketing pattern outright (shrinkage constant k* 5 → 100); the survey-versus-ticketing gap of section 7.2 — the ticketing profile 2.5–3 times the survey towards Tirat Carmel — was the on-board pattern and is gone; the two sources now agree along the whole line to within 15 %, and only the Nazareth branch, where the two alighting inferences disagree by 13 times, still needs a count. Full account: METHODOLOGY.md §0 (“Rerun”, “Rebuild”), §6m, §6p, §6ag, and docs/PLAIN_ENGLISH_METHODOLOGY.md Part 5.</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rPr>
              <w:t>Quantity</w:t>
            </w:r>
          </w:p>
        </w:tc>
        <w:tc>
          <w:tcPr>
            <w:tcW w:type="dxa" w:w="2256"/>
          </w:tcPr>
          <w:p>
            <w:r/>
            <w:r>
              <w:rPr>
                <w:b/>
              </w:rPr>
              <w:t>Revision 2.1 (21 Sep)</w:t>
            </w:r>
          </w:p>
        </w:tc>
        <w:tc>
          <w:tcPr>
            <w:tcW w:type="dxa" w:w="2256"/>
          </w:tcPr>
          <w:p>
            <w:r/>
            <w:r>
              <w:rPr>
                <w:b/>
              </w:rPr>
              <w:t>Corrected codes, on-board prior (23 Sep, morning)</w:t>
            </w:r>
          </w:p>
        </w:tc>
        <w:tc>
          <w:tcPr>
            <w:tcW w:type="dxa" w:w="2256"/>
          </w:tcPr>
          <w:p>
            <w:r/>
            <w:r>
              <w:rPr>
                <w:b/>
              </w:rPr>
              <w:t>Revision 2.2: corrected codes, RavKav’s own alightings (23 Sep)</w:t>
            </w:r>
          </w:p>
        </w:tc>
      </w:tr>
      <w:tr>
        <w:tc>
          <w:tcPr>
            <w:tcW w:type="dxa" w:w="2256"/>
          </w:tcPr>
          <w:p>
            <w:r>
              <w:t>Bus, 2018 base (calibrated)</w:t>
            </w:r>
          </w:p>
        </w:tc>
        <w:tc>
          <w:tcPr>
            <w:tcW w:type="dxa" w:w="2256"/>
          </w:tcPr>
          <w:p>
            <w:r>
              <w:t>126,117</w:t>
            </w:r>
          </w:p>
        </w:tc>
        <w:tc>
          <w:tcPr>
            <w:tcW w:type="dxa" w:w="2256"/>
          </w:tcPr>
          <w:p>
            <w:r>
              <w:t>125,439 survey → 127,185 calibrated</w:t>
            </w:r>
          </w:p>
        </w:tc>
        <w:tc>
          <w:tcPr>
            <w:tcW w:type="dxa" w:w="2256"/>
          </w:tcPr>
          <w:p>
            <w:r>
              <w:t>125,439 survey → 115,430 calibrated</w:t>
            </w:r>
          </w:p>
        </w:tc>
      </w:tr>
      <w:tr>
        <w:tc>
          <w:tcPr>
            <w:tcW w:type="dxa" w:w="2256"/>
          </w:tcPr>
          <w:p>
            <w:r>
              <w:t>Bus, 2022 base</w:t>
            </w:r>
          </w:p>
        </w:tc>
        <w:tc>
          <w:tcPr>
            <w:tcW w:type="dxa" w:w="2256"/>
          </w:tcPr>
          <w:p>
            <w:r>
              <w:t>129,653</w:t>
            </w:r>
          </w:p>
        </w:tc>
        <w:tc>
          <w:tcPr>
            <w:tcW w:type="dxa" w:w="2256"/>
          </w:tcPr>
          <w:p>
            <w:r>
              <w:t>130,779</w:t>
            </w:r>
          </w:p>
        </w:tc>
        <w:tc>
          <w:tcPr>
            <w:tcW w:type="dxa" w:w="2256"/>
          </w:tcPr>
          <w:p>
            <w:r>
              <w:t>117,961</w:t>
            </w:r>
          </w:p>
        </w:tc>
      </w:tr>
      <w:tr>
        <w:tc>
          <w:tcPr>
            <w:tcW w:type="dxa" w:w="2256"/>
          </w:tcPr>
          <w:p>
            <w:r>
              <w:t>Taxi-type, 2018 / 2022</w:t>
            </w:r>
          </w:p>
        </w:tc>
        <w:tc>
          <w:tcPr>
            <w:tcW w:type="dxa" w:w="2256"/>
          </w:tcPr>
          <w:p>
            <w:r>
              <w:t>18,266 / 19,359</w:t>
            </w:r>
          </w:p>
        </w:tc>
        <w:tc>
          <w:tcPr>
            <w:tcW w:type="dxa" w:w="2256"/>
          </w:tcPr>
          <w:p>
            <w:r>
              <w:t>8,910 / 9,451</w:t>
            </w:r>
          </w:p>
        </w:tc>
        <w:tc>
          <w:tcPr>
            <w:tcW w:type="dxa" w:w="2256"/>
          </w:tcPr>
          <w:p>
            <w:r>
              <w:t>8,910 / 9,451</w:t>
            </w:r>
          </w:p>
        </w:tc>
      </w:tr>
      <w:tr>
        <w:tc>
          <w:tcPr>
            <w:tcW w:type="dxa" w:w="2256"/>
          </w:tcPr>
          <w:p>
            <w:r>
              <w:t>Rail, 2018 / 2022</w:t>
            </w:r>
          </w:p>
        </w:tc>
        <w:tc>
          <w:tcPr>
            <w:tcW w:type="dxa" w:w="2256"/>
          </w:tcPr>
          <w:p>
            <w:r>
              <w:t>5,109 / 4,050</w:t>
            </w:r>
          </w:p>
        </w:tc>
        <w:tc>
          <w:tcPr>
            <w:tcW w:type="dxa" w:w="2256"/>
          </w:tcPr>
          <w:p>
            <w:r>
              <w:t>5,109 / 4,050</w:t>
            </w:r>
          </w:p>
        </w:tc>
        <w:tc>
          <w:tcPr>
            <w:tcW w:type="dxa" w:w="2256"/>
          </w:tcPr>
          <w:p>
            <w:r>
              <w:t>5,109 / 4,050</w:t>
            </w:r>
          </w:p>
        </w:tc>
      </w:tr>
      <w:tr>
        <w:tc>
          <w:tcPr>
            <w:tcW w:type="dxa" w:w="2256"/>
          </w:tcPr>
          <w:p>
            <w:r>
              <w:t>Transit (bus + rail) in the deliverable set, 2022</w:t>
            </w:r>
          </w:p>
        </w:tc>
        <w:tc>
          <w:tcPr>
            <w:tcW w:type="dxa" w:w="2256"/>
          </w:tcPr>
          <w:p>
            <w:r>
              <w:t>133,704</w:t>
            </w:r>
          </w:p>
        </w:tc>
        <w:tc>
          <w:tcPr>
            <w:tcW w:type="dxa" w:w="2256"/>
          </w:tcPr>
          <w:p>
            <w:r>
              <w:t>134,829</w:t>
            </w:r>
          </w:p>
        </w:tc>
        <w:tc>
          <w:tcPr>
            <w:tcW w:type="dxa" w:w="2256"/>
          </w:tcPr>
          <w:p>
            <w:r>
              <w:t>122,011</w:t>
            </w:r>
          </w:p>
        </w:tc>
      </w:tr>
      <w:tr>
        <w:tc>
          <w:tcPr>
            <w:tcW w:type="dxa" w:w="2256"/>
          </w:tcPr>
          <w:p>
            <w:r>
              <w:t>Bus share of car + bus + taxi + rail, 2022</w:t>
            </w:r>
          </w:p>
        </w:tc>
        <w:tc>
          <w:tcPr>
            <w:tcW w:type="dxa" w:w="2256"/>
          </w:tcPr>
          <w:p>
            <w:r>
              <w:t>8.6 %</w:t>
            </w:r>
          </w:p>
        </w:tc>
        <w:tc>
          <w:tcPr>
            <w:tcW w:type="dxa" w:w="2256"/>
          </w:tcPr>
          <w:p>
            <w:r>
              <w:t>8.7 %</w:t>
            </w:r>
          </w:p>
        </w:tc>
        <w:tc>
          <w:tcPr>
            <w:tcW w:type="dxa" w:w="2256"/>
          </w:tcPr>
          <w:p>
            <w:r>
              <w:t>7.9 %</w:t>
            </w:r>
          </w:p>
        </w:tc>
      </w:tr>
      <w:tr>
        <w:tc>
          <w:tcPr>
            <w:tcW w:type="dxa" w:w="2256"/>
          </w:tcPr>
          <w:p>
            <w:r>
              <w:t>Bus share, trips with both ends in the corridor, 2022</w:t>
            </w:r>
          </w:p>
        </w:tc>
        <w:tc>
          <w:tcPr>
            <w:tcW w:type="dxa" w:w="2256"/>
          </w:tcPr>
          <w:p>
            <w:r>
              <w:t>11.0 %</w:t>
            </w:r>
          </w:p>
        </w:tc>
        <w:tc>
          <w:tcPr>
            <w:tcW w:type="dxa" w:w="2256"/>
          </w:tcPr>
          <w:p>
            <w:r>
              <w:t>11.9 %</w:t>
            </w:r>
          </w:p>
        </w:tc>
        <w:tc>
          <w:tcPr>
            <w:tcW w:type="dxa" w:w="2256"/>
          </w:tcPr>
          <w:p>
            <w:r>
              <w:t>12.4 %</w:t>
            </w:r>
          </w:p>
        </w:tc>
      </w:tr>
      <w:tr>
        <w:tc>
          <w:tcPr>
            <w:tcW w:type="dxa" w:w="2256"/>
          </w:tcPr>
          <w:p>
            <w:r>
              <w:t>Guarded origin × segment cells (survey volume kept)</w:t>
            </w:r>
          </w:p>
        </w:tc>
        <w:tc>
          <w:tcPr>
            <w:tcW w:type="dxa" w:w="2256"/>
          </w:tcPr>
          <w:p>
            <w:r>
              <w:t>28</w:t>
            </w:r>
          </w:p>
        </w:tc>
        <w:tc>
          <w:tcPr>
            <w:tcW w:type="dxa" w:w="2256"/>
          </w:tcPr>
          <w:p>
            <w:r>
              <w:t>31</w:t>
            </w:r>
          </w:p>
        </w:tc>
        <w:tc>
          <w:tcPr>
            <w:tcW w:type="dxa" w:w="2256"/>
          </w:tcPr>
          <w:p>
            <w:r>
              <w:t>30</w:t>
            </w:r>
          </w:p>
        </w:tc>
      </w:tr>
      <w:tr>
        <w:tc>
          <w:tcPr>
            <w:tcW w:type="dxa" w:w="2256"/>
          </w:tcPr>
          <w:p>
            <w:r>
              <w:t>Held-out validation: pure ticketing rows vs survey rows (mean JSD, lower is better)</w:t>
            </w:r>
          </w:p>
        </w:tc>
        <w:tc>
          <w:tcPr>
            <w:tcW w:type="dxa" w:w="2256"/>
          </w:tcPr>
          <w:p>
            <w:r>
              <w:t>0.422 vs 0.340</w:t>
            </w:r>
          </w:p>
        </w:tc>
        <w:tc>
          <w:tcPr>
            <w:tcW w:type="dxa" w:w="2256"/>
          </w:tcPr>
          <w:p>
            <w:r>
              <w:t>0.422 vs 0.340</w:t>
            </w:r>
          </w:p>
        </w:tc>
        <w:tc>
          <w:tcPr>
            <w:tcW w:type="dxa" w:w="2256"/>
          </w:tcPr>
          <w:p>
            <w:r>
              <w:t>0.267 vs 0.336</w:t>
            </w:r>
          </w:p>
        </w:tc>
      </w:tr>
      <w:tr>
        <w:tc>
          <w:tcPr>
            <w:tcW w:type="dxa" w:w="2256"/>
          </w:tcPr>
          <w:p>
            <w:r>
              <w:t>Busiest transit link, three hours, towards Nazareth / Tirat Carmel</w:t>
            </w:r>
          </w:p>
        </w:tc>
        <w:tc>
          <w:tcPr>
            <w:tcW w:type="dxa" w:w="2256"/>
          </w:tcPr>
          <w:p>
            <w:r>
              <w:t>1,661 / 1,650</w:t>
            </w:r>
          </w:p>
        </w:tc>
        <w:tc>
          <w:tcPr>
            <w:tcW w:type="dxa" w:w="2256"/>
          </w:tcPr>
          <w:p>
            <w:r>
              <w:t>1,847 / 1,497</w:t>
            </w:r>
          </w:p>
        </w:tc>
        <w:tc>
          <w:tcPr>
            <w:tcW w:type="dxa" w:w="2256"/>
          </w:tcPr>
          <w:p>
            <w:r>
              <w:t>1,842 / 1,488</w:t>
            </w:r>
          </w:p>
        </w:tc>
      </w:tr>
      <w:tr>
        <w:tc>
          <w:tcPr>
            <w:tcW w:type="dxa" w:w="2256"/>
          </w:tcPr>
          <w:p>
            <w:r>
              <w:t>Survey ÷ ticketing over the Haifa segment, towards Nazareth / towards Tirat Carmel</w:t>
            </w:r>
          </w:p>
        </w:tc>
        <w:tc>
          <w:tcPr>
            <w:tcW w:type="dxa" w:w="2256"/>
          </w:tcPr>
          <w:p>
            <w:r>
              <w:t>0.87 / 0.60</w:t>
            </w:r>
          </w:p>
        </w:tc>
        <w:tc>
          <w:tcPr>
            <w:tcW w:type="dxa" w:w="2256"/>
          </w:tcPr>
          <w:p>
            <w:r>
              <w:t>0.97 / 0.60</w:t>
            </w:r>
          </w:p>
        </w:tc>
        <w:tc>
          <w:tcPr>
            <w:tcW w:type="dxa" w:w="2256"/>
          </w:tcPr>
          <w:p>
            <w:r>
              <w:t>1.06 / 0.97</w:t>
            </w:r>
          </w:p>
        </w:tc>
      </w:tr>
      <w:tr>
        <w:tc>
          <w:tcPr>
            <w:tcW w:type="dxa" w:w="2256"/>
          </w:tcPr>
          <w:p>
            <w:r>
              <w:t>Nazareth Area ticketed vs survey-based corridor trips towards Tirat Carmel</w:t>
            </w:r>
          </w:p>
        </w:tc>
        <w:tc>
          <w:tcPr>
            <w:tcW w:type="dxa" w:w="2256"/>
          </w:tcPr>
          <w:p>
            <w:r>
              <w:t>1,363 vs 445</w:t>
            </w:r>
          </w:p>
        </w:tc>
        <w:tc>
          <w:tcPr>
            <w:tcW w:type="dxa" w:w="2256"/>
          </w:tcPr>
          <w:p>
            <w:r>
              <w:t>1,363 vs 445</w:t>
            </w:r>
          </w:p>
        </w:tc>
        <w:tc>
          <w:tcPr>
            <w:tcW w:type="dxa" w:w="2256"/>
          </w:tcPr>
          <w:p>
            <w:r>
              <w:t>no longer a driver (207 vs 1,680 to the Haifa superzones)</w:t>
            </w:r>
          </w:p>
        </w:tc>
      </w:tr>
      <w:tr>
        <w:tc>
          <w:tcPr>
            <w:tcW w:type="dxa" w:w="2256"/>
          </w:tcPr>
          <w:p>
            <w:r>
              <w:t>Peak-hour transit potential movement, busiest link, towards Nazareth / Tirat Carmel</w:t>
            </w:r>
          </w:p>
        </w:tc>
        <w:tc>
          <w:tcPr>
            <w:tcW w:type="dxa" w:w="2256"/>
          </w:tcPr>
          <w:p>
            <w:r>
              <w:t>≈ 980</w:t>
            </w:r>
          </w:p>
        </w:tc>
        <w:tc>
          <w:tcPr>
            <w:tcW w:type="dxa" w:w="2256"/>
          </w:tcPr>
          <w:p>
            <w:r>
              <w:t>1,088 / 882</w:t>
            </w:r>
          </w:p>
        </w:tc>
        <w:tc>
          <w:tcPr>
            <w:tcW w:type="dxa" w:w="2256"/>
          </w:tcPr>
          <w:p>
            <w:r>
              <w:t>1,085 / 876</w:t>
            </w:r>
          </w:p>
        </w:tc>
      </w:tr>
    </w:tbl>
    <w:p>
      <w:pPr>
        <w:pStyle w:val="Heading1"/>
      </w:pPr>
      <w:r>
        <w:t>1. Summary</w:t>
      </w:r>
    </w:p>
    <w:p>
      <w:r>
        <w:rPr>
          <w:i w:val="0"/>
        </w:rPr>
        <w:t>This report explains how a set of morning-peak travel demand matrices was built for the Nofit LRT extension study from the household travel survey, how it was tested, and what the results say. It is written for readers who know what a demand matrix is but do not want to read the code.</w:t>
      </w:r>
    </w:p>
    <w:p>
      <w:r>
        <w:rPr>
          <w:i w:val="0"/>
        </w:rPr>
        <w:t>Five pieces of work are covered:</w:t>
      </w:r>
    </w:p>
    <w:p>
      <w:pPr>
        <w:pStyle w:val="ListBullet"/>
      </w:pPr>
      <w:r>
        <w:rPr>
          <w:b/>
        </w:rPr>
        <w:t xml:space="preserve">Tests. </w:t>
      </w:r>
      <w:r>
        <w:rPr>
          <w:i w:val="0"/>
        </w:rPr>
        <w:t>Similarity tests (cosine similarity, GEH, Kolmogorov–Smirnov, structural similarity) comparing the household survey matrix, the cellular-phone matrix and the hybrid that combines them, plus a conservation test of the hybrid itself.</w:t>
      </w:r>
    </w:p>
    <w:p>
      <w:pPr>
        <w:pStyle w:val="ListBullet"/>
      </w:pPr>
      <w:r>
        <w:rPr>
          <w:b/>
        </w:rPr>
        <w:t xml:space="preserve">A survey-only matrix. </w:t>
      </w:r>
      <w:r>
        <w:rPr>
          <w:i w:val="0"/>
        </w:rPr>
        <w:t>A matrix built only from the survey trips file, split into car and transit, with the bus part corrected using RavKav ticketing data and the on-board bus survey, segment by segment.</w:t>
      </w:r>
    </w:p>
    <w:p>
      <w:pPr>
        <w:pStyle w:val="ListBullet"/>
      </w:pPr>
      <w:r>
        <w:rPr>
          <w:b/>
        </w:rPr>
        <w:t xml:space="preserve">A 2022 base. </w:t>
      </w:r>
      <w:r>
        <w:rPr>
          <w:i w:val="0"/>
        </w:rPr>
        <w:t>That matrix moved from 2018 to 2022 and split into four layers: car, bus, taxi-type and rail.</w:t>
      </w:r>
    </w:p>
    <w:p>
      <w:pPr>
        <w:pStyle w:val="ListBullet"/>
      </w:pPr>
      <w:r>
        <w:rPr>
          <w:b/>
        </w:rPr>
        <w:t xml:space="preserve">Corridor profiles. </w:t>
      </w:r>
      <w:r>
        <w:rPr>
          <w:i w:val="0"/>
        </w:rPr>
        <w:t>The 2022 layers laid along the LRT line as potential movements, and compared with the ticketing-based profile.</w:t>
      </w:r>
    </w:p>
    <w:p>
      <w:pPr>
        <w:pStyle w:val="ListBullet"/>
      </w:pPr>
      <w:r>
        <w:rPr>
          <w:b/>
        </w:rPr>
        <w:t xml:space="preserve">Peak hour. </w:t>
      </w:r>
      <w:r>
        <w:rPr>
          <w:i w:val="0"/>
        </w:rPr>
        <w:t>Peak-hour factors from the survey's minute-level departure times, and the corridor profiles in peak-hour terms.</w:t>
      </w:r>
    </w:p>
    <w:p>
      <w:pPr>
        <w:pStyle w:val="Heading2"/>
      </w:pPr>
      <w:r>
        <w:t>The main numbers</w:t>
      </w:r>
    </w:p>
    <w:tbl>
      <w:tblPr>
        <w:tblStyle w:val="TableGrid"/>
        <w:tblW w:type="auto" w:w="0"/>
        <w:jc w:val="center"/>
        <w:tblLook w:firstColumn="1" w:firstRow="1" w:lastColumn="0" w:lastRow="0" w:noHBand="0" w:noVBand="1" w:val="04A0"/>
      </w:tblPr>
      <w:tblGrid>
        <w:gridCol w:w="3009"/>
        <w:gridCol w:w="3009"/>
        <w:gridCol w:w="3009"/>
      </w:tblGrid>
      <w:tr>
        <w:tc>
          <w:tcPr>
            <w:tcW w:type="dxa" w:w="5386"/>
            <w:shd w:val="clear" w:color="auto" w:fill="E8EEF6"/>
          </w:tcPr>
          <w:p>
            <w:pPr>
              <w:spacing w:after="20"/>
            </w:pPr>
            <w:r/>
            <w:r>
              <w:rPr>
                <w:b/>
                <w:sz w:val="18"/>
              </w:rPr>
              <w:t>Layer (morning peak 06:00–09:00, both trip ends in the study area)</w:t>
            </w:r>
          </w:p>
        </w:tc>
        <w:tc>
          <w:tcPr>
            <w:tcW w:type="dxa" w:w="1701"/>
            <w:shd w:val="clear" w:color="auto" w:fill="E8EEF6"/>
          </w:tcPr>
          <w:p>
            <w:pPr>
              <w:spacing w:after="20"/>
            </w:pPr>
            <w:r/>
            <w:r>
              <w:rPr>
                <w:b/>
                <w:sz w:val="18"/>
              </w:rPr>
              <w:t>2018 base</w:t>
            </w:r>
          </w:p>
        </w:tc>
        <w:tc>
          <w:tcPr>
            <w:tcW w:type="dxa" w:w="1701"/>
            <w:shd w:val="clear" w:color="auto" w:fill="E8EEF6"/>
          </w:tcPr>
          <w:p>
            <w:pPr>
              <w:spacing w:after="20"/>
            </w:pPr>
            <w:r/>
            <w:r>
              <w:rPr>
                <w:b/>
                <w:sz w:val="18"/>
              </w:rPr>
              <w:t>2022 base</w:t>
            </w:r>
          </w:p>
        </w:tc>
      </w:tr>
      <w:tr>
        <w:tc>
          <w:tcPr>
            <w:tcW w:type="dxa" w:w="5386"/>
          </w:tcPr>
          <w:p>
            <w:pPr>
              <w:spacing w:after="20"/>
            </w:pPr>
            <w:r/>
            <w:r>
              <w:rPr>
                <w:sz w:val="18"/>
              </w:rPr>
              <w:t>Car</w:t>
            </w:r>
          </w:p>
        </w:tc>
        <w:tc>
          <w:tcPr>
            <w:tcW w:type="dxa" w:w="1701"/>
          </w:tcPr>
          <w:p>
            <w:pPr>
              <w:spacing w:after="20"/>
              <w:jc w:val="right"/>
            </w:pPr>
            <w:r/>
            <w:r>
              <w:rPr>
                <w:sz w:val="18"/>
              </w:rPr>
              <w:t>1,283,589</w:t>
            </w:r>
          </w:p>
        </w:tc>
        <w:tc>
          <w:tcPr>
            <w:tcW w:type="dxa" w:w="1701"/>
          </w:tcPr>
          <w:p>
            <w:pPr>
              <w:spacing w:after="20"/>
              <w:jc w:val="right"/>
            </w:pPr>
            <w:r/>
            <w:r>
              <w:rPr>
                <w:sz w:val="18"/>
              </w:rPr>
              <w:t>1,353,798</w:t>
            </w:r>
          </w:p>
        </w:tc>
      </w:tr>
      <w:tr>
        <w:tc>
          <w:tcPr>
            <w:tcW w:type="dxa" w:w="5386"/>
          </w:tcPr>
          <w:p>
            <w:pPr>
              <w:spacing w:after="20"/>
            </w:pPr>
            <w:r/>
            <w:r>
              <w:rPr>
                <w:sz w:val="18"/>
              </w:rPr>
              <w:t>Bus (public bus and Matronit, calibrated)</w:t>
            </w:r>
          </w:p>
        </w:tc>
        <w:tc>
          <w:tcPr>
            <w:tcW w:type="dxa" w:w="1701"/>
          </w:tcPr>
          <w:p>
            <w:pPr>
              <w:spacing w:after="20"/>
              <w:jc w:val="right"/>
            </w:pPr>
            <w:r/>
            <w:r>
              <w:rPr>
                <w:sz w:val="18"/>
              </w:rPr>
              <w:t>126,117</w:t>
            </w:r>
          </w:p>
        </w:tc>
        <w:tc>
          <w:tcPr>
            <w:tcW w:type="dxa" w:w="1701"/>
          </w:tcPr>
          <w:p>
            <w:pPr>
              <w:spacing w:after="20"/>
              <w:jc w:val="right"/>
            </w:pPr>
            <w:r/>
            <w:r>
              <w:rPr>
                <w:sz w:val="18"/>
              </w:rPr>
              <w:t>129,653</w:t>
            </w:r>
          </w:p>
        </w:tc>
      </w:tr>
      <w:tr>
        <w:tc>
          <w:tcPr>
            <w:tcW w:type="dxa" w:w="5386"/>
          </w:tcPr>
          <w:p>
            <w:pPr>
              <w:spacing w:after="20"/>
            </w:pPr>
            <w:r/>
            <w:r>
              <w:rPr>
                <w:sz w:val="18"/>
              </w:rPr>
              <w:t>Taxi-type (special and group taxi, survey only)</w:t>
            </w:r>
          </w:p>
        </w:tc>
        <w:tc>
          <w:tcPr>
            <w:tcW w:type="dxa" w:w="1701"/>
          </w:tcPr>
          <w:p>
            <w:pPr>
              <w:spacing w:after="20"/>
              <w:jc w:val="right"/>
            </w:pPr>
            <w:r/>
            <w:r>
              <w:rPr>
                <w:sz w:val="18"/>
              </w:rPr>
              <w:t>18,266</w:t>
            </w:r>
          </w:p>
        </w:tc>
        <w:tc>
          <w:tcPr>
            <w:tcW w:type="dxa" w:w="1701"/>
          </w:tcPr>
          <w:p>
            <w:pPr>
              <w:spacing w:after="20"/>
              <w:jc w:val="right"/>
            </w:pPr>
            <w:r/>
            <w:r>
              <w:rPr>
                <w:sz w:val="18"/>
              </w:rPr>
              <w:t>19,359</w:t>
            </w:r>
          </w:p>
        </w:tc>
      </w:tr>
      <w:tr>
        <w:tc>
          <w:tcPr>
            <w:tcW w:type="dxa" w:w="5386"/>
          </w:tcPr>
          <w:p>
            <w:pPr>
              <w:spacing w:after="20"/>
            </w:pPr>
            <w:r/>
            <w:r>
              <w:rPr>
                <w:sz w:val="18"/>
              </w:rPr>
              <w:t>Rail (door-to-door survey trips)</w:t>
            </w:r>
          </w:p>
        </w:tc>
        <w:tc>
          <w:tcPr>
            <w:tcW w:type="dxa" w:w="1701"/>
          </w:tcPr>
          <w:p>
            <w:pPr>
              <w:spacing w:after="20"/>
              <w:jc w:val="right"/>
            </w:pPr>
            <w:r/>
            <w:r>
              <w:rPr>
                <w:sz w:val="18"/>
              </w:rPr>
              <w:t>5,109</w:t>
            </w:r>
          </w:p>
        </w:tc>
        <w:tc>
          <w:tcPr>
            <w:tcW w:type="dxa" w:w="1701"/>
          </w:tcPr>
          <w:p>
            <w:pPr>
              <w:spacing w:after="20"/>
              <w:jc w:val="right"/>
            </w:pPr>
            <w:r/>
            <w:r>
              <w:rPr>
                <w:sz w:val="18"/>
              </w:rPr>
              <w:t>4,050</w:t>
            </w:r>
          </w:p>
        </w:tc>
      </w:tr>
      <w:tr>
        <w:tc>
          <w:tcPr>
            <w:tcW w:type="dxa" w:w="5386"/>
          </w:tcPr>
          <w:p>
            <w:pPr>
              <w:spacing w:after="20"/>
            </w:pPr>
            <w:r/>
            <w:r>
              <w:rPr>
                <w:sz w:val="18"/>
              </w:rPr>
              <w:t>Bus share of car + bus + taxi + rail</w:t>
            </w:r>
          </w:p>
        </w:tc>
        <w:tc>
          <w:tcPr>
            <w:tcW w:type="dxa" w:w="1701"/>
          </w:tcPr>
          <w:p>
            <w:pPr>
              <w:spacing w:after="20"/>
              <w:jc w:val="right"/>
            </w:pPr>
            <w:r/>
            <w:r>
              <w:rPr>
                <w:sz w:val="18"/>
              </w:rPr>
              <w:t>8.8 %</w:t>
            </w:r>
          </w:p>
        </w:tc>
        <w:tc>
          <w:tcPr>
            <w:tcW w:type="dxa" w:w="1701"/>
          </w:tcPr>
          <w:p>
            <w:pPr>
              <w:spacing w:after="20"/>
              <w:jc w:val="right"/>
            </w:pPr>
            <w:r/>
            <w:r>
              <w:rPr>
                <w:sz w:val="18"/>
              </w:rPr>
              <w:t>8.6 %</w:t>
            </w:r>
          </w:p>
        </w:tc>
      </w:tr>
      <w:tr>
        <w:tc>
          <w:tcPr>
            <w:tcW w:type="dxa" w:w="5386"/>
          </w:tcPr>
          <w:p>
            <w:pPr>
              <w:spacing w:after="20"/>
            </w:pPr>
            <w:r/>
            <w:r>
              <w:rPr>
                <w:sz w:val="18"/>
              </w:rPr>
              <w:t>Bus share, trips with both ends in the LRT corridor</w:t>
            </w:r>
          </w:p>
        </w:tc>
        <w:tc>
          <w:tcPr>
            <w:tcW w:type="dxa" w:w="1701"/>
          </w:tcPr>
          <w:p>
            <w:pPr>
              <w:spacing w:after="20"/>
              <w:jc w:val="right"/>
            </w:pPr>
            <w:r/>
            <w:r>
              <w:rPr>
                <w:sz w:val="18"/>
              </w:rPr>
              <w:t>11.7 %</w:t>
            </w:r>
          </w:p>
        </w:tc>
        <w:tc>
          <w:tcPr>
            <w:tcW w:type="dxa" w:w="1701"/>
          </w:tcPr>
          <w:p>
            <w:pPr>
              <w:spacing w:after="20"/>
              <w:jc w:val="right"/>
            </w:pPr>
            <w:r/>
            <w:r>
              <w:rPr>
                <w:sz w:val="18"/>
              </w:rPr>
              <w:t>11.0 %</w:t>
            </w:r>
          </w:p>
        </w:tc>
      </w:tr>
      <w:tr>
        <w:tc>
          <w:tcPr>
            <w:tcW w:type="dxa" w:w="5386"/>
          </w:tcPr>
          <w:p>
            <w:pPr>
              <w:spacing w:after="20"/>
            </w:pPr>
            <w:r/>
            <w:r>
              <w:rPr>
                <w:sz w:val="18"/>
              </w:rPr>
              <w:t>Peak hour (departures) and share of the three hours it holds</w:t>
            </w:r>
          </w:p>
        </w:tc>
        <w:tc>
          <w:tcPr>
            <w:tcW w:type="dxa" w:w="1701"/>
          </w:tcPr>
          <w:p>
            <w:pPr>
              <w:spacing w:after="20"/>
              <w:jc w:val="right"/>
            </w:pPr>
            <w:r/>
            <w:r>
              <w:rPr>
                <w:sz w:val="18"/>
              </w:rPr>
            </w:r>
          </w:p>
        </w:tc>
        <w:tc>
          <w:tcPr>
            <w:tcW w:type="dxa" w:w="1701"/>
          </w:tcPr>
          <w:p>
            <w:pPr>
              <w:spacing w:after="20"/>
              <w:jc w:val="right"/>
            </w:pPr>
            <w:r/>
            <w:r>
              <w:rPr>
                <w:sz w:val="18"/>
              </w:rPr>
              <w:t>07:00–08:00; car 0.62, bus 0.59</w:t>
            </w:r>
          </w:p>
        </w:tc>
      </w:tr>
      <w:tr>
        <w:tc>
          <w:tcPr>
            <w:tcW w:type="dxa" w:w="5386"/>
          </w:tcPr>
          <w:p>
            <w:pPr>
              <w:spacing w:after="20"/>
            </w:pPr>
            <w:r/>
            <w:r>
              <w:rPr>
                <w:sz w:val="18"/>
              </w:rPr>
              <w:t>Busiest transit link, peak hour (potential movements)</w:t>
            </w:r>
          </w:p>
        </w:tc>
        <w:tc>
          <w:tcPr>
            <w:tcW w:type="dxa" w:w="1701"/>
          </w:tcPr>
          <w:p>
            <w:pPr>
              <w:spacing w:after="20"/>
              <w:jc w:val="right"/>
            </w:pPr>
            <w:r/>
            <w:r>
              <w:rPr>
                <w:sz w:val="18"/>
              </w:rPr>
            </w:r>
          </w:p>
        </w:tc>
        <w:tc>
          <w:tcPr>
            <w:tcW w:type="dxa" w:w="1701"/>
          </w:tcPr>
          <w:p>
            <w:pPr>
              <w:spacing w:after="20"/>
              <w:jc w:val="right"/>
            </w:pPr>
            <w:r/>
            <w:r>
              <w:rPr>
                <w:sz w:val="18"/>
              </w:rPr>
              <w:t>≈ 980 per direction</w:t>
            </w:r>
          </w:p>
        </w:tc>
      </w:tr>
    </w:tbl>
    <w:p>
      <w:pPr>
        <w:spacing w:after="40"/>
      </w:pPr>
    </w:p>
    <w:p>
      <w:pPr>
        <w:pStyle w:val="Heading2"/>
      </w:pPr>
      <w:r>
        <w:t>The main findings</w:t>
      </w:r>
    </w:p>
    <w:p>
      <w:pPr>
        <w:pStyle w:val="ListBullet"/>
      </w:pPr>
      <w:r>
        <w:rPr>
          <w:b/>
        </w:rPr>
        <w:t xml:space="preserve">Survey versus cellular. </w:t>
      </w:r>
      <w:r>
        <w:rPr>
          <w:i w:val="0"/>
        </w:rPr>
        <w:t>The two matrices agree on the broad regional pattern (cosine 0.92 at superzone level, far above chance) but disagree on volumes and trip lengths. The survey expands to 3.6 times the cellular morning volume, and the gap is largest for short trips: the survey's median trip is 2 km, the cellular one 7.6 km. Even with all trips inside one cellular zone removed, the gap stays.</w:t>
      </w:r>
    </w:p>
    <w:p>
      <w:pPr>
        <w:pStyle w:val="ListBullet"/>
      </w:pPr>
      <w:r>
        <w:rPr>
          <w:b/>
        </w:rPr>
        <w:t xml:space="preserve">The hybrid is historical. </w:t>
      </w:r>
      <w:r>
        <w:rPr>
          <w:i w:val="0"/>
        </w:rPr>
        <w:t>It equals the survey at superzone level by design, but the step that pushes it down to TAZs does not preserve the superzone-to-superzone totals: 55 of the 627 larger superzone pairs are off by more than 10 %, the worst by 49 %. A rebalanced version is published; the current base does not use the hybrid at all.</w:t>
      </w:r>
    </w:p>
    <w:p>
      <w:pPr>
        <w:pStyle w:val="ListBullet"/>
      </w:pPr>
      <w:r>
        <w:rPr>
          <w:b/>
        </w:rPr>
        <w:t xml:space="preserve">Ticketing coverage is uneven, and the gap is in local travel. </w:t>
      </w:r>
      <w:r>
        <w:rPr>
          <w:i w:val="0"/>
        </w:rPr>
        <w:t>In the Haifa metropolitan superzones the ticketing data records about as many bus journeys as the survey expands to. In Nazareth it records 8 % of the survey's trips inside the superzone but 74 % of its trips to Haifa. The coverage test is therefore applied per origin and destination segment: 28 origin-by-segment cells keep survey volumes, 17 of them local.</w:t>
      </w:r>
    </w:p>
    <w:p>
      <w:pPr>
        <w:pStyle w:val="ListBullet"/>
      </w:pPr>
      <w:r>
        <w:rPr>
          <w:b/>
        </w:rPr>
        <w:t xml:space="preserve">The calibrated bus total is above both sources. </w:t>
      </w:r>
      <w:r>
        <w:rPr>
          <w:i w:val="0"/>
        </w:rPr>
        <w:t>The rule takes ticketing volumes where ticketing sees at least half of the survey's trips (often more than the survey) and keeps the survey where it sees less than half. The bus base is 126,117 trips against 116,083 in the survey and 92,713 in the ticketing extract, and moves between 117,500 and 131,700 as the threshold moves from 0.3 to 0.7. This is an assumption, stated as such; the variants are published beside it.</w:t>
      </w:r>
    </w:p>
    <w:p>
      <w:pPr>
        <w:pStyle w:val="ListBullet"/>
      </w:pPr>
      <w:r>
        <w:rPr>
          <w:b/>
        </w:rPr>
        <w:t xml:space="preserve">Taxi-type is its own layer. </w:t>
      </w:r>
      <w:r>
        <w:rPr>
          <w:i w:val="0"/>
        </w:rPr>
        <w:t>The 18,266 special- and group-taxi trips are no longer added to bus. They were the whole reason the earlier transit profile looked 1.5 times heavier than the ticketing one towards Nazareth.</w:t>
      </w:r>
    </w:p>
    <w:p>
      <w:pPr>
        <w:pStyle w:val="ListBullet"/>
      </w:pPr>
      <w:r>
        <w:rPr>
          <w:b/>
        </w:rPr>
        <w:t xml:space="preserve">Corridor profiles are potential movements. </w:t>
      </w:r>
      <w:r>
        <w:rPr>
          <w:i w:val="0"/>
        </w:rPr>
        <w:t>The peak link carries about 1,660 transit trips over three hours in each direction in the survey-based set. These are trips between line areas that could use the line, not passenger loads. Towards Tirat Carmel the ticketing-based profile is about twice as high; the difference is boarding-stop attribution and destination frame, not coverage.</w:t>
      </w:r>
    </w:p>
    <w:p>
      <w:pPr>
        <w:pStyle w:val="ListBullet"/>
      </w:pPr>
      <w:r>
        <w:rPr>
          <w:b/>
        </w:rPr>
        <w:t xml:space="preserve">The peak hour is 07:00–08:00 and carries 1.8 times an average hour. </w:t>
      </w:r>
      <w:r>
        <w:rPr>
          <w:i w:val="0"/>
        </w:rPr>
        <w:t>Departure times in the survey put 59–66 % of the three-hour trips into the busiest 60 minutes, with a sharp quarter-hour peak at 07:30–07:45. In peak-hour terms the busiest transit link carries about 980 potential movements per direction (three-hour 1,650–1,660); all layers together 4,200–4,600. The bus factor is the study-area one because the corridor bus samples per direction are too thin (26–48 trips); taking the corridor values instead moves the busiest transit link by ± 15 %.</w:t>
      </w:r>
    </w:p>
    <w:p>
      <w:pPr>
        <w:pStyle w:val="ListBullet"/>
      </w:pPr>
      <w:r>
        <w:rPr>
          <w:b/>
        </w:rPr>
        <w:t xml:space="preserve">Moving to 2022. </w:t>
      </w:r>
      <w:r>
        <w:rPr>
          <w:i w:val="0"/>
        </w:rPr>
        <w:t>Car grows 5.5 % on population and employment growth; bus cells that took ticketing volumes are already at May 2022; the guarded cells, taxi-type and the survey rail are grown; rail follows the national ridership drop. Trip rates per person are held at the 2018 survey level.</w:t>
      </w:r>
    </w:p>
    <w:p>
      <w:pPr>
        <w:pStyle w:val="Heading1"/>
      </w:pPr>
      <w:r>
        <w:t>2. The data used</w:t>
      </w:r>
    </w:p>
    <w:tbl>
      <w:tblPr>
        <w:tblStyle w:val="TableGrid"/>
        <w:tblW w:type="auto" w:w="0"/>
        <w:jc w:val="center"/>
        <w:tblLook w:firstColumn="1" w:firstRow="1" w:lastColumn="0" w:lastRow="0" w:noHBand="0" w:noVBand="1" w:val="04A0"/>
      </w:tblPr>
      <w:tblGrid>
        <w:gridCol w:w="3009"/>
        <w:gridCol w:w="3009"/>
        <w:gridCol w:w="3009"/>
      </w:tblGrid>
      <w:tr>
        <w:tc>
          <w:tcPr>
            <w:tcW w:type="dxa" w:w="2381"/>
            <w:shd w:val="clear" w:color="auto" w:fill="E8EEF6"/>
          </w:tcPr>
          <w:p>
            <w:pPr>
              <w:spacing w:after="20"/>
            </w:pPr>
            <w:r/>
            <w:r>
              <w:rPr>
                <w:b/>
                <w:sz w:val="18"/>
              </w:rPr>
              <w:t>Source</w:t>
            </w:r>
          </w:p>
        </w:tc>
        <w:tc>
          <w:tcPr>
            <w:tcW w:type="dxa" w:w="3402"/>
            <w:shd w:val="clear" w:color="auto" w:fill="E8EEF6"/>
          </w:tcPr>
          <w:p>
            <w:pPr>
              <w:spacing w:after="20"/>
            </w:pPr>
            <w:r/>
            <w:r>
              <w:rPr>
                <w:b/>
                <w:sz w:val="18"/>
              </w:rPr>
              <w:t>What it is</w:t>
            </w:r>
          </w:p>
        </w:tc>
        <w:tc>
          <w:tcPr>
            <w:tcW w:type="dxa" w:w="3231"/>
            <w:shd w:val="clear" w:color="auto" w:fill="E8EEF6"/>
          </w:tcPr>
          <w:p>
            <w:pPr>
              <w:spacing w:after="20"/>
            </w:pPr>
            <w:r/>
            <w:r>
              <w:rPr>
                <w:b/>
                <w:sz w:val="18"/>
              </w:rPr>
              <w:t>How it is used here</w:t>
            </w:r>
          </w:p>
        </w:tc>
      </w:tr>
      <w:tr>
        <w:tc>
          <w:tcPr>
            <w:tcW w:type="dxa" w:w="2381"/>
          </w:tcPr>
          <w:p>
            <w:pPr>
              <w:spacing w:after="20"/>
            </w:pPr>
            <w:r/>
            <w:r>
              <w:rPr>
                <w:sz w:val="18"/>
              </w:rPr>
              <w:t>Travel Habits Survey 2018, trips file (trips_ths_2017.xlsx)</w:t>
            </w:r>
          </w:p>
        </w:tc>
        <w:tc>
          <w:tcPr>
            <w:tcW w:type="dxa" w:w="3402"/>
          </w:tcPr>
          <w:p>
            <w:pPr>
              <w:spacing w:after="20"/>
            </w:pPr>
            <w:r/>
            <w:r>
              <w:rPr>
                <w:sz w:val="18"/>
              </w:rPr>
              <w:t>One row per activity for 16,401 surveyed persons on two survey days, with the mode used to reach each place and a household expansion weight.</w:t>
            </w:r>
          </w:p>
        </w:tc>
        <w:tc>
          <w:tcPr>
            <w:tcW w:type="dxa" w:w="3231"/>
          </w:tcPr>
          <w:p>
            <w:pPr>
              <w:spacing w:after="20"/>
            </w:pPr>
            <w:r/>
            <w:r>
              <w:rPr>
                <w:sz w:val="18"/>
              </w:rPr>
              <w:t>The base of everything: trips are formed from consecutive activities, kept if they leave between 06:00 and 09:00, and expanded.</w:t>
            </w:r>
          </w:p>
        </w:tc>
      </w:tr>
      <w:tr>
        <w:tc>
          <w:tcPr>
            <w:tcW w:type="dxa" w:w="2381"/>
          </w:tcPr>
          <w:p>
            <w:pPr>
              <w:spacing w:after="20"/>
            </w:pPr>
            <w:r/>
            <w:r>
              <w:rPr>
                <w:sz w:val="18"/>
              </w:rPr>
              <w:t>Cellular OD matrix 2018–19</w:t>
            </w:r>
          </w:p>
        </w:tc>
        <w:tc>
          <w:tcPr>
            <w:tcW w:type="dxa" w:w="3402"/>
          </w:tcPr>
          <w:p>
            <w:pPr>
              <w:spacing w:after="20"/>
            </w:pPr>
            <w:r/>
            <w:r>
              <w:rPr>
                <w:sz w:val="18"/>
              </w:rPr>
              <w:t>Morning-peak trips between 1,270 national zones, an average weekday, derived from phone movements.</w:t>
            </w:r>
          </w:p>
        </w:tc>
        <w:tc>
          <w:tcPr>
            <w:tcW w:type="dxa" w:w="3231"/>
          </w:tcPr>
          <w:p>
            <w:pPr>
              <w:spacing w:after="20"/>
            </w:pPr>
            <w:r/>
            <w:r>
              <w:rPr>
                <w:sz w:val="18"/>
              </w:rPr>
              <w:t>Only in the tests, as the second view of the same travel; and, in the historical pipeline, to split survey zones into TAZs.</w:t>
            </w:r>
          </w:p>
        </w:tc>
      </w:tr>
      <w:tr>
        <w:tc>
          <w:tcPr>
            <w:tcW w:type="dxa" w:w="2381"/>
          </w:tcPr>
          <w:p>
            <w:pPr>
              <w:spacing w:after="20"/>
            </w:pPr>
            <w:r/>
            <w:r>
              <w:rPr>
                <w:sz w:val="18"/>
              </w:rPr>
              <w:t>RavKav bus ticketing, May 2022</w:t>
            </w:r>
          </w:p>
        </w:tc>
        <w:tc>
          <w:tcPr>
            <w:tcW w:type="dxa" w:w="3402"/>
          </w:tcPr>
          <w:p>
            <w:pPr>
              <w:spacing w:after="20"/>
            </w:pPr>
            <w:r/>
            <w:r>
              <w:rPr>
                <w:sz w:val="18"/>
              </w:rPr>
              <w:t>Every bus journey on four Tuesdays: boarding and alighting stops, with transfers linked so a journey is counted once.</w:t>
            </w:r>
          </w:p>
        </w:tc>
        <w:tc>
          <w:tcPr>
            <w:tcW w:type="dxa" w:w="3231"/>
          </w:tcPr>
          <w:p>
            <w:pPr>
              <w:spacing w:after="20"/>
            </w:pPr>
            <w:r/>
            <w:r>
              <w:rPr>
                <w:sz w:val="18"/>
              </w:rPr>
              <w:t>Sets how many bus journeys start in each superzone and segment where its coverage is credible; the sensitivity variants use it everywhere.</w:t>
            </w:r>
          </w:p>
        </w:tc>
      </w:tr>
      <w:tr>
        <w:tc>
          <w:tcPr>
            <w:tcW w:type="dxa" w:w="2381"/>
          </w:tcPr>
          <w:p>
            <w:pPr>
              <w:spacing w:after="20"/>
            </w:pPr>
            <w:r/>
            <w:r>
              <w:rPr>
                <w:sz w:val="18"/>
              </w:rPr>
              <w:t>On-board bus survey, 06:00–09:00</w:t>
            </w:r>
          </w:p>
        </w:tc>
        <w:tc>
          <w:tcPr>
            <w:tcW w:type="dxa" w:w="3402"/>
          </w:tcPr>
          <w:p>
            <w:pPr>
              <w:spacing w:after="20"/>
            </w:pPr>
            <w:r/>
            <w:r>
              <w:rPr>
                <w:sz w:val="18"/>
              </w:rPr>
              <w:t>For each boarding zone, where passengers said they were going.</w:t>
            </w:r>
          </w:p>
        </w:tc>
        <w:tc>
          <w:tcPr>
            <w:tcW w:type="dxa" w:w="3231"/>
          </w:tcPr>
          <w:p>
            <w:pPr>
              <w:spacing w:after="20"/>
            </w:pPr>
            <w:r/>
            <w:r>
              <w:rPr>
                <w:sz w:val="18"/>
              </w:rPr>
              <w:t>Sets the destination pattern of bus trips where the household survey is thin.</w:t>
            </w:r>
          </w:p>
        </w:tc>
      </w:tr>
      <w:tr>
        <w:tc>
          <w:tcPr>
            <w:tcW w:type="dxa" w:w="2381"/>
          </w:tcPr>
          <w:p>
            <w:pPr>
              <w:spacing w:after="20"/>
            </w:pPr>
            <w:r/>
            <w:r>
              <w:rPr>
                <w:sz w:val="18"/>
              </w:rPr>
              <w:t>Zonal socio-economic files 2020 and 2025</w:t>
            </w:r>
          </w:p>
        </w:tc>
        <w:tc>
          <w:tcPr>
            <w:tcW w:type="dxa" w:w="3402"/>
          </w:tcPr>
          <w:p>
            <w:pPr>
              <w:spacing w:after="20"/>
            </w:pPr>
            <w:r/>
            <w:r>
              <w:rPr>
                <w:sz w:val="18"/>
              </w:rPr>
              <w:t>Population and employment per zone, observed (2020) and forecast (2025, BU scenario).</w:t>
            </w:r>
          </w:p>
        </w:tc>
        <w:tc>
          <w:tcPr>
            <w:tcW w:type="dxa" w:w="3231"/>
          </w:tcPr>
          <w:p>
            <w:pPr>
              <w:spacing w:after="20"/>
            </w:pPr>
            <w:r/>
            <w:r>
              <w:rPr>
                <w:sz w:val="18"/>
              </w:rPr>
              <w:t>Splits big survey zones into study zones; grows the 2018 matrices to 2022.</w:t>
            </w:r>
          </w:p>
        </w:tc>
      </w:tr>
      <w:tr>
        <w:tc>
          <w:tcPr>
            <w:tcW w:type="dxa" w:w="2381"/>
          </w:tcPr>
          <w:p>
            <w:pPr>
              <w:spacing w:after="20"/>
            </w:pPr>
            <w:r/>
            <w:r>
              <w:rPr>
                <w:sz w:val="18"/>
              </w:rPr>
              <w:t>Train smartcards 2019</w:t>
            </w:r>
          </w:p>
        </w:tc>
        <w:tc>
          <w:tcPr>
            <w:tcW w:type="dxa" w:w="3402"/>
          </w:tcPr>
          <w:p>
            <w:pPr>
              <w:spacing w:after="20"/>
            </w:pPr>
            <w:r/>
            <w:r>
              <w:rPr>
                <w:sz w:val="18"/>
              </w:rPr>
              <w:t>Station-to-station morning trips.</w:t>
            </w:r>
          </w:p>
        </w:tc>
        <w:tc>
          <w:tcPr>
            <w:tcW w:type="dxa" w:w="3231"/>
          </w:tcPr>
          <w:p>
            <w:pPr>
              <w:spacing w:after="20"/>
            </w:pPr>
            <w:r/>
            <w:r>
              <w:rPr>
                <w:sz w:val="18"/>
              </w:rPr>
              <w:t>A rail alternative for corridor loading; the survey rail matrix stays the door-to-door layer.</w:t>
            </w:r>
          </w:p>
        </w:tc>
      </w:tr>
      <w:tr>
        <w:tc>
          <w:tcPr>
            <w:tcW w:type="dxa" w:w="2381"/>
          </w:tcPr>
          <w:p>
            <w:pPr>
              <w:spacing w:after="20"/>
            </w:pPr>
            <w:r/>
            <w:r>
              <w:rPr>
                <w:sz w:val="18"/>
              </w:rPr>
              <w:t>Zone keys and TAZ map</w:t>
            </w:r>
          </w:p>
        </w:tc>
        <w:tc>
          <w:tcPr>
            <w:tcW w:type="dxa" w:w="3402"/>
          </w:tcPr>
          <w:p>
            <w:pPr>
              <w:spacing w:after="20"/>
            </w:pPr>
            <w:r/>
            <w:r>
              <w:rPr>
                <w:sz w:val="18"/>
              </w:rPr>
              <w:t>Links between the survey's zone system, the cellular zones, the 778 study TAZs and 36 superzones. The keys table is stored in Git LFS; a committed copy derived from the TAZ shapefile (identical on every TAZ) stands in for it.</w:t>
            </w:r>
          </w:p>
        </w:tc>
        <w:tc>
          <w:tcPr>
            <w:tcW w:type="dxa" w:w="3231"/>
          </w:tcPr>
          <w:p>
            <w:pPr>
              <w:spacing w:after="20"/>
            </w:pPr>
            <w:r/>
            <w:r>
              <w:rPr>
                <w:sz w:val="18"/>
              </w:rPr>
              <w:t>Zone conversion; trip lengths.</w:t>
            </w:r>
          </w:p>
        </w:tc>
      </w:tr>
    </w:tbl>
    <w:p>
      <w:pPr>
        <w:spacing w:after="40"/>
      </w:pPr>
    </w:p>
    <w:p>
      <w:pPr>
        <w:pStyle w:val="Heading2"/>
      </w:pPr>
      <w:r>
        <w:t>Words used in this report</w:t>
      </w:r>
    </w:p>
    <w:p>
      <w:pPr>
        <w:pStyle w:val="ListBullet"/>
      </w:pPr>
      <w:r>
        <w:rPr>
          <w:b/>
        </w:rPr>
        <w:t xml:space="preserve">OD matrix. </w:t>
      </w:r>
      <w:r>
        <w:rPr>
          <w:i w:val="0"/>
        </w:rPr>
        <w:t>A table with one row per origin zone and one column per destination zone. Each cell holds the number of trips from that origin to that destination in the morning peak.</w:t>
      </w:r>
    </w:p>
    <w:p>
      <w:pPr>
        <w:pStyle w:val="ListBullet"/>
      </w:pPr>
      <w:r>
        <w:rPr>
          <w:b/>
        </w:rPr>
        <w:t xml:space="preserve">TAZ, superzone, sub-area, corridor. </w:t>
      </w:r>
      <w:r>
        <w:rPr>
          <w:i w:val="0"/>
        </w:rPr>
        <w:t>The 778 study zones. Superzones group them into 36 larger areas; the 28 sub-areas are named districts around the LRT corridor; the corridor itself is 119 TAZs, and 18 sub-areas form the line sequence.</w:t>
      </w:r>
    </w:p>
    <w:p>
      <w:pPr>
        <w:pStyle w:val="ListBullet"/>
      </w:pPr>
      <w:r>
        <w:rPr>
          <w:b/>
        </w:rPr>
        <w:t xml:space="preserve">Expansion weight. </w:t>
      </w:r>
      <w:r>
        <w:rPr>
          <w:i w:val="0"/>
        </w:rPr>
        <w:t>The number of real trips each surveyed trip stands for. A survey of about 4,100 households is scaled up to the whole population this way.</w:t>
      </w:r>
    </w:p>
    <w:p>
      <w:pPr>
        <w:pStyle w:val="ListBullet"/>
      </w:pPr>
      <w:r>
        <w:rPr>
          <w:b/>
        </w:rPr>
        <w:t xml:space="preserve">Destination pattern. </w:t>
      </w:r>
      <w:r>
        <w:rPr>
          <w:i w:val="0"/>
        </w:rPr>
        <w:t>The share of an origin's trips going to each destination, ignoring how many trips the origin makes.</w:t>
      </w:r>
    </w:p>
    <w:p>
      <w:pPr>
        <w:pStyle w:val="ListBullet"/>
      </w:pPr>
      <w:r>
        <w:rPr>
          <w:b/>
        </w:rPr>
        <w:t xml:space="preserve">Segment. </w:t>
      </w:r>
      <w:r>
        <w:rPr>
          <w:i w:val="0"/>
        </w:rPr>
        <w:t>For a given origin superzone, one of three groups of destinations: local (the same superzone), corridor-bound (another superzone that contains LRT-corridor TAZs), or other.</w:t>
      </w:r>
    </w:p>
    <w:p>
      <w:pPr>
        <w:pStyle w:val="ListBullet"/>
      </w:pPr>
      <w:r>
        <w:rPr>
          <w:b/>
        </w:rPr>
        <w:t xml:space="preserve">Shrinkage (empirical Bayes). </w:t>
      </w:r>
      <w:r>
        <w:rPr>
          <w:i w:val="0"/>
        </w:rPr>
        <w:t>When a survey zone has too few observations, its destination pattern is pulled part-way toward a reference pattern. The pull is weaker the more observations the zone has. The strength is a single number, k, chosen by testing on held-out data.</w:t>
      </w:r>
    </w:p>
    <w:p>
      <w:pPr>
        <w:pStyle w:val="ListBullet"/>
      </w:pPr>
      <w:r>
        <w:rPr>
          <w:b/>
        </w:rPr>
        <w:t xml:space="preserve">Furness (iterative proportional fitting). </w:t>
      </w:r>
      <w:r>
        <w:rPr>
          <w:i w:val="0"/>
        </w:rPr>
        <w:t>A standard way to scale a matrix so that its row totals and column totals hit given targets while keeping its internal pattern.</w:t>
      </w:r>
    </w:p>
    <w:p>
      <w:pPr>
        <w:pStyle w:val="ListBullet"/>
      </w:pPr>
      <w:r>
        <w:rPr>
          <w:b/>
        </w:rPr>
        <w:t xml:space="preserve">Potential movements. </w:t>
      </w:r>
      <w:r>
        <w:rPr>
          <w:i w:val="0"/>
        </w:rPr>
        <w:t>Trips between two line areas, counted on every link between them as if they all used the line. A screening quantity, not a passenger load.</w:t>
      </w:r>
    </w:p>
    <w:p>
      <w:pPr>
        <w:pStyle w:val="ListBullet"/>
      </w:pPr>
      <w:r>
        <w:rPr>
          <w:b/>
        </w:rPr>
        <w:t xml:space="preserve">Peak-hour factor. </w:t>
      </w:r>
      <w:r>
        <w:rPr>
          <w:i w:val="0"/>
        </w:rPr>
        <w:t>PHF₃ₕ is the share of the three-hour trips that depart in the busiest 60 minutes (an average hour would be 0.333). PHF₆₀ is the conventional within-hour factor: peak-hour trips divided by four times the busiest 15 minutes (1.0 = a flat hour).</w:t>
      </w:r>
    </w:p>
    <w:p>
      <w:pPr>
        <w:pStyle w:val="Heading1"/>
      </w:pPr>
      <w:r>
        <w:t>3. Part A — the survey-only matrix</w:t>
      </w:r>
    </w:p>
    <w:p>
      <w:pPr>
        <w:pStyle w:val="Heading2"/>
      </w:pPr>
      <w:r>
        <w:t>3.1 From activities to trips</w:t>
      </w:r>
    </w:p>
    <w:p>
      <w:r>
        <w:rPr>
          <w:i w:val="0"/>
        </w:rPr>
        <w:t>The survey file lists the places each person visited during the day, in order. A trip runs from one place to the next. Its departure hour is the hour the person left the first place, and its mode is the mode used to reach the second place. Trips leaving between 06:00 and 09:00 are kept. Each trip counts with its expansion weight. Trips with either end outside the study area are set aside (1,197 sampled trips, about 5 % of the weight; most surveyed rail trips are among them, and bringing them back as an external segment is an open task).</w:t>
      </w:r>
    </w:p>
    <w:p>
      <w:r>
        <w:rPr>
          <w:i w:val="0"/>
        </w:rPr>
        <w:t>The two survey days are averaged cell by cell to give a representative weekday. The two days are also kept separately. Their agreement with each other is used throughout as a reference for repeatability. It is not a ceiling: the two days are the same households, so they can agree with each other more closely than either agrees with the truth, and a matrix built from the survey can score above it.</w:t>
      </w:r>
    </w:p>
    <w:p>
      <w:pPr>
        <w:pStyle w:val="Heading2"/>
      </w:pPr>
      <w:r>
        <w:t>3.2 From survey zones to study zones without cellular data</w:t>
      </w:r>
    </w:p>
    <w:p>
      <w:r>
        <w:rPr>
          <w:i w:val="0"/>
        </w:rPr>
        <w:t>The survey records places in a national system of 2,636 zones. A key file maps them to 1,250-zone units, and each of those holds up to eight study TAZs. The earlier pipeline split trips among those TAZs using cellular flows. For the survey-only matrix, the split uses the 2020 zonal file instead: trips are shared out among a zone's TAZs by population on the origin side and by employment on the destination side. Where a zone has no population, employment is used, and where it has neither, the split is equal.</w:t>
      </w:r>
    </w:p>
    <w:p>
      <w:r>
        <w:rPr>
          <w:i w:val="0"/>
        </w:rPr>
        <w:t>Below the 1,250-zone level the TAZ detail is therefore a population / employment split, not something the survey observed. Superzone and sub-area figures are the fair level for judging the survey. The split is also purpose-blind: it is a reasonable first assumption for home-to-work trips and a weak one for education, shopping and escort trips, which is on the task list.</w:t>
      </w:r>
    </w:p>
    <w:p>
      <w:pPr>
        <w:pStyle w:val="Heading2"/>
      </w:pPr>
      <w:r>
        <w:t>3.3 Modes</w:t>
      </w:r>
    </w:p>
    <w:p>
      <w:r>
        <w:rPr>
          <w:i w:val="0"/>
        </w:rPr>
        <w:t>The trips file codes the main mode of each trip. The codes were read through the file's own mode groups and the 2018 codebook:</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14"/>
            <w:shd w:val="clear" w:color="auto" w:fill="E8EEF6"/>
          </w:tcPr>
          <w:p>
            <w:pPr>
              <w:spacing w:after="20"/>
            </w:pPr>
            <w:r/>
            <w:r>
              <w:rPr>
                <w:b/>
                <w:sz w:val="18"/>
              </w:rPr>
              <w:t>Component</w:t>
            </w:r>
          </w:p>
        </w:tc>
        <w:tc>
          <w:tcPr>
            <w:tcW w:type="dxa" w:w="2268"/>
            <w:shd w:val="clear" w:color="auto" w:fill="E8EEF6"/>
          </w:tcPr>
          <w:p>
            <w:pPr>
              <w:spacing w:after="20"/>
            </w:pPr>
            <w:r/>
            <w:r>
              <w:rPr>
                <w:b/>
                <w:sz w:val="18"/>
              </w:rPr>
              <w:t>Main mode codes</w:t>
            </w:r>
          </w:p>
        </w:tc>
        <w:tc>
          <w:tcPr>
            <w:tcW w:type="dxa" w:w="1701"/>
            <w:shd w:val="clear" w:color="auto" w:fill="E8EEF6"/>
          </w:tcPr>
          <w:p>
            <w:pPr>
              <w:spacing w:after="20"/>
            </w:pPr>
            <w:r/>
            <w:r>
              <w:rPr>
                <w:b/>
                <w:sz w:val="18"/>
              </w:rPr>
              <w:t>Weekday trips (2018)</w:t>
            </w:r>
          </w:p>
        </w:tc>
        <w:tc>
          <w:tcPr>
            <w:tcW w:type="dxa" w:w="3231"/>
            <w:shd w:val="clear" w:color="auto" w:fill="E8EEF6"/>
          </w:tcPr>
          <w:p>
            <w:pPr>
              <w:spacing w:after="20"/>
            </w:pPr>
            <w:r/>
            <w:r>
              <w:rPr>
                <w:b/>
                <w:sz w:val="18"/>
              </w:rPr>
              <w:t>Treatment</w:t>
            </w:r>
          </w:p>
        </w:tc>
      </w:tr>
      <w:tr>
        <w:tc>
          <w:tcPr>
            <w:tcW w:type="dxa" w:w="1814"/>
          </w:tcPr>
          <w:p>
            <w:pPr>
              <w:spacing w:after="20"/>
            </w:pPr>
            <w:r/>
            <w:r>
              <w:rPr>
                <w:sz w:val="18"/>
              </w:rPr>
              <w:t>Car</w:t>
            </w:r>
          </w:p>
        </w:tc>
        <w:tc>
          <w:tcPr>
            <w:tcW w:type="dxa" w:w="2268"/>
          </w:tcPr>
          <w:p>
            <w:pPr>
              <w:spacing w:after="20"/>
            </w:pPr>
            <w:r/>
            <w:r>
              <w:rPr>
                <w:sz w:val="18"/>
              </w:rPr>
              <w:t>10 driver, 11 passenger</w:t>
            </w:r>
          </w:p>
        </w:tc>
        <w:tc>
          <w:tcPr>
            <w:tcW w:type="dxa" w:w="1701"/>
          </w:tcPr>
          <w:p>
            <w:pPr>
              <w:spacing w:after="20"/>
              <w:jc w:val="right"/>
            </w:pPr>
            <w:r/>
            <w:r>
              <w:rPr>
                <w:sz w:val="18"/>
              </w:rPr>
              <w:t>1,283,589</w:t>
            </w:r>
          </w:p>
        </w:tc>
        <w:tc>
          <w:tcPr>
            <w:tcW w:type="dxa" w:w="3231"/>
          </w:tcPr>
          <w:p>
            <w:pPr>
              <w:spacing w:after="20"/>
              <w:jc w:val="right"/>
            </w:pPr>
            <w:r/>
            <w:r>
              <w:rPr>
                <w:sz w:val="18"/>
              </w:rPr>
              <w:t>Survey only</w:t>
            </w:r>
          </w:p>
        </w:tc>
      </w:tr>
      <w:tr>
        <w:tc>
          <w:tcPr>
            <w:tcW w:type="dxa" w:w="1814"/>
          </w:tcPr>
          <w:p>
            <w:pPr>
              <w:spacing w:after="20"/>
            </w:pPr>
            <w:r/>
            <w:r>
              <w:rPr>
                <w:sz w:val="18"/>
              </w:rPr>
              <w:t>Bus</w:t>
            </w:r>
          </w:p>
        </w:tc>
        <w:tc>
          <w:tcPr>
            <w:tcW w:type="dxa" w:w="2268"/>
          </w:tcPr>
          <w:p>
            <w:pPr>
              <w:spacing w:after="20"/>
            </w:pPr>
            <w:r/>
            <w:r>
              <w:rPr>
                <w:sz w:val="18"/>
              </w:rPr>
              <w:t>3 public bus, 4 Matronit</w:t>
            </w:r>
          </w:p>
        </w:tc>
        <w:tc>
          <w:tcPr>
            <w:tcW w:type="dxa" w:w="1701"/>
          </w:tcPr>
          <w:p>
            <w:pPr>
              <w:spacing w:after="20"/>
              <w:jc w:val="right"/>
            </w:pPr>
            <w:r/>
            <w:r>
              <w:rPr>
                <w:sz w:val="18"/>
              </w:rPr>
              <w:t>116,083</w:t>
            </w:r>
          </w:p>
        </w:tc>
        <w:tc>
          <w:tcPr>
            <w:tcW w:type="dxa" w:w="3231"/>
          </w:tcPr>
          <w:p>
            <w:pPr>
              <w:spacing w:after="20"/>
              <w:jc w:val="right"/>
            </w:pPr>
            <w:r/>
            <w:r>
              <w:rPr>
                <w:sz w:val="18"/>
              </w:rPr>
              <w:t>Calibrated to ticketing (Part C)</w:t>
            </w:r>
          </w:p>
        </w:tc>
      </w:tr>
      <w:tr>
        <w:tc>
          <w:tcPr>
            <w:tcW w:type="dxa" w:w="1814"/>
          </w:tcPr>
          <w:p>
            <w:pPr>
              <w:spacing w:after="20"/>
            </w:pPr>
            <w:r/>
            <w:r>
              <w:rPr>
                <w:sz w:val="18"/>
              </w:rPr>
              <w:t>Taxi-type</w:t>
            </w:r>
          </w:p>
        </w:tc>
        <w:tc>
          <w:tcPr>
            <w:tcW w:type="dxa" w:w="2268"/>
          </w:tcPr>
          <w:p>
            <w:pPr>
              <w:spacing w:after="20"/>
            </w:pPr>
            <w:r/>
            <w:r>
              <w:rPr>
                <w:sz w:val="18"/>
              </w:rPr>
              <w:t>5 special taxi, 8 group taxi</w:t>
            </w:r>
          </w:p>
        </w:tc>
        <w:tc>
          <w:tcPr>
            <w:tcW w:type="dxa" w:w="1701"/>
          </w:tcPr>
          <w:p>
            <w:pPr>
              <w:spacing w:after="20"/>
              <w:jc w:val="right"/>
            </w:pPr>
            <w:r/>
            <w:r>
              <w:rPr>
                <w:sz w:val="18"/>
              </w:rPr>
              <w:t>18,266</w:t>
            </w:r>
          </w:p>
        </w:tc>
        <w:tc>
          <w:tcPr>
            <w:tcW w:type="dxa" w:w="3231"/>
          </w:tcPr>
          <w:p>
            <w:pPr>
              <w:spacing w:after="20"/>
              <w:jc w:val="right"/>
            </w:pPr>
            <w:r/>
            <w:r>
              <w:rPr>
                <w:sz w:val="18"/>
              </w:rPr>
              <w:t>Survey only; its own layer from Part D on</w:t>
            </w:r>
          </w:p>
        </w:tc>
      </w:tr>
      <w:tr>
        <w:tc>
          <w:tcPr>
            <w:tcW w:type="dxa" w:w="1814"/>
          </w:tcPr>
          <w:p>
            <w:pPr>
              <w:spacing w:after="20"/>
            </w:pPr>
            <w:r/>
            <w:r>
              <w:rPr>
                <w:sz w:val="18"/>
              </w:rPr>
              <w:t>Rail</w:t>
            </w:r>
          </w:p>
        </w:tc>
        <w:tc>
          <w:tcPr>
            <w:tcW w:type="dxa" w:w="2268"/>
          </w:tcPr>
          <w:p>
            <w:pPr>
              <w:spacing w:after="20"/>
            </w:pPr>
            <w:r/>
            <w:r>
              <w:rPr>
                <w:sz w:val="18"/>
              </w:rPr>
              <w:t>7 train</w:t>
            </w:r>
          </w:p>
        </w:tc>
        <w:tc>
          <w:tcPr>
            <w:tcW w:type="dxa" w:w="1701"/>
          </w:tcPr>
          <w:p>
            <w:pPr>
              <w:spacing w:after="20"/>
              <w:jc w:val="right"/>
            </w:pPr>
            <w:r/>
            <w:r>
              <w:rPr>
                <w:sz w:val="18"/>
              </w:rPr>
              <w:t>5,109</w:t>
            </w:r>
          </w:p>
        </w:tc>
        <w:tc>
          <w:tcPr>
            <w:tcW w:type="dxa" w:w="3231"/>
          </w:tcPr>
          <w:p>
            <w:pPr>
              <w:spacing w:after="20"/>
              <w:jc w:val="right"/>
            </w:pPr>
            <w:r/>
            <w:r>
              <w:rPr>
                <w:sz w:val="18"/>
              </w:rPr>
              <w:t>Survey only</w:t>
            </w:r>
          </w:p>
        </w:tc>
      </w:tr>
      <w:tr>
        <w:tc>
          <w:tcPr>
            <w:tcW w:type="dxa" w:w="1814"/>
          </w:tcPr>
          <w:p>
            <w:pPr>
              <w:spacing w:after="20"/>
            </w:pPr>
            <w:r/>
            <w:r>
              <w:rPr>
                <w:sz w:val="18"/>
              </w:rPr>
              <w:t>Other (walk, bicycle, …)</w:t>
            </w:r>
          </w:p>
        </w:tc>
        <w:tc>
          <w:tcPr>
            <w:tcW w:type="dxa" w:w="2268"/>
          </w:tcPr>
          <w:p>
            <w:pPr>
              <w:spacing w:after="20"/>
            </w:pPr>
            <w:r/>
            <w:r>
              <w:rPr>
                <w:sz w:val="18"/>
              </w:rPr>
              <w:t>1, 2, 9, 12, 13, 99</w:t>
            </w:r>
          </w:p>
        </w:tc>
        <w:tc>
          <w:tcPr>
            <w:tcW w:type="dxa" w:w="1701"/>
          </w:tcPr>
          <w:p>
            <w:pPr>
              <w:spacing w:after="20"/>
              <w:jc w:val="right"/>
            </w:pPr>
            <w:r/>
            <w:r>
              <w:rPr>
                <w:sz w:val="18"/>
              </w:rPr>
              <w:t>645,111</w:t>
            </w:r>
          </w:p>
        </w:tc>
        <w:tc>
          <w:tcPr>
            <w:tcW w:type="dxa" w:w="3231"/>
          </w:tcPr>
          <w:p>
            <w:pPr>
              <w:spacing w:after="20"/>
              <w:jc w:val="right"/>
            </w:pPr>
            <w:r/>
            <w:r>
              <w:rPr>
                <w:sz w:val="18"/>
              </w:rPr>
              <w:t>Reported, not part of the car / transit matrix</w:t>
            </w:r>
          </w:p>
        </w:tc>
      </w:tr>
    </w:tbl>
    <w:p>
      <w:pPr>
        <w:spacing w:after="40"/>
      </w:pPr>
    </w:p>
    <w:p>
      <w:r>
        <w:rPr>
          <w:i w:val="0"/>
        </w:rPr>
        <w:t>The exact meaning of codes 5 and 8 has not been confirmed against the survey codebook. Hired taxis and shared taxis need not share the fares, access or transfer behaviour of scheduled bus, so they are kept apart until that is settled. Before calibration, transit (bus + taxi-type + rail) is 9.8 % of car + transit trips.</w:t>
      </w:r>
    </w:p>
    <w:p>
      <w:pPr>
        <w:pStyle w:val="Heading1"/>
      </w:pPr>
      <w:r>
        <w:t>4. Part B — how the survey compares with the cellular and hybrid matrices</w:t>
      </w:r>
    </w:p>
    <w:p>
      <w:r>
        <w:rPr>
          <w:i w:val="0"/>
        </w:rPr>
        <w:t>Four families of tests were run on three matrices: the survey (built from the trips file exactly as in the pipeline), the cellular matrix (with each cellular trip counted once when converted to TAZs), and the survey × cellular hybrid. All tests are run at four levels: 36 superzones, 25 GS zones, the 28 sub-areas and the 778 TAZs.</w:t>
      </w:r>
    </w:p>
    <w:p>
      <w:r>
        <w:rPr>
          <w:i w:val="0"/>
        </w:rPr>
        <w:t>Two references are used everywhere. The first is the survey's day 1 against its day 2: a measure of how repeatable the survey is, useful for reading the size of a difference, but not an upper bound. The second is a chance level, obtained by scrambling the geography of one matrix and repeating the test: anything at that level is meaningless.</w:t>
      </w:r>
    </w:p>
    <w:p>
      <w:pPr>
        <w:pStyle w:val="Heading2"/>
      </w:pPr>
      <w:r>
        <w:t>4.1 Cosine similarity — is the demand in the same cells?</w:t>
      </w:r>
    </w:p>
    <w:p>
      <w:r>
        <w:rPr>
          <w:i w:val="0"/>
        </w:rPr>
        <w:t>Cosine similarity lays both matrices out as long lists of cells and measures the angle between them. It equals 1 when the two lists are proportional, and it ignores the total volume. It is driven by the largest cells, so it is also computed without the diagonal (trips that stay inside one zone) and on destination patterns.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814"/>
            <w:shd w:val="clear" w:color="auto" w:fill="E8EEF6"/>
          </w:tcPr>
          <w:p>
            <w:pPr>
              <w:spacing w:after="20"/>
            </w:pPr>
            <w:r/>
            <w:r>
              <w:rPr>
                <w:b/>
                <w:sz w:val="18"/>
              </w:rPr>
              <w:t>Level</w:t>
            </w:r>
          </w:p>
        </w:tc>
        <w:tc>
          <w:tcPr>
            <w:tcW w:type="dxa" w:w="1417"/>
            <w:shd w:val="clear" w:color="auto" w:fill="E8EEF6"/>
          </w:tcPr>
          <w:p>
            <w:pPr>
              <w:spacing w:after="20"/>
            </w:pPr>
            <w:r/>
            <w:r>
              <w:rPr>
                <w:b/>
                <w:sz w:val="18"/>
              </w:rPr>
              <w:t>Day 1 vs day 2</w:t>
            </w:r>
          </w:p>
        </w:tc>
        <w:tc>
          <w:tcPr>
            <w:tcW w:type="dxa" w:w="1417"/>
            <w:shd w:val="clear" w:color="auto" w:fill="E8EEF6"/>
          </w:tcPr>
          <w:p>
            <w:pPr>
              <w:spacing w:after="20"/>
            </w:pPr>
            <w:r/>
            <w:r>
              <w:rPr>
                <w:b/>
                <w:sz w:val="18"/>
              </w:rPr>
              <w:t>Survey vs cellular</w:t>
            </w:r>
          </w:p>
        </w:tc>
        <w:tc>
          <w:tcPr>
            <w:tcW w:type="dxa" w:w="1417"/>
            <w:shd w:val="clear" w:color="auto" w:fill="E8EEF6"/>
          </w:tcPr>
          <w:p>
            <w:pPr>
              <w:spacing w:after="20"/>
            </w:pPr>
            <w:r/>
            <w:r>
              <w:rPr>
                <w:b/>
                <w:sz w:val="18"/>
              </w:rPr>
              <w:t>Hybrid vs cellular</w:t>
            </w:r>
          </w:p>
        </w:tc>
        <w:tc>
          <w:tcPr>
            <w:tcW w:type="dxa" w:w="1417"/>
            <w:shd w:val="clear" w:color="auto" w:fill="E8EEF6"/>
          </w:tcPr>
          <w:p>
            <w:pPr>
              <w:spacing w:after="20"/>
            </w:pPr>
            <w:r/>
            <w:r>
              <w:rPr>
                <w:b/>
                <w:sz w:val="18"/>
              </w:rPr>
              <w:t>Hybrid vs survey</w:t>
            </w:r>
          </w:p>
        </w:tc>
        <w:tc>
          <w:tcPr>
            <w:tcW w:type="dxa" w:w="1417"/>
            <w:shd w:val="clear" w:color="auto" w:fill="E8EEF6"/>
          </w:tcPr>
          <w:p>
            <w:pPr>
              <w:spacing w:after="20"/>
            </w:pPr>
            <w:r/>
            <w:r>
              <w:rPr>
                <w:b/>
                <w:sz w:val="18"/>
              </w:rPr>
              <w:t>Chance level</w:t>
            </w:r>
          </w:p>
        </w:tc>
      </w:tr>
      <w:tr>
        <w:tc>
          <w:tcPr>
            <w:tcW w:type="dxa" w:w="1814"/>
          </w:tcPr>
          <w:p>
            <w:pPr>
              <w:spacing w:after="20"/>
            </w:pPr>
            <w:r/>
            <w:r>
              <w:rPr>
                <w:sz w:val="18"/>
              </w:rPr>
              <w:t>Superzone (36)</w:t>
            </w:r>
          </w:p>
        </w:tc>
        <w:tc>
          <w:tcPr>
            <w:tcW w:type="dxa" w:w="1417"/>
          </w:tcPr>
          <w:p>
            <w:pPr>
              <w:spacing w:after="20"/>
              <w:jc w:val="right"/>
            </w:pPr>
            <w:r/>
            <w:r>
              <w:rPr>
                <w:sz w:val="18"/>
              </w:rPr>
              <w:t>0.996</w:t>
            </w:r>
          </w:p>
        </w:tc>
        <w:tc>
          <w:tcPr>
            <w:tcW w:type="dxa" w:w="1417"/>
          </w:tcPr>
          <w:p>
            <w:pPr>
              <w:spacing w:after="20"/>
              <w:jc w:val="right"/>
            </w:pPr>
            <w:r/>
            <w:r>
              <w:rPr>
                <w:sz w:val="18"/>
              </w:rPr>
              <w:t>0.915</w:t>
            </w:r>
          </w:p>
        </w:tc>
        <w:tc>
          <w:tcPr>
            <w:tcW w:type="dxa" w:w="1417"/>
          </w:tcPr>
          <w:p>
            <w:pPr>
              <w:spacing w:after="20"/>
              <w:jc w:val="right"/>
            </w:pPr>
            <w:r/>
            <w:r>
              <w:rPr>
                <w:sz w:val="18"/>
              </w:rPr>
              <w:t>0.917</w:t>
            </w:r>
          </w:p>
        </w:tc>
        <w:tc>
          <w:tcPr>
            <w:tcW w:type="dxa" w:w="1417"/>
          </w:tcPr>
          <w:p>
            <w:pPr>
              <w:spacing w:after="20"/>
              <w:jc w:val="right"/>
            </w:pPr>
            <w:r/>
            <w:r>
              <w:rPr>
                <w:sz w:val="18"/>
              </w:rPr>
              <w:t>1.000</w:t>
            </w:r>
          </w:p>
        </w:tc>
        <w:tc>
          <w:tcPr>
            <w:tcW w:type="dxa" w:w="1417"/>
          </w:tcPr>
          <w:p>
            <w:pPr>
              <w:spacing w:after="20"/>
              <w:jc w:val="right"/>
            </w:pPr>
            <w:r/>
            <w:r>
              <w:rPr>
                <w:sz w:val="18"/>
              </w:rPr>
              <w:t>0.58</w:t>
            </w:r>
          </w:p>
        </w:tc>
      </w:tr>
      <w:tr>
        <w:tc>
          <w:tcPr>
            <w:tcW w:type="dxa" w:w="1814"/>
          </w:tcPr>
          <w:p>
            <w:pPr>
              <w:spacing w:after="20"/>
            </w:pPr>
            <w:r/>
            <w:r>
              <w:rPr>
                <w:sz w:val="18"/>
              </w:rPr>
              <w:t>GS (25)</w:t>
            </w:r>
          </w:p>
        </w:tc>
        <w:tc>
          <w:tcPr>
            <w:tcW w:type="dxa" w:w="1417"/>
          </w:tcPr>
          <w:p>
            <w:pPr>
              <w:spacing w:after="20"/>
              <w:jc w:val="right"/>
            </w:pPr>
            <w:r/>
            <w:r>
              <w:rPr>
                <w:sz w:val="18"/>
              </w:rPr>
              <w:t>0.999</w:t>
            </w:r>
          </w:p>
        </w:tc>
        <w:tc>
          <w:tcPr>
            <w:tcW w:type="dxa" w:w="1417"/>
          </w:tcPr>
          <w:p>
            <w:pPr>
              <w:spacing w:after="20"/>
              <w:jc w:val="right"/>
            </w:pPr>
            <w:r/>
            <w:r>
              <w:rPr>
                <w:sz w:val="18"/>
              </w:rPr>
              <w:t>0.953</w:t>
            </w:r>
          </w:p>
        </w:tc>
        <w:tc>
          <w:tcPr>
            <w:tcW w:type="dxa" w:w="1417"/>
          </w:tcPr>
          <w:p>
            <w:pPr>
              <w:spacing w:after="20"/>
              <w:jc w:val="right"/>
            </w:pPr>
            <w:r/>
            <w:r>
              <w:rPr>
                <w:sz w:val="18"/>
              </w:rPr>
              <w:t>0.963</w:t>
            </w:r>
          </w:p>
        </w:tc>
        <w:tc>
          <w:tcPr>
            <w:tcW w:type="dxa" w:w="1417"/>
          </w:tcPr>
          <w:p>
            <w:pPr>
              <w:spacing w:after="20"/>
              <w:jc w:val="right"/>
            </w:pPr>
            <w:r/>
            <w:r>
              <w:rPr>
                <w:sz w:val="18"/>
              </w:rPr>
              <w:t>0.994</w:t>
            </w:r>
          </w:p>
        </w:tc>
        <w:tc>
          <w:tcPr>
            <w:tcW w:type="dxa" w:w="1417"/>
          </w:tcPr>
          <w:p>
            <w:pPr>
              <w:spacing w:after="20"/>
              <w:jc w:val="right"/>
            </w:pPr>
            <w:r/>
            <w:r>
              <w:rPr>
                <w:sz w:val="18"/>
              </w:rPr>
              <w:t>0.28</w:t>
            </w:r>
          </w:p>
        </w:tc>
      </w:tr>
      <w:tr>
        <w:tc>
          <w:tcPr>
            <w:tcW w:type="dxa" w:w="1814"/>
          </w:tcPr>
          <w:p>
            <w:pPr>
              <w:spacing w:after="20"/>
            </w:pPr>
            <w:r/>
            <w:r>
              <w:rPr>
                <w:sz w:val="18"/>
              </w:rPr>
              <w:t>Sub-areas (28)</w:t>
            </w:r>
          </w:p>
        </w:tc>
        <w:tc>
          <w:tcPr>
            <w:tcW w:type="dxa" w:w="1417"/>
          </w:tcPr>
          <w:p>
            <w:pPr>
              <w:spacing w:after="20"/>
              <w:jc w:val="right"/>
            </w:pPr>
            <w:r/>
            <w:r>
              <w:rPr>
                <w:sz w:val="18"/>
              </w:rPr>
              <w:t>0.997</w:t>
            </w:r>
          </w:p>
        </w:tc>
        <w:tc>
          <w:tcPr>
            <w:tcW w:type="dxa" w:w="1417"/>
          </w:tcPr>
          <w:p>
            <w:pPr>
              <w:spacing w:after="20"/>
              <w:jc w:val="right"/>
            </w:pPr>
            <w:r/>
            <w:r>
              <w:rPr>
                <w:sz w:val="18"/>
              </w:rPr>
              <w:t>0.897</w:t>
            </w:r>
          </w:p>
        </w:tc>
        <w:tc>
          <w:tcPr>
            <w:tcW w:type="dxa" w:w="1417"/>
          </w:tcPr>
          <w:p>
            <w:pPr>
              <w:spacing w:after="20"/>
              <w:jc w:val="right"/>
            </w:pPr>
            <w:r/>
            <w:r>
              <w:rPr>
                <w:sz w:val="18"/>
              </w:rPr>
              <w:t>0.902</w:t>
            </w:r>
          </w:p>
        </w:tc>
        <w:tc>
          <w:tcPr>
            <w:tcW w:type="dxa" w:w="1417"/>
          </w:tcPr>
          <w:p>
            <w:pPr>
              <w:spacing w:after="20"/>
              <w:jc w:val="right"/>
            </w:pPr>
            <w:r/>
            <w:r>
              <w:rPr>
                <w:sz w:val="18"/>
              </w:rPr>
              <w:t>0.960</w:t>
            </w:r>
          </w:p>
        </w:tc>
        <w:tc>
          <w:tcPr>
            <w:tcW w:type="dxa" w:w="1417"/>
          </w:tcPr>
          <w:p>
            <w:pPr>
              <w:spacing w:after="20"/>
              <w:jc w:val="right"/>
            </w:pPr>
            <w:r/>
            <w:r>
              <w:rPr>
                <w:sz w:val="18"/>
              </w:rPr>
              <w:t>0.20</w:t>
            </w:r>
          </w:p>
        </w:tc>
      </w:tr>
      <w:tr>
        <w:tc>
          <w:tcPr>
            <w:tcW w:type="dxa" w:w="1814"/>
          </w:tcPr>
          <w:p>
            <w:pPr>
              <w:spacing w:after="20"/>
            </w:pPr>
            <w:r/>
            <w:r>
              <w:rPr>
                <w:sz w:val="18"/>
              </w:rPr>
              <w:t>TAZ (778)</w:t>
            </w:r>
          </w:p>
        </w:tc>
        <w:tc>
          <w:tcPr>
            <w:tcW w:type="dxa" w:w="1417"/>
          </w:tcPr>
          <w:p>
            <w:pPr>
              <w:spacing w:after="20"/>
              <w:jc w:val="right"/>
            </w:pPr>
            <w:r/>
            <w:r>
              <w:rPr>
                <w:sz w:val="18"/>
              </w:rPr>
              <w:t>0.972</w:t>
            </w:r>
          </w:p>
        </w:tc>
        <w:tc>
          <w:tcPr>
            <w:tcW w:type="dxa" w:w="1417"/>
          </w:tcPr>
          <w:p>
            <w:pPr>
              <w:spacing w:after="20"/>
              <w:jc w:val="right"/>
            </w:pPr>
            <w:r/>
            <w:r>
              <w:rPr>
                <w:sz w:val="18"/>
              </w:rPr>
              <w:t>0.442</w:t>
            </w:r>
          </w:p>
        </w:tc>
        <w:tc>
          <w:tcPr>
            <w:tcW w:type="dxa" w:w="1417"/>
          </w:tcPr>
          <w:p>
            <w:pPr>
              <w:spacing w:after="20"/>
              <w:jc w:val="right"/>
            </w:pPr>
            <w:r/>
            <w:r>
              <w:rPr>
                <w:sz w:val="18"/>
              </w:rPr>
              <w:t>0.734</w:t>
            </w:r>
          </w:p>
        </w:tc>
        <w:tc>
          <w:tcPr>
            <w:tcW w:type="dxa" w:w="1417"/>
          </w:tcPr>
          <w:p>
            <w:pPr>
              <w:spacing w:after="20"/>
              <w:jc w:val="right"/>
            </w:pPr>
            <w:r/>
            <w:r>
              <w:rPr>
                <w:sz w:val="18"/>
              </w:rPr>
              <w:t>0.432</w:t>
            </w:r>
          </w:p>
        </w:tc>
        <w:tc>
          <w:tcPr>
            <w:tcW w:type="dxa" w:w="1417"/>
          </w:tcPr>
          <w:p>
            <w:pPr>
              <w:spacing w:after="20"/>
              <w:jc w:val="right"/>
            </w:pPr>
            <w:r/>
            <w:r>
              <w:rPr>
                <w:sz w:val="18"/>
              </w:rPr>
              <w:t>0.14</w:t>
            </w:r>
          </w:p>
        </w:tc>
      </w:tr>
    </w:tbl>
    <w:p>
      <w:pPr>
        <w:spacing w:after="40"/>
      </w:pPr>
    </w:p>
    <w:p>
      <w:r>
        <w:rPr>
          <w:i/>
          <w:color w:val="52514E"/>
          <w:sz w:val="18"/>
        </w:rPr>
        <w:t>Cosine similarity of the raw matrices. Chance level = mean over 2,000 (300 at TAZ) geography scramblings.</w:t>
      </w:r>
    </w:p>
    <w:p>
      <w:r>
        <w:rPr>
          <w:i w:val="0"/>
        </w:rPr>
        <w:t>What it says: the survey and the cellular matrix share a real regional pattern (0.92 at superzone level, against 0.58 by chance), but well below the survey's own repeatability (0.996). At TAZ level the survey and cellular agree only at 0.44; the hybrid, which was built on the cellular structure, sits at 0.73. Per origin, the worst-matching superzones are the corridor superzones 10 and 11, and the mismatch there is on the diagonal: without it they score 0.75 and 0.69.</w:t>
      </w:r>
    </w:p>
    <w:p>
      <w:pPr>
        <w:jc w:val="center"/>
      </w:pPr>
      <w:r>
        <w:drawing>
          <wp:inline xmlns:a="http://schemas.openxmlformats.org/drawingml/2006/main" xmlns:pic="http://schemas.openxmlformats.org/drawingml/2006/picture">
            <wp:extent cx="5724000" cy="2015082"/>
            <wp:docPr id="1" name="Picture 1"/>
            <wp:cNvGraphicFramePr>
              <a:graphicFrameLocks noChangeAspect="1"/>
            </wp:cNvGraphicFramePr>
            <a:graphic>
              <a:graphicData uri="http://schemas.openxmlformats.org/drawingml/2006/picture">
                <pic:pic>
                  <pic:nvPicPr>
                    <pic:cNvPr id="0" name="cosine_geh_whole_matrix.png"/>
                    <pic:cNvPicPr/>
                  </pic:nvPicPr>
                  <pic:blipFill>
                    <a:blip r:embed="rId9"/>
                    <a:stretch>
                      <a:fillRect/>
                    </a:stretch>
                  </pic:blipFill>
                  <pic:spPr>
                    <a:xfrm>
                      <a:off x="0" y="0"/>
                      <a:ext cx="5724000" cy="2015082"/>
                    </a:xfrm>
                    <a:prstGeom prst="rect"/>
                  </pic:spPr>
                </pic:pic>
              </a:graphicData>
            </a:graphic>
          </wp:inline>
        </w:drawing>
      </w:r>
    </w:p>
    <w:p>
      <w:r>
        <w:rPr>
          <w:i/>
          <w:color w:val="52514E"/>
          <w:sz w:val="18"/>
        </w:rPr>
        <w:t>Figure 1. Cosine similarity for every pair and level, raw matrices (left) and destination patterns (right).</w:t>
      </w:r>
    </w:p>
    <w:p>
      <w:pPr>
        <w:pStyle w:val="Heading2"/>
      </w:pPr>
      <w:r>
        <w:t>4.2 GEH — cell by cell, are the volumes within the usual tolerance?</w:t>
      </w:r>
    </w:p>
    <w:p>
      <w:r>
        <w:rPr>
          <w:i w:val="0"/>
        </w:rPr>
        <w:t>GEH is the statistic used to validate traffic counts. For two hourly flows m and c it is the square root of 2(m − c)² / (m + c); values under 5 are usually called a good match. The three-hour matrices are divided by 3 first, which gives an average hour, not the busiest one. GEH thresholds were set for link counts, not for weighted OD cells, so the shares below are read relative to each other, not against a fixed pass mark.</w:t>
      </w:r>
    </w:p>
    <w:p>
      <w:pPr>
        <w:pStyle w:val="Heading3"/>
      </w:pPr>
      <w:r>
        <w:t>The scale audit</w:t>
      </w:r>
    </w:p>
    <w:p>
      <w:r>
        <w:rPr>
          <w:i w:val="0"/>
        </w:rPr>
        <w:t>Before any rescaling, the survey carries 2,068,158 morning trips inside the study area and the cellular matrix 580,506: 3.6 times more. On trips between different cellular zones the ratio is 2.2. The difference is in short trips: 47 % of survey trips stay inside one cellular zone, against 14 % of cellular trips. After one overall scale factor, only 11 % of superzones have origin totals within GEH 5 of each other. The cellular product misses many short trips and its zone totals differ from the household expansion by more than a single factor. Which side is right cannot be decided without the cellular product's trip definition (dwell time, minimum distance, device-to-person expansion), which has not been supplied.</w:t>
      </w:r>
    </w:p>
    <w:p>
      <w:pPr>
        <w:pStyle w:val="Heading3"/>
      </w:pPr>
      <w:r>
        <w:t>The pattern test</w:t>
      </w:r>
    </w:p>
    <w:p>
      <w:r>
        <w:rPr>
          <w:i w:val="0"/>
        </w:rPr>
        <w:t>The cellular matrix was then given the survey's origin totals and compared cell by cell. The share of flow within GEH 5 is: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14"/>
            <w:shd w:val="clear" w:color="auto" w:fill="E8EEF6"/>
          </w:tcPr>
          <w:p>
            <w:pPr>
              <w:spacing w:after="20"/>
            </w:pPr>
            <w:r/>
            <w:r>
              <w:rPr>
                <w:b/>
                <w:sz w:val="18"/>
              </w:rPr>
              <w:t>Level</w:t>
            </w:r>
          </w:p>
        </w:tc>
        <w:tc>
          <w:tcPr>
            <w:tcW w:type="dxa" w:w="1757"/>
            <w:shd w:val="clear" w:color="auto" w:fill="E8EEF6"/>
          </w:tcPr>
          <w:p>
            <w:pPr>
              <w:spacing w:after="20"/>
            </w:pPr>
            <w:r/>
            <w:r>
              <w:rPr>
                <w:b/>
                <w:sz w:val="18"/>
              </w:rPr>
              <w:t>Day 1 vs day 2</w:t>
            </w:r>
          </w:p>
        </w:tc>
        <w:tc>
          <w:tcPr>
            <w:tcW w:type="dxa" w:w="1757"/>
            <w:shd w:val="clear" w:color="auto" w:fill="E8EEF6"/>
          </w:tcPr>
          <w:p>
            <w:pPr>
              <w:spacing w:after="20"/>
            </w:pPr>
            <w:r/>
            <w:r>
              <w:rPr>
                <w:b/>
                <w:sz w:val="18"/>
              </w:rPr>
              <w:t>Survey vs cellular</w:t>
            </w:r>
          </w:p>
        </w:tc>
        <w:tc>
          <w:tcPr>
            <w:tcW w:type="dxa" w:w="1757"/>
            <w:shd w:val="clear" w:color="auto" w:fill="E8EEF6"/>
          </w:tcPr>
          <w:p>
            <w:pPr>
              <w:spacing w:after="20"/>
            </w:pPr>
            <w:r/>
            <w:r>
              <w:rPr>
                <w:b/>
                <w:sz w:val="18"/>
              </w:rPr>
              <w:t>Hybrid vs cellular</w:t>
            </w:r>
          </w:p>
        </w:tc>
        <w:tc>
          <w:tcPr>
            <w:tcW w:type="dxa" w:w="1757"/>
            <w:shd w:val="clear" w:color="auto" w:fill="E8EEF6"/>
          </w:tcPr>
          <w:p>
            <w:pPr>
              <w:spacing w:after="20"/>
            </w:pPr>
            <w:r/>
            <w:r>
              <w:rPr>
                <w:b/>
                <w:sz w:val="18"/>
              </w:rPr>
              <w:t>Hybrid vs survey</w:t>
            </w:r>
          </w:p>
        </w:tc>
      </w:tr>
      <w:tr>
        <w:tc>
          <w:tcPr>
            <w:tcW w:type="dxa" w:w="1814"/>
          </w:tcPr>
          <w:p>
            <w:pPr>
              <w:spacing w:after="20"/>
            </w:pPr>
            <w:r/>
            <w:r>
              <w:rPr>
                <w:sz w:val="18"/>
              </w:rPr>
              <w:t>Superzone</w:t>
            </w:r>
          </w:p>
        </w:tc>
        <w:tc>
          <w:tcPr>
            <w:tcW w:type="dxa" w:w="1757"/>
          </w:tcPr>
          <w:p>
            <w:pPr>
              <w:spacing w:after="20"/>
              <w:jc w:val="right"/>
            </w:pPr>
            <w:r/>
            <w:r>
              <w:rPr>
                <w:sz w:val="18"/>
              </w:rPr>
              <w:t>46 %</w:t>
            </w:r>
          </w:p>
        </w:tc>
        <w:tc>
          <w:tcPr>
            <w:tcW w:type="dxa" w:w="1757"/>
          </w:tcPr>
          <w:p>
            <w:pPr>
              <w:spacing w:after="20"/>
              <w:jc w:val="right"/>
            </w:pPr>
            <w:r/>
            <w:r>
              <w:rPr>
                <w:sz w:val="18"/>
              </w:rPr>
              <w:t>6 %</w:t>
            </w:r>
          </w:p>
        </w:tc>
        <w:tc>
          <w:tcPr>
            <w:tcW w:type="dxa" w:w="1757"/>
          </w:tcPr>
          <w:p>
            <w:pPr>
              <w:spacing w:after="20"/>
              <w:jc w:val="right"/>
            </w:pPr>
            <w:r/>
            <w:r>
              <w:rPr>
                <w:sz w:val="18"/>
              </w:rPr>
              <w:t>5 %</w:t>
            </w:r>
          </w:p>
        </w:tc>
        <w:tc>
          <w:tcPr>
            <w:tcW w:type="dxa" w:w="1757"/>
          </w:tcPr>
          <w:p>
            <w:pPr>
              <w:spacing w:after="20"/>
              <w:jc w:val="right"/>
            </w:pPr>
            <w:r/>
            <w:r>
              <w:rPr>
                <w:sz w:val="18"/>
              </w:rPr>
              <w:t>94 %</w:t>
            </w:r>
          </w:p>
        </w:tc>
      </w:tr>
      <w:tr>
        <w:tc>
          <w:tcPr>
            <w:tcW w:type="dxa" w:w="1814"/>
          </w:tcPr>
          <w:p>
            <w:pPr>
              <w:spacing w:after="20"/>
            </w:pPr>
            <w:r/>
            <w:r>
              <w:rPr>
                <w:sz w:val="18"/>
              </w:rPr>
              <w:t>GS</w:t>
            </w:r>
          </w:p>
        </w:tc>
        <w:tc>
          <w:tcPr>
            <w:tcW w:type="dxa" w:w="1757"/>
          </w:tcPr>
          <w:p>
            <w:pPr>
              <w:spacing w:after="20"/>
              <w:jc w:val="right"/>
            </w:pPr>
            <w:r/>
            <w:r>
              <w:rPr>
                <w:sz w:val="18"/>
              </w:rPr>
              <w:t>39 %</w:t>
            </w:r>
          </w:p>
        </w:tc>
        <w:tc>
          <w:tcPr>
            <w:tcW w:type="dxa" w:w="1757"/>
          </w:tcPr>
          <w:p>
            <w:pPr>
              <w:spacing w:after="20"/>
              <w:jc w:val="right"/>
            </w:pPr>
            <w:r/>
            <w:r>
              <w:rPr>
                <w:sz w:val="18"/>
              </w:rPr>
              <w:t>1 %</w:t>
            </w:r>
          </w:p>
        </w:tc>
        <w:tc>
          <w:tcPr>
            <w:tcW w:type="dxa" w:w="1757"/>
          </w:tcPr>
          <w:p>
            <w:pPr>
              <w:spacing w:after="20"/>
              <w:jc w:val="right"/>
            </w:pPr>
            <w:r/>
            <w:r>
              <w:rPr>
                <w:sz w:val="18"/>
              </w:rPr>
              <w:t>2 %</w:t>
            </w:r>
          </w:p>
        </w:tc>
        <w:tc>
          <w:tcPr>
            <w:tcW w:type="dxa" w:w="1757"/>
          </w:tcPr>
          <w:p>
            <w:pPr>
              <w:spacing w:after="20"/>
              <w:jc w:val="right"/>
            </w:pPr>
            <w:r/>
            <w:r>
              <w:rPr>
                <w:sz w:val="18"/>
              </w:rPr>
              <w:t>52 %</w:t>
            </w:r>
          </w:p>
        </w:tc>
      </w:tr>
      <w:tr>
        <w:tc>
          <w:tcPr>
            <w:tcW w:type="dxa" w:w="1814"/>
          </w:tcPr>
          <w:p>
            <w:pPr>
              <w:spacing w:after="20"/>
            </w:pPr>
            <w:r/>
            <w:r>
              <w:rPr>
                <w:sz w:val="18"/>
              </w:rPr>
              <w:t>Sub-areas</w:t>
            </w:r>
          </w:p>
        </w:tc>
        <w:tc>
          <w:tcPr>
            <w:tcW w:type="dxa" w:w="1757"/>
          </w:tcPr>
          <w:p>
            <w:pPr>
              <w:spacing w:after="20"/>
              <w:jc w:val="right"/>
            </w:pPr>
            <w:r/>
            <w:r>
              <w:rPr>
                <w:sz w:val="18"/>
              </w:rPr>
              <w:t>63 %</w:t>
            </w:r>
          </w:p>
        </w:tc>
        <w:tc>
          <w:tcPr>
            <w:tcW w:type="dxa" w:w="1757"/>
          </w:tcPr>
          <w:p>
            <w:pPr>
              <w:spacing w:after="20"/>
              <w:jc w:val="right"/>
            </w:pPr>
            <w:r/>
            <w:r>
              <w:rPr>
                <w:sz w:val="18"/>
              </w:rPr>
              <w:t>9 %</w:t>
            </w:r>
          </w:p>
        </w:tc>
        <w:tc>
          <w:tcPr>
            <w:tcW w:type="dxa" w:w="1757"/>
          </w:tcPr>
          <w:p>
            <w:pPr>
              <w:spacing w:after="20"/>
              <w:jc w:val="right"/>
            </w:pPr>
            <w:r/>
            <w:r>
              <w:rPr>
                <w:sz w:val="18"/>
              </w:rPr>
              <w:t>13 %</w:t>
            </w:r>
          </w:p>
        </w:tc>
        <w:tc>
          <w:tcPr>
            <w:tcW w:type="dxa" w:w="1757"/>
          </w:tcPr>
          <w:p>
            <w:pPr>
              <w:spacing w:after="20"/>
              <w:jc w:val="right"/>
            </w:pPr>
            <w:r/>
            <w:r>
              <w:rPr>
                <w:sz w:val="18"/>
              </w:rPr>
              <w:t>15 %</w:t>
            </w:r>
          </w:p>
        </w:tc>
      </w:tr>
      <w:tr>
        <w:tc>
          <w:tcPr>
            <w:tcW w:type="dxa" w:w="1814"/>
          </w:tcPr>
          <w:p>
            <w:pPr>
              <w:spacing w:after="20"/>
            </w:pPr>
            <w:r/>
            <w:r>
              <w:rPr>
                <w:sz w:val="18"/>
              </w:rPr>
              <w:t>TAZ</w:t>
            </w:r>
          </w:p>
        </w:tc>
        <w:tc>
          <w:tcPr>
            <w:tcW w:type="dxa" w:w="1757"/>
          </w:tcPr>
          <w:p>
            <w:pPr>
              <w:spacing w:after="20"/>
              <w:jc w:val="right"/>
            </w:pPr>
            <w:r/>
            <w:r>
              <w:rPr>
                <w:sz w:val="18"/>
              </w:rPr>
              <w:t>79 %</w:t>
            </w:r>
          </w:p>
        </w:tc>
        <w:tc>
          <w:tcPr>
            <w:tcW w:type="dxa" w:w="1757"/>
          </w:tcPr>
          <w:p>
            <w:pPr>
              <w:spacing w:after="20"/>
              <w:jc w:val="right"/>
            </w:pPr>
            <w:r/>
            <w:r>
              <w:rPr>
                <w:sz w:val="18"/>
              </w:rPr>
              <w:t>46 %</w:t>
            </w:r>
          </w:p>
        </w:tc>
        <w:tc>
          <w:tcPr>
            <w:tcW w:type="dxa" w:w="1757"/>
          </w:tcPr>
          <w:p>
            <w:pPr>
              <w:spacing w:after="20"/>
              <w:jc w:val="right"/>
            </w:pPr>
            <w:r/>
            <w:r>
              <w:rPr>
                <w:sz w:val="18"/>
              </w:rPr>
              <w:t>67 %</w:t>
            </w:r>
          </w:p>
        </w:tc>
        <w:tc>
          <w:tcPr>
            <w:tcW w:type="dxa" w:w="1757"/>
          </w:tcPr>
          <w:p>
            <w:pPr>
              <w:spacing w:after="20"/>
              <w:jc w:val="right"/>
            </w:pPr>
            <w:r/>
            <w:r>
              <w:rPr>
                <w:sz w:val="18"/>
              </w:rPr>
              <w:t>39 %</w:t>
            </w:r>
          </w:p>
        </w:tc>
      </w:tr>
    </w:tbl>
    <w:p>
      <w:pPr>
        <w:spacing w:after="40"/>
      </w:pPr>
    </w:p>
    <w:p>
      <w:r>
        <w:rPr>
          <w:i/>
          <w:color w:val="52514E"/>
          <w:sz w:val="18"/>
        </w:rPr>
        <w:t>Share of flow in cells with GEH &lt; 5, hourly flows, cellular given the survey's origin totals.</w:t>
      </w:r>
    </w:p>
    <w:p>
      <w:r>
        <w:rPr>
          <w:i w:val="0"/>
        </w:rPr>
        <w:t>GEH is harsh at aggregate levels because the cells are large (a superzone cell can carry 6,000 trips an hour, where GEH 5 means about ±4 %). Even the two survey days pass in under half of superzone flow. Survey and hybrid agree with cellular on 5–13 % of flow at the aggregate levels, against 39–63 % for the two survey days. For the corridor: the cellular pattern puts 1.8 times the hybrid's flow from outside into the corridor, and 0.75 times its flow inside the corridor.</w:t>
      </w:r>
    </w:p>
    <w:p>
      <w:pPr>
        <w:pStyle w:val="Heading2"/>
      </w:pPr>
      <w:r>
        <w:t>4.3 Kolmogorov–Smirnov — are the trip lengths the same?</w:t>
      </w:r>
    </w:p>
    <w:p>
      <w:r>
        <w:rPr>
          <w:i w:val="0"/>
        </w:rPr>
        <w:t>A KS test compares two distributions and reports D, the largest gap between their cumulative curves. Here it was applied to the distribution of trips by straight-line centroid distance, with and without the diagonal, per origin superzone, per corridor class, and to how concentrated each matrix is in its big cells. No classical p-values are reported: the expansion weights would make everything significant. Instead D is judged against the day 1 vs day 2 value and against a household bootstrap of the survey (200 resamples).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3061"/>
            <w:shd w:val="clear" w:color="auto" w:fill="E8EEF6"/>
          </w:tcPr>
          <w:p>
            <w:pPr>
              <w:spacing w:after="20"/>
            </w:pPr>
            <w:r/>
            <w:r>
              <w:rPr>
                <w:b/>
                <w:sz w:val="18"/>
              </w:rPr>
              <w:t>Distribution</w:t>
            </w:r>
          </w:p>
        </w:tc>
        <w:tc>
          <w:tcPr>
            <w:tcW w:type="dxa" w:w="1474"/>
            <w:shd w:val="clear" w:color="auto" w:fill="E8EEF6"/>
          </w:tcPr>
          <w:p>
            <w:pPr>
              <w:spacing w:after="20"/>
            </w:pPr>
            <w:r/>
            <w:r>
              <w:rPr>
                <w:b/>
                <w:sz w:val="18"/>
              </w:rPr>
              <w:t>Day 1 vs day 2</w:t>
            </w:r>
          </w:p>
        </w:tc>
        <w:tc>
          <w:tcPr>
            <w:tcW w:type="dxa" w:w="1474"/>
            <w:shd w:val="clear" w:color="auto" w:fill="E8EEF6"/>
          </w:tcPr>
          <w:p>
            <w:pPr>
              <w:spacing w:after="20"/>
            </w:pPr>
            <w:r/>
            <w:r>
              <w:rPr>
                <w:b/>
                <w:sz w:val="18"/>
              </w:rPr>
              <w:t>Survey vs cellular</w:t>
            </w:r>
          </w:p>
        </w:tc>
        <w:tc>
          <w:tcPr>
            <w:tcW w:type="dxa" w:w="1474"/>
            <w:shd w:val="clear" w:color="auto" w:fill="E8EEF6"/>
          </w:tcPr>
          <w:p>
            <w:pPr>
              <w:spacing w:after="20"/>
            </w:pPr>
            <w:r/>
            <w:r>
              <w:rPr>
                <w:b/>
                <w:sz w:val="18"/>
              </w:rPr>
              <w:t>Hybrid vs cellular</w:t>
            </w:r>
          </w:p>
        </w:tc>
        <w:tc>
          <w:tcPr>
            <w:tcW w:type="dxa" w:w="1474"/>
            <w:shd w:val="clear" w:color="auto" w:fill="E8EEF6"/>
          </w:tcPr>
          <w:p>
            <w:pPr>
              <w:spacing w:after="20"/>
            </w:pPr>
            <w:r/>
            <w:r>
              <w:rPr>
                <w:b/>
                <w:sz w:val="18"/>
              </w:rPr>
              <w:t>Hybrid vs survey</w:t>
            </w:r>
          </w:p>
        </w:tc>
      </w:tr>
      <w:tr>
        <w:tc>
          <w:tcPr>
            <w:tcW w:type="dxa" w:w="3061"/>
          </w:tcPr>
          <w:p>
            <w:pPr>
              <w:spacing w:after="20"/>
            </w:pPr>
            <w:r/>
            <w:r>
              <w:rPr>
                <w:sz w:val="18"/>
              </w:rPr>
              <w:t>Trip length, all cells</w:t>
            </w:r>
          </w:p>
        </w:tc>
        <w:tc>
          <w:tcPr>
            <w:tcW w:type="dxa" w:w="1474"/>
          </w:tcPr>
          <w:p>
            <w:pPr>
              <w:spacing w:after="20"/>
              <w:jc w:val="right"/>
            </w:pPr>
            <w:r/>
            <w:r>
              <w:rPr>
                <w:sz w:val="18"/>
              </w:rPr>
              <w:t>0.009</w:t>
            </w:r>
          </w:p>
        </w:tc>
        <w:tc>
          <w:tcPr>
            <w:tcW w:type="dxa" w:w="1474"/>
          </w:tcPr>
          <w:p>
            <w:pPr>
              <w:spacing w:after="20"/>
              <w:jc w:val="right"/>
            </w:pPr>
            <w:r/>
            <w:r>
              <w:rPr>
                <w:sz w:val="18"/>
              </w:rPr>
              <w:t>0.423</w:t>
            </w:r>
          </w:p>
        </w:tc>
        <w:tc>
          <w:tcPr>
            <w:tcW w:type="dxa" w:w="1474"/>
          </w:tcPr>
          <w:p>
            <w:pPr>
              <w:spacing w:after="20"/>
              <w:jc w:val="right"/>
            </w:pPr>
            <w:r/>
            <w:r>
              <w:rPr>
                <w:sz w:val="18"/>
              </w:rPr>
              <w:t>0.249</w:t>
            </w:r>
          </w:p>
        </w:tc>
        <w:tc>
          <w:tcPr>
            <w:tcW w:type="dxa" w:w="1474"/>
          </w:tcPr>
          <w:p>
            <w:pPr>
              <w:spacing w:after="20"/>
              <w:jc w:val="right"/>
            </w:pPr>
            <w:r/>
            <w:r>
              <w:rPr>
                <w:sz w:val="18"/>
              </w:rPr>
              <w:t>0.192</w:t>
            </w:r>
          </w:p>
        </w:tc>
      </w:tr>
      <w:tr>
        <w:tc>
          <w:tcPr>
            <w:tcW w:type="dxa" w:w="3061"/>
          </w:tcPr>
          <w:p>
            <w:pPr>
              <w:spacing w:after="20"/>
            </w:pPr>
            <w:r/>
            <w:r>
              <w:rPr>
                <w:sz w:val="18"/>
              </w:rPr>
              <w:t>Trip length, without intra-TAZ cells</w:t>
            </w:r>
          </w:p>
        </w:tc>
        <w:tc>
          <w:tcPr>
            <w:tcW w:type="dxa" w:w="1474"/>
          </w:tcPr>
          <w:p>
            <w:pPr>
              <w:spacing w:after="20"/>
              <w:jc w:val="right"/>
            </w:pPr>
            <w:r/>
            <w:r>
              <w:rPr>
                <w:sz w:val="18"/>
              </w:rPr>
              <w:t>0.011</w:t>
            </w:r>
          </w:p>
        </w:tc>
        <w:tc>
          <w:tcPr>
            <w:tcW w:type="dxa" w:w="1474"/>
          </w:tcPr>
          <w:p>
            <w:pPr>
              <w:spacing w:after="20"/>
              <w:jc w:val="right"/>
            </w:pPr>
            <w:r/>
            <w:r>
              <w:rPr>
                <w:sz w:val="18"/>
              </w:rPr>
              <w:t>0.374</w:t>
            </w:r>
          </w:p>
        </w:tc>
        <w:tc>
          <w:tcPr>
            <w:tcW w:type="dxa" w:w="1474"/>
          </w:tcPr>
          <w:p>
            <w:pPr>
              <w:spacing w:after="20"/>
              <w:jc w:val="right"/>
            </w:pPr>
            <w:r/>
            <w:r>
              <w:rPr>
                <w:sz w:val="18"/>
              </w:rPr>
              <w:t>0.242</w:t>
            </w:r>
          </w:p>
        </w:tc>
        <w:tc>
          <w:tcPr>
            <w:tcW w:type="dxa" w:w="1474"/>
          </w:tcPr>
          <w:p>
            <w:pPr>
              <w:spacing w:after="20"/>
              <w:jc w:val="right"/>
            </w:pPr>
            <w:r/>
            <w:r>
              <w:rPr>
                <w:sz w:val="18"/>
              </w:rPr>
              <w:t>0.153</w:t>
            </w:r>
          </w:p>
        </w:tc>
      </w:tr>
      <w:tr>
        <w:tc>
          <w:tcPr>
            <w:tcW w:type="dxa" w:w="3061"/>
          </w:tcPr>
          <w:p>
            <w:pPr>
              <w:spacing w:after="20"/>
            </w:pPr>
            <w:r/>
            <w:r>
              <w:rPr>
                <w:sz w:val="18"/>
              </w:rPr>
              <w:t>Trip length, without intra-cellular-zone cells</w:t>
            </w:r>
          </w:p>
        </w:tc>
        <w:tc>
          <w:tcPr>
            <w:tcW w:type="dxa" w:w="1474"/>
          </w:tcPr>
          <w:p>
            <w:pPr>
              <w:spacing w:after="20"/>
              <w:jc w:val="right"/>
            </w:pPr>
            <w:r/>
            <w:r>
              <w:rPr>
                <w:sz w:val="18"/>
              </w:rPr>
              <w:t>0.009</w:t>
            </w:r>
          </w:p>
        </w:tc>
        <w:tc>
          <w:tcPr>
            <w:tcW w:type="dxa" w:w="1474"/>
          </w:tcPr>
          <w:p>
            <w:pPr>
              <w:spacing w:after="20"/>
              <w:jc w:val="right"/>
            </w:pPr>
            <w:r/>
            <w:r>
              <w:rPr>
                <w:sz w:val="18"/>
              </w:rPr>
              <w:t>0.301</w:t>
            </w:r>
          </w:p>
        </w:tc>
        <w:tc>
          <w:tcPr>
            <w:tcW w:type="dxa" w:w="1474"/>
          </w:tcPr>
          <w:p>
            <w:pPr>
              <w:spacing w:after="20"/>
              <w:jc w:val="right"/>
            </w:pPr>
            <w:r/>
            <w:r>
              <w:rPr>
                <w:sz w:val="18"/>
              </w:rPr>
              <w:t>0.179</w:t>
            </w:r>
          </w:p>
        </w:tc>
        <w:tc>
          <w:tcPr>
            <w:tcW w:type="dxa" w:w="1474"/>
          </w:tcPr>
          <w:p>
            <w:pPr>
              <w:spacing w:after="20"/>
              <w:jc w:val="right"/>
            </w:pPr>
            <w:r/>
            <w:r>
              <w:rPr>
                <w:sz w:val="18"/>
              </w:rPr>
              <w:t>0.185</w:t>
            </w:r>
          </w:p>
        </w:tc>
      </w:tr>
      <w:tr>
        <w:tc>
          <w:tcPr>
            <w:tcW w:type="dxa" w:w="3061"/>
          </w:tcPr>
          <w:p>
            <w:pPr>
              <w:spacing w:after="20"/>
            </w:pPr>
            <w:r/>
            <w:r>
              <w:rPr>
                <w:sz w:val="18"/>
              </w:rPr>
              <w:t>Per-origin trip length (flow-weighted)</w:t>
            </w:r>
          </w:p>
        </w:tc>
        <w:tc>
          <w:tcPr>
            <w:tcW w:type="dxa" w:w="1474"/>
          </w:tcPr>
          <w:p>
            <w:pPr>
              <w:spacing w:after="20"/>
              <w:jc w:val="right"/>
            </w:pPr>
            <w:r/>
            <w:r>
              <w:rPr>
                <w:sz w:val="18"/>
              </w:rPr>
              <w:t>0.034</w:t>
            </w:r>
          </w:p>
        </w:tc>
        <w:tc>
          <w:tcPr>
            <w:tcW w:type="dxa" w:w="1474"/>
          </w:tcPr>
          <w:p>
            <w:pPr>
              <w:spacing w:after="20"/>
              <w:jc w:val="right"/>
            </w:pPr>
            <w:r/>
            <w:r>
              <w:rPr>
                <w:sz w:val="18"/>
              </w:rPr>
              <w:t>0.450</w:t>
            </w:r>
          </w:p>
        </w:tc>
        <w:tc>
          <w:tcPr>
            <w:tcW w:type="dxa" w:w="1474"/>
          </w:tcPr>
          <w:p>
            <w:pPr>
              <w:spacing w:after="20"/>
              <w:jc w:val="right"/>
            </w:pPr>
            <w:r/>
            <w:r>
              <w:rPr>
                <w:sz w:val="18"/>
              </w:rPr>
              <w:t>0.284</w:t>
            </w:r>
          </w:p>
        </w:tc>
        <w:tc>
          <w:tcPr>
            <w:tcW w:type="dxa" w:w="1474"/>
          </w:tcPr>
          <w:p>
            <w:pPr>
              <w:spacing w:after="20"/>
              <w:jc w:val="right"/>
            </w:pPr>
            <w:r/>
            <w:r>
              <w:rPr>
                <w:sz w:val="18"/>
              </w:rPr>
              <w:t>0.236</w:t>
            </w:r>
          </w:p>
        </w:tc>
      </w:tr>
      <w:tr>
        <w:tc>
          <w:tcPr>
            <w:tcW w:type="dxa" w:w="3061"/>
          </w:tcPr>
          <w:p>
            <w:pPr>
              <w:spacing w:after="20"/>
            </w:pPr>
            <w:r/>
            <w:r>
              <w:rPr>
                <w:sz w:val="18"/>
              </w:rPr>
              <w:t>Trip length, corridor to corridor</w:t>
            </w:r>
          </w:p>
        </w:tc>
        <w:tc>
          <w:tcPr>
            <w:tcW w:type="dxa" w:w="1474"/>
          </w:tcPr>
          <w:p>
            <w:pPr>
              <w:spacing w:after="20"/>
              <w:jc w:val="right"/>
            </w:pPr>
            <w:r/>
            <w:r>
              <w:rPr>
                <w:sz w:val="18"/>
              </w:rPr>
              <w:t>0.017</w:t>
            </w:r>
          </w:p>
        </w:tc>
        <w:tc>
          <w:tcPr>
            <w:tcW w:type="dxa" w:w="1474"/>
          </w:tcPr>
          <w:p>
            <w:pPr>
              <w:spacing w:after="20"/>
              <w:jc w:val="right"/>
            </w:pPr>
            <w:r/>
            <w:r>
              <w:rPr>
                <w:sz w:val="18"/>
              </w:rPr>
              <w:t>0.387</w:t>
            </w:r>
          </w:p>
        </w:tc>
        <w:tc>
          <w:tcPr>
            <w:tcW w:type="dxa" w:w="1474"/>
          </w:tcPr>
          <w:p>
            <w:pPr>
              <w:spacing w:after="20"/>
              <w:jc w:val="right"/>
            </w:pPr>
            <w:r/>
            <w:r>
              <w:rPr>
                <w:sz w:val="18"/>
              </w:rPr>
              <w:t>0.276</w:t>
            </w:r>
          </w:p>
        </w:tc>
        <w:tc>
          <w:tcPr>
            <w:tcW w:type="dxa" w:w="1474"/>
          </w:tcPr>
          <w:p>
            <w:pPr>
              <w:spacing w:after="20"/>
              <w:jc w:val="right"/>
            </w:pPr>
            <w:r/>
            <w:r>
              <w:rPr>
                <w:sz w:val="18"/>
              </w:rPr>
              <w:t>0.123</w:t>
            </w:r>
          </w:p>
        </w:tc>
      </w:tr>
      <w:tr>
        <w:tc>
          <w:tcPr>
            <w:tcW w:type="dxa" w:w="3061"/>
          </w:tcPr>
          <w:p>
            <w:pPr>
              <w:spacing w:after="20"/>
            </w:pPr>
            <w:r/>
            <w:r>
              <w:rPr>
                <w:sz w:val="18"/>
              </w:rPr>
              <w:t>Flow concentration, TAZ level</w:t>
            </w:r>
          </w:p>
        </w:tc>
        <w:tc>
          <w:tcPr>
            <w:tcW w:type="dxa" w:w="1474"/>
          </w:tcPr>
          <w:p>
            <w:pPr>
              <w:spacing w:after="20"/>
              <w:jc w:val="right"/>
            </w:pPr>
            <w:r/>
            <w:r>
              <w:rPr>
                <w:sz w:val="18"/>
              </w:rPr>
              <w:t>0.028</w:t>
            </w:r>
          </w:p>
        </w:tc>
        <w:tc>
          <w:tcPr>
            <w:tcW w:type="dxa" w:w="1474"/>
          </w:tcPr>
          <w:p>
            <w:pPr>
              <w:spacing w:after="20"/>
              <w:jc w:val="right"/>
            </w:pPr>
            <w:r/>
            <w:r>
              <w:rPr>
                <w:sz w:val="18"/>
              </w:rPr>
              <w:t>0.499</w:t>
            </w:r>
          </w:p>
        </w:tc>
        <w:tc>
          <w:tcPr>
            <w:tcW w:type="dxa" w:w="1474"/>
          </w:tcPr>
          <w:p>
            <w:pPr>
              <w:spacing w:after="20"/>
              <w:jc w:val="right"/>
            </w:pPr>
            <w:r/>
            <w:r>
              <w:rPr>
                <w:sz w:val="18"/>
              </w:rPr>
              <w:t>0.310</w:t>
            </w:r>
          </w:p>
        </w:tc>
        <w:tc>
          <w:tcPr>
            <w:tcW w:type="dxa" w:w="1474"/>
          </w:tcPr>
          <w:p>
            <w:pPr>
              <w:spacing w:after="20"/>
              <w:jc w:val="right"/>
            </w:pPr>
            <w:r/>
            <w:r>
              <w:rPr>
                <w:sz w:val="18"/>
              </w:rPr>
              <w:t>0.252</w:t>
            </w:r>
          </w:p>
        </w:tc>
      </w:tr>
    </w:tbl>
    <w:p>
      <w:pPr>
        <w:spacing w:after="40"/>
      </w:pPr>
    </w:p>
    <w:p>
      <w:r>
        <w:rPr>
          <w:i/>
          <w:color w:val="52514E"/>
          <w:sz w:val="18"/>
        </w:rPr>
        <w:t>KS statistic D (largest gap in cumulative trip share).</w:t>
      </w:r>
    </w:p>
    <w:p>
      <w:r>
        <w:rPr>
          <w:i w:val="0"/>
        </w:rPr>
        <w:t>What it says: the survey and the cellular matrix describe different trip-length populations, not noisy versions of one. The median centroid distance is 1.95 km in the survey, 7.6 km in cellular and 3.8 km in the hybrid; the bootstrap spread of D is about ±0.01, so a D of 0.42 is nowhere near noise. The gap is not only the diagonal: with every cell inside one cellular zone removed, D is still 0.30. Every origin superzone shows it. The cellular matrix is also far more diffuse: 52 % of its trips sit in cells with fewer than 10 trips an hour, against 11 % of survey trips.</w:t>
      </w:r>
    </w:p>
    <w:p>
      <w:r>
        <w:rPr>
          <w:i w:val="0"/>
        </w:rPr>
        <w:t>One calibration check: against the distances the survey itself reports, the centroid proxy overstates short trips (median 1.95 km versus 1.11 km reported). Both matrices carry the same proxy, but they weight zones differently, so the comparison is fair only approximately; absolute lengths under 1 km are a zone-geometry artefact.</w:t>
      </w:r>
    </w:p>
    <w:p>
      <w:pPr>
        <w:jc w:val="center"/>
      </w:pPr>
      <w:r>
        <w:drawing>
          <wp:inline xmlns:a="http://schemas.openxmlformats.org/drawingml/2006/main" xmlns:pic="http://schemas.openxmlformats.org/drawingml/2006/picture">
            <wp:extent cx="5724000" cy="1565940"/>
            <wp:docPr id="2" name="Picture 2"/>
            <wp:cNvGraphicFramePr>
              <a:graphicFrameLocks noChangeAspect="1"/>
            </wp:cNvGraphicFramePr>
            <a:graphic>
              <a:graphicData uri="http://schemas.openxmlformats.org/drawingml/2006/picture">
                <pic:pic>
                  <pic:nvPicPr>
                    <pic:cNvPr id="0" name="ks_tld.png"/>
                    <pic:cNvPicPr/>
                  </pic:nvPicPr>
                  <pic:blipFill>
                    <a:blip r:embed="rId10"/>
                    <a:stretch>
                      <a:fillRect/>
                    </a:stretch>
                  </pic:blipFill>
                  <pic:spPr>
                    <a:xfrm>
                      <a:off x="0" y="0"/>
                      <a:ext cx="5724000" cy="1565940"/>
                    </a:xfrm>
                    <a:prstGeom prst="rect"/>
                  </pic:spPr>
                </pic:pic>
              </a:graphicData>
            </a:graphic>
          </wp:inline>
        </w:drawing>
      </w:r>
    </w:p>
    <w:p>
      <w:r>
        <w:rPr>
          <w:i/>
          <w:color w:val="52514E"/>
          <w:sz w:val="18"/>
        </w:rPr>
        <w:t>Figure 2. Cumulative trip length distributions; the black bar marks the KS gap between survey and cellular.</w:t>
      </w:r>
    </w:p>
    <w:p>
      <w:pPr>
        <w:pStyle w:val="Heading2"/>
      </w:pPr>
      <w:r>
        <w:t>4.4 MSSIM — do the matrices agree neighbourhood by neighbourhood?</w:t>
      </w:r>
    </w:p>
    <w:p>
      <w:r>
        <w:rPr>
          <w:i w:val="0"/>
        </w:rPr>
        <w:t>The structural similarity index comes from image comparison and was proposed for OD matrices by Djukic, van Lint and Hoogendoorn. It slides a small window over the matrix and compares, inside each window, the average level, the spread and the correlation of the two matrices, then averages over windows. For that to work, neighbouring rows must be neighbouring zones, so TAZs were ordered along a space-filling curve of their centroids; a window has no fixed physical size. Windows of 5 to 25 zones were tested, on raw trips and on log(1 + trips).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381"/>
            <w:shd w:val="clear" w:color="auto" w:fill="E8EEF6"/>
          </w:tcPr>
          <w:p>
            <w:pPr>
              <w:spacing w:after="20"/>
            </w:pPr>
            <w:r/>
            <w:r>
              <w:rPr>
                <w:b/>
                <w:sz w:val="18"/>
              </w:rPr>
              <w:t>Level, window, scale</w:t>
            </w:r>
          </w:p>
        </w:tc>
        <w:tc>
          <w:tcPr>
            <w:tcW w:type="dxa" w:w="1644"/>
            <w:shd w:val="clear" w:color="auto" w:fill="E8EEF6"/>
          </w:tcPr>
          <w:p>
            <w:pPr>
              <w:spacing w:after="20"/>
            </w:pPr>
            <w:r/>
            <w:r>
              <w:rPr>
                <w:b/>
                <w:sz w:val="18"/>
              </w:rPr>
              <w:t>Day 1 vs day 2</w:t>
            </w:r>
          </w:p>
        </w:tc>
        <w:tc>
          <w:tcPr>
            <w:tcW w:type="dxa" w:w="1644"/>
            <w:shd w:val="clear" w:color="auto" w:fill="E8EEF6"/>
          </w:tcPr>
          <w:p>
            <w:pPr>
              <w:spacing w:after="20"/>
            </w:pPr>
            <w:r/>
            <w:r>
              <w:rPr>
                <w:b/>
                <w:sz w:val="18"/>
              </w:rPr>
              <w:t>Survey vs cellular</w:t>
            </w:r>
          </w:p>
        </w:tc>
        <w:tc>
          <w:tcPr>
            <w:tcW w:type="dxa" w:w="1644"/>
            <w:shd w:val="clear" w:color="auto" w:fill="E8EEF6"/>
          </w:tcPr>
          <w:p>
            <w:pPr>
              <w:spacing w:after="20"/>
            </w:pPr>
            <w:r/>
            <w:r>
              <w:rPr>
                <w:b/>
                <w:sz w:val="18"/>
              </w:rPr>
              <w:t>Hybrid vs cellular</w:t>
            </w:r>
          </w:p>
        </w:tc>
        <w:tc>
          <w:tcPr>
            <w:tcW w:type="dxa" w:w="1644"/>
            <w:shd w:val="clear" w:color="auto" w:fill="E8EEF6"/>
          </w:tcPr>
          <w:p>
            <w:pPr>
              <w:spacing w:after="20"/>
            </w:pPr>
            <w:r/>
            <w:r>
              <w:rPr>
                <w:b/>
                <w:sz w:val="18"/>
              </w:rPr>
              <w:t>Hybrid vs survey</w:t>
            </w:r>
          </w:p>
        </w:tc>
      </w:tr>
      <w:tr>
        <w:tc>
          <w:tcPr>
            <w:tcW w:type="dxa" w:w="2381"/>
          </w:tcPr>
          <w:p>
            <w:pPr>
              <w:spacing w:after="20"/>
            </w:pPr>
            <w:r/>
            <w:r>
              <w:rPr>
                <w:sz w:val="18"/>
              </w:rPr>
              <w:t>TAZ, 9, raw trips</w:t>
            </w:r>
          </w:p>
        </w:tc>
        <w:tc>
          <w:tcPr>
            <w:tcW w:type="dxa" w:w="1644"/>
          </w:tcPr>
          <w:p>
            <w:pPr>
              <w:spacing w:after="20"/>
              <w:jc w:val="right"/>
            </w:pPr>
            <w:r/>
            <w:r>
              <w:rPr>
                <w:sz w:val="18"/>
              </w:rPr>
              <w:t>0.999 (0.98)</w:t>
            </w:r>
          </w:p>
        </w:tc>
        <w:tc>
          <w:tcPr>
            <w:tcW w:type="dxa" w:w="1644"/>
          </w:tcPr>
          <w:p>
            <w:pPr>
              <w:spacing w:after="20"/>
              <w:jc w:val="right"/>
            </w:pPr>
            <w:r/>
            <w:r>
              <w:rPr>
                <w:sz w:val="18"/>
              </w:rPr>
              <w:t>0.993 (0.99)</w:t>
            </w:r>
          </w:p>
        </w:tc>
        <w:tc>
          <w:tcPr>
            <w:tcW w:type="dxa" w:w="1644"/>
          </w:tcPr>
          <w:p>
            <w:pPr>
              <w:spacing w:after="20"/>
              <w:jc w:val="right"/>
            </w:pPr>
            <w:r/>
            <w:r>
              <w:rPr>
                <w:sz w:val="18"/>
              </w:rPr>
              <w:t>0.978 (0.93)</w:t>
            </w:r>
          </w:p>
        </w:tc>
        <w:tc>
          <w:tcPr>
            <w:tcW w:type="dxa" w:w="1644"/>
          </w:tcPr>
          <w:p>
            <w:pPr>
              <w:spacing w:after="20"/>
              <w:jc w:val="right"/>
            </w:pPr>
            <w:r/>
            <w:r>
              <w:rPr>
                <w:sz w:val="18"/>
              </w:rPr>
              <w:t>0.994 (0.99)</w:t>
            </w:r>
          </w:p>
        </w:tc>
      </w:tr>
      <w:tr>
        <w:tc>
          <w:tcPr>
            <w:tcW w:type="dxa" w:w="2381"/>
          </w:tcPr>
          <w:p>
            <w:pPr>
              <w:spacing w:after="20"/>
            </w:pPr>
            <w:r/>
            <w:r>
              <w:rPr>
                <w:sz w:val="18"/>
              </w:rPr>
              <w:t>TAZ, 9, log</w:t>
            </w:r>
          </w:p>
        </w:tc>
        <w:tc>
          <w:tcPr>
            <w:tcW w:type="dxa" w:w="1644"/>
          </w:tcPr>
          <w:p>
            <w:pPr>
              <w:spacing w:after="20"/>
              <w:jc w:val="right"/>
            </w:pPr>
            <w:r/>
            <w:r>
              <w:rPr>
                <w:sz w:val="18"/>
              </w:rPr>
              <w:t>0.814 (0.14)</w:t>
            </w:r>
          </w:p>
        </w:tc>
        <w:tc>
          <w:tcPr>
            <w:tcW w:type="dxa" w:w="1644"/>
          </w:tcPr>
          <w:p>
            <w:pPr>
              <w:spacing w:after="20"/>
              <w:jc w:val="right"/>
            </w:pPr>
            <w:r/>
            <w:r>
              <w:rPr>
                <w:sz w:val="18"/>
              </w:rPr>
              <w:t>0.128 (0.02)</w:t>
            </w:r>
          </w:p>
        </w:tc>
        <w:tc>
          <w:tcPr>
            <w:tcW w:type="dxa" w:w="1644"/>
          </w:tcPr>
          <w:p>
            <w:pPr>
              <w:spacing w:after="20"/>
              <w:jc w:val="right"/>
            </w:pPr>
            <w:r/>
            <w:r>
              <w:rPr>
                <w:sz w:val="18"/>
              </w:rPr>
              <w:t>0.475 (0.03)</w:t>
            </w:r>
          </w:p>
        </w:tc>
        <w:tc>
          <w:tcPr>
            <w:tcW w:type="dxa" w:w="1644"/>
          </w:tcPr>
          <w:p>
            <w:pPr>
              <w:spacing w:after="20"/>
              <w:jc w:val="right"/>
            </w:pPr>
            <w:r/>
            <w:r>
              <w:rPr>
                <w:sz w:val="18"/>
              </w:rPr>
              <w:t>0.388 (0.11)</w:t>
            </w:r>
          </w:p>
        </w:tc>
      </w:tr>
      <w:tr>
        <w:tc>
          <w:tcPr>
            <w:tcW w:type="dxa" w:w="2381"/>
          </w:tcPr>
          <w:p>
            <w:pPr>
              <w:spacing w:after="20"/>
            </w:pPr>
            <w:r/>
            <w:r>
              <w:rPr>
                <w:sz w:val="18"/>
              </w:rPr>
              <w:t>Superzone, 3, log</w:t>
            </w:r>
          </w:p>
        </w:tc>
        <w:tc>
          <w:tcPr>
            <w:tcW w:type="dxa" w:w="1644"/>
          </w:tcPr>
          <w:p>
            <w:pPr>
              <w:spacing w:after="20"/>
              <w:jc w:val="right"/>
            </w:pPr>
            <w:r/>
            <w:r>
              <w:rPr>
                <w:sz w:val="18"/>
              </w:rPr>
              <w:t>0.686 (0.07)</w:t>
            </w:r>
          </w:p>
        </w:tc>
        <w:tc>
          <w:tcPr>
            <w:tcW w:type="dxa" w:w="1644"/>
          </w:tcPr>
          <w:p>
            <w:pPr>
              <w:spacing w:after="20"/>
              <w:jc w:val="right"/>
            </w:pPr>
            <w:r/>
            <w:r>
              <w:rPr>
                <w:sz w:val="18"/>
              </w:rPr>
              <w:t>0.362 (0.09)</w:t>
            </w:r>
          </w:p>
        </w:tc>
        <w:tc>
          <w:tcPr>
            <w:tcW w:type="dxa" w:w="1644"/>
          </w:tcPr>
          <w:p>
            <w:pPr>
              <w:spacing w:after="20"/>
              <w:jc w:val="right"/>
            </w:pPr>
            <w:r/>
            <w:r>
              <w:rPr>
                <w:sz w:val="18"/>
              </w:rPr>
              <w:t>0.441 (0.09)</w:t>
            </w:r>
          </w:p>
        </w:tc>
        <w:tc>
          <w:tcPr>
            <w:tcW w:type="dxa" w:w="1644"/>
          </w:tcPr>
          <w:p>
            <w:pPr>
              <w:spacing w:after="20"/>
              <w:jc w:val="right"/>
            </w:pPr>
            <w:r/>
            <w:r>
              <w:rPr>
                <w:sz w:val="18"/>
              </w:rPr>
              <w:t>0.938 (0.06)</w:t>
            </w:r>
          </w:p>
        </w:tc>
      </w:tr>
      <w:tr>
        <w:tc>
          <w:tcPr>
            <w:tcW w:type="dxa" w:w="2381"/>
          </w:tcPr>
          <w:p>
            <w:pPr>
              <w:spacing w:after="20"/>
            </w:pPr>
            <w:r/>
            <w:r>
              <w:rPr>
                <w:sz w:val="18"/>
              </w:rPr>
              <w:t>Sub-areas, 3, log</w:t>
            </w:r>
          </w:p>
        </w:tc>
        <w:tc>
          <w:tcPr>
            <w:tcW w:type="dxa" w:w="1644"/>
          </w:tcPr>
          <w:p>
            <w:pPr>
              <w:spacing w:after="20"/>
              <w:jc w:val="right"/>
            </w:pPr>
            <w:r/>
            <w:r>
              <w:rPr>
                <w:sz w:val="18"/>
              </w:rPr>
              <w:t>0.619 (0.07)</w:t>
            </w:r>
          </w:p>
        </w:tc>
        <w:tc>
          <w:tcPr>
            <w:tcW w:type="dxa" w:w="1644"/>
          </w:tcPr>
          <w:p>
            <w:pPr>
              <w:spacing w:after="20"/>
              <w:jc w:val="right"/>
            </w:pPr>
            <w:r/>
            <w:r>
              <w:rPr>
                <w:sz w:val="18"/>
              </w:rPr>
              <w:t>0.257 (0.05)</w:t>
            </w:r>
          </w:p>
        </w:tc>
        <w:tc>
          <w:tcPr>
            <w:tcW w:type="dxa" w:w="1644"/>
          </w:tcPr>
          <w:p>
            <w:pPr>
              <w:spacing w:after="20"/>
              <w:jc w:val="right"/>
            </w:pPr>
            <w:r/>
            <w:r>
              <w:rPr>
                <w:sz w:val="18"/>
              </w:rPr>
              <w:t>0.678 (0.08)</w:t>
            </w:r>
          </w:p>
        </w:tc>
        <w:tc>
          <w:tcPr>
            <w:tcW w:type="dxa" w:w="1644"/>
          </w:tcPr>
          <w:p>
            <w:pPr>
              <w:spacing w:after="20"/>
              <w:jc w:val="right"/>
            </w:pPr>
            <w:r/>
            <w:r>
              <w:rPr>
                <w:sz w:val="18"/>
              </w:rPr>
              <w:t>0.370 (0.06)</w:t>
            </w:r>
          </w:p>
        </w:tc>
      </w:tr>
    </w:tbl>
    <w:p>
      <w:pPr>
        <w:spacing w:after="40"/>
      </w:pPr>
    </w:p>
    <w:p>
      <w:r>
        <w:rPr>
          <w:i/>
          <w:color w:val="52514E"/>
          <w:sz w:val="18"/>
        </w:rPr>
        <w:t>MSSIM; the chance level (one matrix's zones scrambled) in brackets.</w:t>
      </w:r>
    </w:p>
    <w:p>
      <w:r>
        <w:rPr>
          <w:i w:val="0"/>
        </w:rPr>
        <w:t>What it says: on raw trips the index cannot tell anything apart. On the log scale it becomes informative. Survey against cellular is close to chance at TAZ level (0.13, chance 0.02, day-to-day 0.81). The hybrid sits between its two sources: it is the survey at superzone level (0.94, above the day-to-day 0.69, which shows the day-to-day value is not a ceiling) and closer to cellular on the sub-areas (0.68). The zone ordering and the window size change the results by less than 0.05.</w:t>
      </w:r>
    </w:p>
    <w:p>
      <w:pPr>
        <w:jc w:val="center"/>
      </w:pPr>
      <w:r>
        <w:drawing>
          <wp:inline xmlns:a="http://schemas.openxmlformats.org/drawingml/2006/main" xmlns:pic="http://schemas.openxmlformats.org/drawingml/2006/picture">
            <wp:extent cx="5724000" cy="1829978"/>
            <wp:docPr id="3" name="Picture 3"/>
            <wp:cNvGraphicFramePr>
              <a:graphicFrameLocks noChangeAspect="1"/>
            </wp:cNvGraphicFramePr>
            <a:graphic>
              <a:graphicData uri="http://schemas.openxmlformats.org/drawingml/2006/picture">
                <pic:pic>
                  <pic:nvPicPr>
                    <pic:cNvPr id="0" name="mssim_maps.png"/>
                    <pic:cNvPicPr/>
                  </pic:nvPicPr>
                  <pic:blipFill>
                    <a:blip r:embed="rId11"/>
                    <a:stretch>
                      <a:fillRect/>
                    </a:stretch>
                  </pic:blipFill>
                  <pic:spPr>
                    <a:xfrm>
                      <a:off x="0" y="0"/>
                      <a:ext cx="5724000" cy="1829978"/>
                    </a:xfrm>
                    <a:prstGeom prst="rect"/>
                  </pic:spPr>
                </pic:pic>
              </a:graphicData>
            </a:graphic>
          </wp:inline>
        </w:drawing>
      </w:r>
    </w:p>
    <w:p>
      <w:r>
        <w:rPr>
          <w:i/>
          <w:color w:val="52514E"/>
          <w:sz w:val="18"/>
        </w:rPr>
        <w:t>Figure 3. Local similarity maps (window 9, log scale): where the matrices agree (blue) and where they do not (white).</w:t>
      </w:r>
    </w:p>
    <w:p>
      <w:pPr>
        <w:pStyle w:val="Heading2"/>
      </w:pPr>
      <w:r>
        <w:t>4.5 Does the hybrid keep its own superzone totals? (new)</w:t>
      </w:r>
    </w:p>
    <w:p>
      <w:r>
        <w:rPr>
          <w:i w:val="0"/>
        </w:rPr>
        <w:t>The hybrid was built in two steps: blend survey and cellular destination patterns at superzone level, then push the result down to TAZs by multiplying each cellular cell by a superzone-to-superzone correction factor and renormalising each TAZ row. The notebooks checked that each TAZ row's total adds up to the superzone's survey departures. They did not check that the superzone-to-superzone blocks come back out. The review pointed out that they need not, and a direct test confirms it.</w:t>
      </w:r>
    </w:p>
    <w:tbl>
      <w:tblPr>
        <w:tblStyle w:val="TableGrid"/>
        <w:tblW w:type="auto" w:w="0"/>
        <w:jc w:val="center"/>
        <w:tblLook w:firstColumn="1" w:firstRow="1" w:lastColumn="0" w:lastRow="0" w:noHBand="0" w:noVBand="1" w:val="04A0"/>
      </w:tblPr>
      <w:tblGrid>
        <w:gridCol w:w="4513"/>
        <w:gridCol w:w="4513"/>
      </w:tblGrid>
      <w:tr>
        <w:tc>
          <w:tcPr>
            <w:tcW w:type="dxa" w:w="5953"/>
            <w:shd w:val="clear" w:color="auto" w:fill="E8EEF6"/>
          </w:tcPr>
          <w:p>
            <w:pPr>
              <w:spacing w:after="20"/>
            </w:pPr>
            <w:r/>
            <w:r>
              <w:rPr>
                <w:b/>
                <w:sz w:val="18"/>
              </w:rPr>
              <w:t>Primary hybrid (trips file), reaggregated to superzones</w:t>
            </w:r>
          </w:p>
        </w:tc>
        <w:tc>
          <w:tcPr>
            <w:tcW w:type="dxa" w:w="2835"/>
            <w:shd w:val="clear" w:color="auto" w:fill="E8EEF6"/>
          </w:tcPr>
          <w:p>
            <w:pPr>
              <w:spacing w:after="20"/>
            </w:pPr>
            <w:r/>
            <w:r>
              <w:rPr>
                <w:b/>
                <w:sz w:val="18"/>
              </w:rPr>
              <w:t>Value</w:t>
            </w:r>
          </w:p>
        </w:tc>
      </w:tr>
      <w:tr>
        <w:tc>
          <w:tcPr>
            <w:tcW w:type="dxa" w:w="5953"/>
          </w:tcPr>
          <w:p>
            <w:pPr>
              <w:spacing w:after="20"/>
            </w:pPr>
            <w:r/>
            <w:r>
              <w:rPr>
                <w:sz w:val="18"/>
              </w:rPr>
              <w:t>Origin totals: largest relative error</w:t>
            </w:r>
          </w:p>
        </w:tc>
        <w:tc>
          <w:tcPr>
            <w:tcW w:type="dxa" w:w="2835"/>
          </w:tcPr>
          <w:p>
            <w:pPr>
              <w:spacing w:after="20"/>
              <w:jc w:val="right"/>
            </w:pPr>
            <w:r/>
            <w:r>
              <w:rPr>
                <w:sz w:val="18"/>
              </w:rPr>
              <w:t>0.0 %</w:t>
            </w:r>
          </w:p>
        </w:tc>
      </w:tr>
      <w:tr>
        <w:tc>
          <w:tcPr>
            <w:tcW w:type="dxa" w:w="5953"/>
          </w:tcPr>
          <w:p>
            <w:pPr>
              <w:spacing w:after="20"/>
            </w:pPr>
            <w:r/>
            <w:r>
              <w:rPr>
                <w:sz w:val="18"/>
              </w:rPr>
              <w:t>Superzone pairs above 100 trips</w:t>
            </w:r>
          </w:p>
        </w:tc>
        <w:tc>
          <w:tcPr>
            <w:tcW w:type="dxa" w:w="2835"/>
          </w:tcPr>
          <w:p>
            <w:pPr>
              <w:spacing w:after="20"/>
              <w:jc w:val="right"/>
            </w:pPr>
            <w:r/>
            <w:r>
              <w:rPr>
                <w:sz w:val="18"/>
              </w:rPr>
              <w:t>627</w:t>
            </w:r>
          </w:p>
        </w:tc>
      </w:tr>
      <w:tr>
        <w:tc>
          <w:tcPr>
            <w:tcW w:type="dxa" w:w="5953"/>
          </w:tcPr>
          <w:p>
            <w:pPr>
              <w:spacing w:after="20"/>
            </w:pPr>
            <w:r/>
            <w:r>
              <w:rPr>
                <w:sz w:val="18"/>
              </w:rPr>
              <w:t>… off by more than 10 %</w:t>
            </w:r>
          </w:p>
        </w:tc>
        <w:tc>
          <w:tcPr>
            <w:tcW w:type="dxa" w:w="2835"/>
          </w:tcPr>
          <w:p>
            <w:pPr>
              <w:spacing w:after="20"/>
              <w:jc w:val="right"/>
            </w:pPr>
            <w:r/>
            <w:r>
              <w:rPr>
                <w:sz w:val="18"/>
              </w:rPr>
              <w:t>55</w:t>
            </w:r>
          </w:p>
        </w:tc>
      </w:tr>
      <w:tr>
        <w:tc>
          <w:tcPr>
            <w:tcW w:type="dxa" w:w="5953"/>
          </w:tcPr>
          <w:p>
            <w:pPr>
              <w:spacing w:after="20"/>
            </w:pPr>
            <w:r/>
            <w:r>
              <w:rPr>
                <w:sz w:val="18"/>
              </w:rPr>
              <w:t>… off by more than 25 %</w:t>
            </w:r>
          </w:p>
        </w:tc>
        <w:tc>
          <w:tcPr>
            <w:tcW w:type="dxa" w:w="2835"/>
          </w:tcPr>
          <w:p>
            <w:pPr>
              <w:spacing w:after="20"/>
              <w:jc w:val="right"/>
            </w:pPr>
            <w:r/>
            <w:r>
              <w:rPr>
                <w:sz w:val="18"/>
              </w:rPr>
              <w:t>12</w:t>
            </w:r>
          </w:p>
        </w:tc>
      </w:tr>
      <w:tr>
        <w:tc>
          <w:tcPr>
            <w:tcW w:type="dxa" w:w="5953"/>
          </w:tcPr>
          <w:p>
            <w:pPr>
              <w:spacing w:after="20"/>
            </w:pPr>
            <w:r/>
            <w:r>
              <w:rPr>
                <w:sz w:val="18"/>
              </w:rPr>
              <w:t>Worst pair (Tiberias → Karmiel)</w:t>
            </w:r>
          </w:p>
        </w:tc>
        <w:tc>
          <w:tcPr>
            <w:tcW w:type="dxa" w:w="2835"/>
          </w:tcPr>
          <w:p>
            <w:pPr>
              <w:spacing w:after="20"/>
              <w:jc w:val="right"/>
            </w:pPr>
            <w:r/>
            <w:r>
              <w:rPr>
                <w:sz w:val="18"/>
              </w:rPr>
              <w:t>+49 %</w:t>
            </w:r>
          </w:p>
        </w:tc>
      </w:tr>
      <w:tr>
        <w:tc>
          <w:tcPr>
            <w:tcW w:type="dxa" w:w="5953"/>
          </w:tcPr>
          <w:p>
            <w:pPr>
              <w:spacing w:after="20"/>
            </w:pPr>
            <w:r/>
            <w:r>
              <w:rPr>
                <w:sz w:val="18"/>
              </w:rPr>
              <w:t>Off-diagonal trips, overall</w:t>
            </w:r>
          </w:p>
        </w:tc>
        <w:tc>
          <w:tcPr>
            <w:tcW w:type="dxa" w:w="2835"/>
          </w:tcPr>
          <w:p>
            <w:pPr>
              <w:spacing w:after="20"/>
              <w:jc w:val="right"/>
            </w:pPr>
            <w:r/>
            <w:r>
              <w:rPr>
                <w:sz w:val="18"/>
              </w:rPr>
              <w:t>+3.6 %</w:t>
            </w:r>
          </w:p>
        </w:tc>
      </w:tr>
      <w:tr>
        <w:tc>
          <w:tcPr>
            <w:tcW w:type="dxa" w:w="5953"/>
          </w:tcPr>
          <w:p>
            <w:pPr>
              <w:spacing w:after="20"/>
            </w:pPr>
            <w:r/>
            <w:r>
              <w:rPr>
                <w:sz w:val="18"/>
              </w:rPr>
              <w:t>After rebalancing to blocks and origin totals jointly</w:t>
            </w:r>
          </w:p>
        </w:tc>
        <w:tc>
          <w:tcPr>
            <w:tcW w:type="dxa" w:w="2835"/>
          </w:tcPr>
          <w:p>
            <w:pPr>
              <w:spacing w:after="20"/>
              <w:jc w:val="right"/>
            </w:pPr>
            <w:r/>
            <w:r>
              <w:rPr>
                <w:sz w:val="18"/>
              </w:rPr>
              <w:t>all pairs within 0.01 %; 1.0 % of trips moved</w:t>
            </w:r>
          </w:p>
        </w:tc>
      </w:tr>
    </w:tbl>
    <w:p>
      <w:pPr>
        <w:spacing w:after="40"/>
      </w:pPr>
    </w:p>
    <w:p>
      <w:r>
        <w:rPr>
          <w:i w:val="0"/>
        </w:rPr>
        <w:t>A rebalanced matrix (hybrid_taz_trips_balanced.csv) satisfies both sets of constraints; it is published for anyone who still needs a hybrid. The within-block detail of every hybrid still comes from a cellular mapping that copies each coarse flow onto every pair of child TAZs, which over-weights finely divided zones; repairing that needs the cellular file. The current base (Parts A, C, D) does not use the hybrid.</w:t>
      </w:r>
    </w:p>
    <w:p>
      <w:pPr>
        <w:jc w:val="center"/>
      </w:pPr>
      <w:r>
        <w:drawing>
          <wp:inline xmlns:a="http://schemas.openxmlformats.org/drawingml/2006/main" xmlns:pic="http://schemas.openxmlformats.org/drawingml/2006/picture">
            <wp:extent cx="5724000" cy="2241740"/>
            <wp:docPr id="4" name="Picture 4"/>
            <wp:cNvGraphicFramePr>
              <a:graphicFrameLocks noChangeAspect="1"/>
            </wp:cNvGraphicFramePr>
            <a:graphic>
              <a:graphicData uri="http://schemas.openxmlformats.org/drawingml/2006/picture">
                <pic:pic>
                  <pic:nvPicPr>
                    <pic:cNvPr id="0" name="hybrid_sz_conservation.png"/>
                    <pic:cNvPicPr/>
                  </pic:nvPicPr>
                  <pic:blipFill>
                    <a:blip r:embed="rId12"/>
                    <a:stretch>
                      <a:fillRect/>
                    </a:stretch>
                  </pic:blipFill>
                  <pic:spPr>
                    <a:xfrm>
                      <a:off x="0" y="0"/>
                      <a:ext cx="5724000" cy="2241740"/>
                    </a:xfrm>
                    <a:prstGeom prst="rect"/>
                  </pic:spPr>
                </pic:pic>
              </a:graphicData>
            </a:graphic>
          </wp:inline>
        </w:drawing>
      </w:r>
    </w:p>
    <w:p>
      <w:r>
        <w:rPr>
          <w:i/>
          <w:color w:val="52514E"/>
          <w:sz w:val="18"/>
        </w:rPr>
        <w:t>Figure 4. Superzone pairs: target (superzone hybrid) against the TAZ hybrid reaggregated, primary and historical versions. Dotted lines are ±10 %.</w:t>
      </w:r>
    </w:p>
    <w:p>
      <w:pPr>
        <w:pStyle w:val="Heading2"/>
      </w:pPr>
      <w:r>
        <w:t>4.6 What the tests mean together</w:t>
      </w:r>
    </w:p>
    <w:p>
      <w:pPr>
        <w:pStyle w:val="ListBullet"/>
      </w:pPr>
      <w:r>
        <w:rPr>
          <w:i w:val="0"/>
        </w:rPr>
        <w:t>The survey and the cellular product see the same broad geography but a different mix of trips. The cellular product misses short trips and spreads the rest thinly; the survey is concentrated and short. This is a difference in what each source records, not sampling noise; which one is closer to the truth needs the cellular trip definition and external counts, neither of which is in hand.</w:t>
      </w:r>
    </w:p>
    <w:p>
      <w:pPr>
        <w:pStyle w:val="ListBullet"/>
      </w:pPr>
      <w:r>
        <w:rPr>
          <w:i w:val="0"/>
        </w:rPr>
        <w:t>Survey rows are stable from day to day at superzone level, thin at TAZ level. Below the superzone, TAZ detail from any source in this study is an allocation, not an observation.</w:t>
      </w:r>
    </w:p>
    <w:p>
      <w:pPr>
        <w:pStyle w:val="ListBullet"/>
      </w:pPr>
      <w:r>
        <w:rPr>
          <w:i w:val="0"/>
        </w:rPr>
        <w:t>The hybrid does what its design intends at superzone level but not below it, and it is no longer the base of anything. The tests remain useful as a regression record.</w:t>
      </w:r>
    </w:p>
    <w:p>
      <w:pPr>
        <w:pStyle w:val="ListBullet"/>
      </w:pPr>
      <w:r>
        <w:rPr>
          <w:i w:val="0"/>
        </w:rPr>
        <w:t>Absolute volumes rest on the survey expansion only.</w:t>
      </w:r>
    </w:p>
    <w:p>
      <w:pPr>
        <w:pStyle w:val="Heading2"/>
      </w:pPr>
      <w:r>
        <w:t>4.7 Car versus transit inside the survey (new in revision 2.1)</w:t>
      </w:r>
    </w:p>
    <w:p>
      <w:r>
        <w:rPr>
          <w:i w:val="0"/>
        </w:rPr>
        <w:t>The same principal-component tests were run within the survey, with the mode group as the grouping: do car trips and transit trips (bus, taxi-type and rail) share the same destination-choice structure? Each statistic is judged against each mode's own day-to-day repeatability and a permuted-geography null; transit rows are thin (median 36 sampled trips per origin superzone over two days), so a household bootstrap and a run restricted to the 26 well-sampled origins accompany the headline figures.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948"/>
            <w:shd w:val="clear" w:color="auto" w:fill="E8EEF6"/>
          </w:tcPr>
          <w:p>
            <w:pPr>
              <w:spacing w:after="20"/>
            </w:pPr>
            <w:r/>
            <w:r>
              <w:rPr>
                <w:b/>
                <w:sz w:val="17"/>
              </w:rPr>
              <w:t>Superzone level, k = 20</w:t>
            </w:r>
          </w:p>
        </w:tc>
        <w:tc>
          <w:tcPr>
            <w:tcW w:type="dxa" w:w="2438"/>
            <w:shd w:val="clear" w:color="auto" w:fill="E8EEF6"/>
          </w:tcPr>
          <w:p>
            <w:pPr>
              <w:spacing w:after="20"/>
            </w:pPr>
            <w:r/>
            <w:r>
              <w:rPr>
                <w:b/>
                <w:sz w:val="17"/>
              </w:rPr>
              <w:t>Car vs transit</w:t>
            </w:r>
          </w:p>
        </w:tc>
        <w:tc>
          <w:tcPr>
            <w:tcW w:type="dxa" w:w="1247"/>
            <w:shd w:val="clear" w:color="auto" w:fill="E8EEF6"/>
          </w:tcPr>
          <w:p>
            <w:pPr>
              <w:spacing w:after="20"/>
            </w:pPr>
            <w:r/>
            <w:r>
              <w:rPr>
                <w:b/>
                <w:sz w:val="17"/>
              </w:rPr>
              <w:t>Car day-to-day</w:t>
            </w:r>
          </w:p>
        </w:tc>
        <w:tc>
          <w:tcPr>
            <w:tcW w:type="dxa" w:w="1474"/>
            <w:shd w:val="clear" w:color="auto" w:fill="E8EEF6"/>
          </w:tcPr>
          <w:p>
            <w:pPr>
              <w:spacing w:after="20"/>
            </w:pPr>
            <w:r/>
            <w:r>
              <w:rPr>
                <w:b/>
                <w:sz w:val="17"/>
              </w:rPr>
              <w:t>Transit day-to-day</w:t>
            </w:r>
          </w:p>
        </w:tc>
        <w:tc>
          <w:tcPr>
            <w:tcW w:type="dxa" w:w="907"/>
            <w:shd w:val="clear" w:color="auto" w:fill="E8EEF6"/>
          </w:tcPr>
          <w:p>
            <w:pPr>
              <w:spacing w:after="20"/>
            </w:pPr>
            <w:r/>
            <w:r>
              <w:rPr>
                <w:b/>
                <w:sz w:val="17"/>
              </w:rPr>
              <w:t>Chance</w:t>
            </w:r>
          </w:p>
        </w:tc>
      </w:tr>
      <w:tr>
        <w:tc>
          <w:tcPr>
            <w:tcW w:type="dxa" w:w="2948"/>
          </w:tcPr>
          <w:p>
            <w:pPr>
              <w:spacing w:after="20"/>
            </w:pPr>
            <w:r/>
            <w:r>
              <w:rPr>
                <w:sz w:val="17"/>
              </w:rPr>
              <w:t>Subspace overlap</w:t>
            </w:r>
          </w:p>
        </w:tc>
        <w:tc>
          <w:tcPr>
            <w:tcW w:type="dxa" w:w="2438"/>
          </w:tcPr>
          <w:p>
            <w:pPr>
              <w:spacing w:after="20"/>
              <w:jc w:val="right"/>
            </w:pPr>
            <w:r/>
            <w:r>
              <w:rPr>
                <w:sz w:val="17"/>
              </w:rPr>
              <w:t>0.75 (bootstrap 0.66–0.76; p = 0.0005)</w:t>
            </w:r>
          </w:p>
        </w:tc>
        <w:tc>
          <w:tcPr>
            <w:tcW w:type="dxa" w:w="1247"/>
          </w:tcPr>
          <w:p>
            <w:pPr>
              <w:spacing w:after="20"/>
              <w:jc w:val="right"/>
            </w:pPr>
            <w:r/>
            <w:r>
              <w:rPr>
                <w:sz w:val="17"/>
              </w:rPr>
              <w:t>0.95</w:t>
            </w:r>
          </w:p>
        </w:tc>
        <w:tc>
          <w:tcPr>
            <w:tcW w:type="dxa" w:w="1474"/>
          </w:tcPr>
          <w:p>
            <w:pPr>
              <w:spacing w:after="20"/>
              <w:jc w:val="right"/>
            </w:pPr>
            <w:r/>
            <w:r>
              <w:rPr>
                <w:sz w:val="17"/>
              </w:rPr>
              <w:t>0.81</w:t>
            </w:r>
          </w:p>
        </w:tc>
        <w:tc>
          <w:tcPr>
            <w:tcW w:type="dxa" w:w="907"/>
          </w:tcPr>
          <w:p>
            <w:pPr>
              <w:spacing w:after="20"/>
              <w:jc w:val="right"/>
            </w:pPr>
            <w:r/>
            <w:r>
              <w:rPr>
                <w:sz w:val="17"/>
              </w:rPr>
              <w:t>0.57</w:t>
            </w:r>
          </w:p>
        </w:tc>
      </w:tr>
      <w:tr>
        <w:tc>
          <w:tcPr>
            <w:tcW w:type="dxa" w:w="2948"/>
          </w:tcPr>
          <w:p>
            <w:pPr>
              <w:spacing w:after="20"/>
            </w:pPr>
            <w:r/>
            <w:r>
              <w:rPr>
                <w:sz w:val="17"/>
              </w:rPr>
              <w:t>Overlap on the 26 well-sampled origins</w:t>
            </w:r>
          </w:p>
        </w:tc>
        <w:tc>
          <w:tcPr>
            <w:tcW w:type="dxa" w:w="2438"/>
          </w:tcPr>
          <w:p>
            <w:pPr>
              <w:spacing w:after="20"/>
              <w:jc w:val="right"/>
            </w:pPr>
            <w:r/>
            <w:r>
              <w:rPr>
                <w:sz w:val="17"/>
              </w:rPr>
              <w:t>0.83</w:t>
            </w:r>
          </w:p>
        </w:tc>
        <w:tc>
          <w:tcPr>
            <w:tcW w:type="dxa" w:w="1247"/>
          </w:tcPr>
          <w:p>
            <w:pPr>
              <w:spacing w:after="20"/>
              <w:jc w:val="right"/>
            </w:pPr>
            <w:r/>
            <w:r>
              <w:rPr>
                <w:sz w:val="17"/>
              </w:rPr>
              <w:t>0.98</w:t>
            </w:r>
          </w:p>
        </w:tc>
        <w:tc>
          <w:tcPr>
            <w:tcW w:type="dxa" w:w="1474"/>
          </w:tcPr>
          <w:p>
            <w:pPr>
              <w:spacing w:after="20"/>
              <w:jc w:val="right"/>
            </w:pPr>
            <w:r/>
            <w:r>
              <w:rPr>
                <w:sz w:val="17"/>
              </w:rPr>
              <w:t>0.86</w:t>
            </w:r>
          </w:p>
        </w:tc>
        <w:tc>
          <w:tcPr>
            <w:tcW w:type="dxa" w:w="907"/>
          </w:tcPr>
          <w:p>
            <w:pPr>
              <w:spacing w:after="20"/>
              <w:jc w:val="right"/>
            </w:pPr>
            <w:r/>
            <w:r>
              <w:rPr>
                <w:sz w:val="17"/>
              </w:rPr>
            </w:r>
          </w:p>
        </w:tc>
      </w:tr>
      <w:tr>
        <w:tc>
          <w:tcPr>
            <w:tcW w:type="dxa" w:w="2948"/>
          </w:tcPr>
          <w:p>
            <w:pPr>
              <w:spacing w:after="20"/>
            </w:pPr>
            <w:r/>
            <w:r>
              <w:rPr>
                <w:sz w:val="17"/>
              </w:rPr>
              <w:t>Transit variance captured by car components</w:t>
            </w:r>
          </w:p>
        </w:tc>
        <w:tc>
          <w:tcPr>
            <w:tcW w:type="dxa" w:w="2438"/>
          </w:tcPr>
          <w:p>
            <w:pPr>
              <w:spacing w:after="20"/>
              <w:jc w:val="right"/>
            </w:pPr>
            <w:r/>
            <w:r>
              <w:rPr>
                <w:sz w:val="17"/>
              </w:rPr>
              <w:t>0.86</w:t>
            </w:r>
          </w:p>
        </w:tc>
        <w:tc>
          <w:tcPr>
            <w:tcW w:type="dxa" w:w="1247"/>
          </w:tcPr>
          <w:p>
            <w:pPr>
              <w:spacing w:after="20"/>
              <w:jc w:val="right"/>
            </w:pPr>
            <w:r/>
            <w:r>
              <w:rPr>
                <w:sz w:val="17"/>
              </w:rPr>
            </w:r>
          </w:p>
        </w:tc>
        <w:tc>
          <w:tcPr>
            <w:tcW w:type="dxa" w:w="1474"/>
          </w:tcPr>
          <w:p>
            <w:pPr>
              <w:spacing w:after="20"/>
              <w:jc w:val="right"/>
            </w:pPr>
            <w:r/>
            <w:r>
              <w:rPr>
                <w:sz w:val="17"/>
              </w:rPr>
              <w:t>0.89 (by its own)</w:t>
            </w:r>
          </w:p>
        </w:tc>
        <w:tc>
          <w:tcPr>
            <w:tcW w:type="dxa" w:w="907"/>
          </w:tcPr>
          <w:p>
            <w:pPr>
              <w:spacing w:after="20"/>
              <w:jc w:val="right"/>
            </w:pPr>
            <w:r/>
            <w:r>
              <w:rPr>
                <w:sz w:val="17"/>
              </w:rPr>
            </w:r>
          </w:p>
        </w:tc>
      </w:tr>
      <w:tr>
        <w:tc>
          <w:tcPr>
            <w:tcW w:type="dxa" w:w="2948"/>
          </w:tcPr>
          <w:p>
            <w:pPr>
              <w:spacing w:after="20"/>
            </w:pPr>
            <w:r/>
            <w:r>
              <w:rPr>
                <w:sz w:val="17"/>
              </w:rPr>
              <w:t>Mean self-containment</w:t>
            </w:r>
          </w:p>
        </w:tc>
        <w:tc>
          <w:tcPr>
            <w:tcW w:type="dxa" w:w="2438"/>
          </w:tcPr>
          <w:p>
            <w:pPr>
              <w:spacing w:after="20"/>
              <w:jc w:val="right"/>
            </w:pPr>
            <w:r/>
            <w:r>
              <w:rPr>
                <w:sz w:val="17"/>
              </w:rPr>
              <w:t>car 0.62, transit 0.45</w:t>
            </w:r>
          </w:p>
        </w:tc>
        <w:tc>
          <w:tcPr>
            <w:tcW w:type="dxa" w:w="1247"/>
          </w:tcPr>
          <w:p>
            <w:pPr>
              <w:spacing w:after="20"/>
              <w:jc w:val="right"/>
            </w:pPr>
            <w:r/>
            <w:r>
              <w:rPr>
                <w:sz w:val="17"/>
              </w:rPr>
            </w:r>
          </w:p>
        </w:tc>
        <w:tc>
          <w:tcPr>
            <w:tcW w:type="dxa" w:w="1474"/>
          </w:tcPr>
          <w:p>
            <w:pPr>
              <w:spacing w:after="20"/>
              <w:jc w:val="right"/>
            </w:pPr>
            <w:r/>
            <w:r>
              <w:rPr>
                <w:sz w:val="17"/>
              </w:rPr>
            </w:r>
          </w:p>
        </w:tc>
        <w:tc>
          <w:tcPr>
            <w:tcW w:type="dxa" w:w="907"/>
          </w:tcPr>
          <w:p>
            <w:pPr>
              <w:spacing w:after="20"/>
              <w:jc w:val="right"/>
            </w:pPr>
            <w:r/>
            <w:r>
              <w:rPr>
                <w:sz w:val="17"/>
              </w:rPr>
            </w:r>
          </w:p>
        </w:tc>
      </w:tr>
      <w:tr>
        <w:tc>
          <w:tcPr>
            <w:tcW w:type="dxa" w:w="2948"/>
          </w:tcPr>
          <w:p>
            <w:pPr>
              <w:spacing w:after="20"/>
            </w:pPr>
            <w:r/>
            <w:r>
              <w:rPr>
                <w:sz w:val="17"/>
              </w:rPr>
              <w:t>Diagonal share of the divergence</w:t>
            </w:r>
          </w:p>
        </w:tc>
        <w:tc>
          <w:tcPr>
            <w:tcW w:type="dxa" w:w="2438"/>
          </w:tcPr>
          <w:p>
            <w:pPr>
              <w:spacing w:after="20"/>
              <w:jc w:val="right"/>
            </w:pPr>
            <w:r/>
            <w:r>
              <w:rPr>
                <w:sz w:val="17"/>
              </w:rPr>
              <w:t>0.44 (survey vs cellular: 0.87)</w:t>
            </w:r>
          </w:p>
        </w:tc>
        <w:tc>
          <w:tcPr>
            <w:tcW w:type="dxa" w:w="1247"/>
          </w:tcPr>
          <w:p>
            <w:pPr>
              <w:spacing w:after="20"/>
              <w:jc w:val="right"/>
            </w:pPr>
            <w:r/>
            <w:r>
              <w:rPr>
                <w:sz w:val="17"/>
              </w:rPr>
            </w:r>
          </w:p>
        </w:tc>
        <w:tc>
          <w:tcPr>
            <w:tcW w:type="dxa" w:w="1474"/>
          </w:tcPr>
          <w:p>
            <w:pPr>
              <w:spacing w:after="20"/>
              <w:jc w:val="right"/>
            </w:pPr>
            <w:r/>
            <w:r>
              <w:rPr>
                <w:sz w:val="17"/>
              </w:rPr>
            </w:r>
          </w:p>
        </w:tc>
        <w:tc>
          <w:tcPr>
            <w:tcW w:type="dxa" w:w="907"/>
          </w:tcPr>
          <w:p>
            <w:pPr>
              <w:spacing w:after="20"/>
              <w:jc w:val="right"/>
            </w:pPr>
            <w:r/>
            <w:r>
              <w:rPr>
                <w:sz w:val="17"/>
              </w:rPr>
            </w:r>
          </w:p>
        </w:tc>
      </w:tr>
      <w:tr>
        <w:tc>
          <w:tcPr>
            <w:tcW w:type="dxa" w:w="2948"/>
          </w:tcPr>
          <w:p>
            <w:pPr>
              <w:spacing w:after="20"/>
            </w:pPr>
            <w:r/>
            <w:r>
              <w:rPr>
                <w:sz w:val="17"/>
              </w:rPr>
              <w:t>Common direction of the divergence</w:t>
            </w:r>
          </w:p>
        </w:tc>
        <w:tc>
          <w:tcPr>
            <w:tcW w:type="dxa" w:w="2438"/>
          </w:tcPr>
          <w:p>
            <w:pPr>
              <w:spacing w:after="20"/>
              <w:jc w:val="right"/>
            </w:pPr>
            <w:r/>
            <w:r>
              <w:rPr>
                <w:sz w:val="17"/>
              </w:rPr>
              <w:t>yes, p = 0.04</w:t>
            </w:r>
          </w:p>
        </w:tc>
        <w:tc>
          <w:tcPr>
            <w:tcW w:type="dxa" w:w="1247"/>
          </w:tcPr>
          <w:p>
            <w:pPr>
              <w:spacing w:after="20"/>
              <w:jc w:val="right"/>
            </w:pPr>
            <w:r/>
            <w:r>
              <w:rPr>
                <w:sz w:val="17"/>
              </w:rPr>
            </w:r>
          </w:p>
        </w:tc>
        <w:tc>
          <w:tcPr>
            <w:tcW w:type="dxa" w:w="1474"/>
          </w:tcPr>
          <w:p>
            <w:pPr>
              <w:spacing w:after="20"/>
              <w:jc w:val="right"/>
            </w:pPr>
            <w:r/>
            <w:r>
              <w:rPr>
                <w:sz w:val="17"/>
              </w:rPr>
            </w:r>
          </w:p>
        </w:tc>
        <w:tc>
          <w:tcPr>
            <w:tcW w:type="dxa" w:w="907"/>
          </w:tcPr>
          <w:p>
            <w:pPr>
              <w:spacing w:after="20"/>
              <w:jc w:val="right"/>
            </w:pPr>
            <w:r/>
            <w:r>
              <w:rPr>
                <w:sz w:val="17"/>
              </w:rPr>
            </w:r>
          </w:p>
        </w:tc>
      </w:tr>
    </w:tbl>
    <w:p>
      <w:pPr>
        <w:spacing w:after="40"/>
      </w:pPr>
    </w:p>
    <w:p>
      <w:r>
        <w:rPr>
          <w:i w:val="0"/>
        </w:rPr>
        <w:t>What it says: car and transit share the dominant structure. On the origins where transit is adequately sampled, the two modes agree with each other as closely as transit agrees with itself on another day, and the leading components match one to one (a geographic axis and a self-containment axis). Where they differ is systematic and points one way: transit trips are less local than car trips, and the released share goes to the Haifa core (Hadar, the Carmel centre, the lower city and the port areas gain two to three points of destination share on average; Tirat Carmel, Umm al-Fahm, Beit She'an and Ma'alot lose about two). The well-sampled origins where transit departs most from car are Rekhasim / Zevulun (45 % of transit trips to the Haifa superzones against 9 % of car trips), Shefa-'Amr / Tamra (66 % against 14 %) and Tirat Carmel (71 % against 23 %).</w:t>
      </w:r>
    </w:p>
    <w:p>
      <w:r>
        <w:rPr>
          <w:i w:val="0"/>
        </w:rPr>
        <w:t>The same tests at other resolutions:</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3175"/>
            <w:shd w:val="clear" w:color="auto" w:fill="E8EEF6"/>
          </w:tcPr>
          <w:p>
            <w:pPr>
              <w:spacing w:after="20"/>
            </w:pPr>
            <w:r/>
            <w:r>
              <w:rPr>
                <w:b/>
                <w:sz w:val="17"/>
              </w:rPr>
              <w:t>Level (origins with at least n sampled transit trips)</w:t>
            </w:r>
          </w:p>
        </w:tc>
        <w:tc>
          <w:tcPr>
            <w:tcW w:type="dxa" w:w="850"/>
            <w:shd w:val="clear" w:color="auto" w:fill="E8EEF6"/>
          </w:tcPr>
          <w:p>
            <w:pPr>
              <w:spacing w:after="20"/>
            </w:pPr>
            <w:r/>
            <w:r>
              <w:rPr>
                <w:b/>
                <w:sz w:val="17"/>
              </w:rPr>
              <w:t>Origins</w:t>
            </w:r>
          </w:p>
        </w:tc>
        <w:tc>
          <w:tcPr>
            <w:tcW w:type="dxa" w:w="567"/>
            <w:shd w:val="clear" w:color="auto" w:fill="E8EEF6"/>
          </w:tcPr>
          <w:p>
            <w:pPr>
              <w:spacing w:after="20"/>
            </w:pPr>
            <w:r/>
            <w:r>
              <w:rPr>
                <w:b/>
                <w:sz w:val="17"/>
              </w:rPr>
              <w:t>k</w:t>
            </w:r>
          </w:p>
        </w:tc>
        <w:tc>
          <w:tcPr>
            <w:tcW w:type="dxa" w:w="1247"/>
            <w:shd w:val="clear" w:color="auto" w:fill="E8EEF6"/>
          </w:tcPr>
          <w:p>
            <w:pPr>
              <w:spacing w:after="20"/>
            </w:pPr>
            <w:r/>
            <w:r>
              <w:rPr>
                <w:b/>
                <w:sz w:val="17"/>
              </w:rPr>
              <w:t>Car vs transit</w:t>
            </w:r>
          </w:p>
        </w:tc>
        <w:tc>
          <w:tcPr>
            <w:tcW w:type="dxa" w:w="1247"/>
            <w:shd w:val="clear" w:color="auto" w:fill="E8EEF6"/>
          </w:tcPr>
          <w:p>
            <w:pPr>
              <w:spacing w:after="20"/>
            </w:pPr>
            <w:r/>
            <w:r>
              <w:rPr>
                <w:b/>
                <w:sz w:val="17"/>
              </w:rPr>
              <w:t>Car day-to-day</w:t>
            </w:r>
          </w:p>
        </w:tc>
        <w:tc>
          <w:tcPr>
            <w:tcW w:type="dxa" w:w="1361"/>
            <w:shd w:val="clear" w:color="auto" w:fill="E8EEF6"/>
          </w:tcPr>
          <w:p>
            <w:pPr>
              <w:spacing w:after="20"/>
            </w:pPr>
            <w:r/>
            <w:r>
              <w:rPr>
                <w:b/>
                <w:sz w:val="17"/>
              </w:rPr>
              <w:t>Transit day-to-day</w:t>
            </w:r>
          </w:p>
        </w:tc>
        <w:tc>
          <w:tcPr>
            <w:tcW w:type="dxa" w:w="850"/>
            <w:shd w:val="clear" w:color="auto" w:fill="E8EEF6"/>
          </w:tcPr>
          <w:p>
            <w:pPr>
              <w:spacing w:after="20"/>
            </w:pPr>
            <w:r/>
            <w:r>
              <w:rPr>
                <w:b/>
                <w:sz w:val="17"/>
              </w:rPr>
              <w:t>Chance</w:t>
            </w:r>
          </w:p>
        </w:tc>
      </w:tr>
      <w:tr>
        <w:tc>
          <w:tcPr>
            <w:tcW w:type="dxa" w:w="3175"/>
          </w:tcPr>
          <w:p>
            <w:pPr>
              <w:spacing w:after="20"/>
            </w:pPr>
            <w:r/>
            <w:r>
              <w:rPr>
                <w:sz w:val="17"/>
              </w:rPr>
              <w:t>Superzone × superzone (1)</w:t>
            </w:r>
          </w:p>
        </w:tc>
        <w:tc>
          <w:tcPr>
            <w:tcW w:type="dxa" w:w="850"/>
          </w:tcPr>
          <w:p>
            <w:pPr>
              <w:spacing w:after="20"/>
              <w:jc w:val="right"/>
            </w:pPr>
            <w:r/>
            <w:r>
              <w:rPr>
                <w:sz w:val="17"/>
              </w:rPr>
              <w:t>35</w:t>
            </w:r>
          </w:p>
        </w:tc>
        <w:tc>
          <w:tcPr>
            <w:tcW w:type="dxa" w:w="567"/>
          </w:tcPr>
          <w:p>
            <w:pPr>
              <w:spacing w:after="20"/>
              <w:jc w:val="right"/>
            </w:pPr>
            <w:r/>
            <w:r>
              <w:rPr>
                <w:sz w:val="17"/>
              </w:rPr>
              <w:t>20</w:t>
            </w:r>
          </w:p>
        </w:tc>
        <w:tc>
          <w:tcPr>
            <w:tcW w:type="dxa" w:w="1247"/>
          </w:tcPr>
          <w:p>
            <w:pPr>
              <w:spacing w:after="20"/>
              <w:jc w:val="right"/>
            </w:pPr>
            <w:r/>
            <w:r>
              <w:rPr>
                <w:sz w:val="17"/>
              </w:rPr>
              <w:t>0.75</w:t>
            </w:r>
          </w:p>
        </w:tc>
        <w:tc>
          <w:tcPr>
            <w:tcW w:type="dxa" w:w="1247"/>
          </w:tcPr>
          <w:p>
            <w:pPr>
              <w:spacing w:after="20"/>
              <w:jc w:val="right"/>
            </w:pPr>
            <w:r/>
            <w:r>
              <w:rPr>
                <w:sz w:val="17"/>
              </w:rPr>
              <w:t>0.95</w:t>
            </w:r>
          </w:p>
        </w:tc>
        <w:tc>
          <w:tcPr>
            <w:tcW w:type="dxa" w:w="1361"/>
          </w:tcPr>
          <w:p>
            <w:pPr>
              <w:spacing w:after="20"/>
              <w:jc w:val="right"/>
            </w:pPr>
            <w:r/>
            <w:r>
              <w:rPr>
                <w:sz w:val="17"/>
              </w:rPr>
              <w:t>0.81</w:t>
            </w:r>
          </w:p>
        </w:tc>
        <w:tc>
          <w:tcPr>
            <w:tcW w:type="dxa" w:w="850"/>
          </w:tcPr>
          <w:p>
            <w:pPr>
              <w:spacing w:after="20"/>
              <w:jc w:val="right"/>
            </w:pPr>
            <w:r/>
            <w:r>
              <w:rPr>
                <w:sz w:val="17"/>
              </w:rPr>
              <w:t>0.57</w:t>
            </w:r>
          </w:p>
        </w:tc>
      </w:tr>
      <w:tr>
        <w:tc>
          <w:tcPr>
            <w:tcW w:type="dxa" w:w="3175"/>
          </w:tcPr>
          <w:p>
            <w:pPr>
              <w:spacing w:after="20"/>
            </w:pPr>
            <w:r/>
            <w:r>
              <w:rPr>
                <w:sz w:val="17"/>
              </w:rPr>
              <w:t>Corridor areas × areas (10)</w:t>
            </w:r>
          </w:p>
        </w:tc>
        <w:tc>
          <w:tcPr>
            <w:tcW w:type="dxa" w:w="850"/>
          </w:tcPr>
          <w:p>
            <w:pPr>
              <w:spacing w:after="20"/>
              <w:jc w:val="right"/>
            </w:pPr>
            <w:r/>
            <w:r>
              <w:rPr>
                <w:sz w:val="17"/>
              </w:rPr>
              <w:t>14</w:t>
            </w:r>
          </w:p>
        </w:tc>
        <w:tc>
          <w:tcPr>
            <w:tcW w:type="dxa" w:w="567"/>
          </w:tcPr>
          <w:p>
            <w:pPr>
              <w:spacing w:after="20"/>
              <w:jc w:val="right"/>
            </w:pPr>
            <w:r/>
            <w:r>
              <w:rPr>
                <w:sz w:val="17"/>
              </w:rPr>
              <w:t>5</w:t>
            </w:r>
          </w:p>
        </w:tc>
        <w:tc>
          <w:tcPr>
            <w:tcW w:type="dxa" w:w="1247"/>
          </w:tcPr>
          <w:p>
            <w:pPr>
              <w:spacing w:after="20"/>
              <w:jc w:val="right"/>
            </w:pPr>
            <w:r/>
            <w:r>
              <w:rPr>
                <w:sz w:val="17"/>
              </w:rPr>
              <w:t>0.57</w:t>
            </w:r>
          </w:p>
        </w:tc>
        <w:tc>
          <w:tcPr>
            <w:tcW w:type="dxa" w:w="1247"/>
          </w:tcPr>
          <w:p>
            <w:pPr>
              <w:spacing w:after="20"/>
              <w:jc w:val="right"/>
            </w:pPr>
            <w:r/>
            <w:r>
              <w:rPr>
                <w:sz w:val="17"/>
              </w:rPr>
              <w:t>0.91</w:t>
            </w:r>
          </w:p>
        </w:tc>
        <w:tc>
          <w:tcPr>
            <w:tcW w:type="dxa" w:w="1361"/>
          </w:tcPr>
          <w:p>
            <w:pPr>
              <w:spacing w:after="20"/>
              <w:jc w:val="right"/>
            </w:pPr>
            <w:r/>
            <w:r>
              <w:rPr>
                <w:sz w:val="17"/>
              </w:rPr>
              <w:t>0.65</w:t>
            </w:r>
          </w:p>
        </w:tc>
        <w:tc>
          <w:tcPr>
            <w:tcW w:type="dxa" w:w="850"/>
          </w:tcPr>
          <w:p>
            <w:pPr>
              <w:spacing w:after="20"/>
              <w:jc w:val="right"/>
            </w:pPr>
            <w:r/>
            <w:r>
              <w:rPr>
                <w:sz w:val="17"/>
              </w:rPr>
              <w:t>0.18</w:t>
            </w:r>
          </w:p>
        </w:tc>
      </w:tr>
      <w:tr>
        <w:tc>
          <w:tcPr>
            <w:tcW w:type="dxa" w:w="3175"/>
          </w:tcPr>
          <w:p>
            <w:pPr>
              <w:spacing w:after="20"/>
            </w:pPr>
            <w:r/>
            <w:r>
              <w:rPr>
                <w:sz w:val="17"/>
              </w:rPr>
              <w:t>Corridor areas × areas (20)</w:t>
            </w:r>
          </w:p>
        </w:tc>
        <w:tc>
          <w:tcPr>
            <w:tcW w:type="dxa" w:w="850"/>
          </w:tcPr>
          <w:p>
            <w:pPr>
              <w:spacing w:after="20"/>
              <w:jc w:val="right"/>
            </w:pPr>
            <w:r/>
            <w:r>
              <w:rPr>
                <w:sz w:val="17"/>
              </w:rPr>
              <w:t>8</w:t>
            </w:r>
          </w:p>
        </w:tc>
        <w:tc>
          <w:tcPr>
            <w:tcW w:type="dxa" w:w="567"/>
          </w:tcPr>
          <w:p>
            <w:pPr>
              <w:spacing w:after="20"/>
              <w:jc w:val="right"/>
            </w:pPr>
            <w:r/>
            <w:r>
              <w:rPr>
                <w:sz w:val="17"/>
              </w:rPr>
              <w:t>3</w:t>
            </w:r>
          </w:p>
        </w:tc>
        <w:tc>
          <w:tcPr>
            <w:tcW w:type="dxa" w:w="1247"/>
          </w:tcPr>
          <w:p>
            <w:pPr>
              <w:spacing w:after="20"/>
              <w:jc w:val="right"/>
            </w:pPr>
            <w:r/>
            <w:r>
              <w:rPr>
                <w:sz w:val="17"/>
              </w:rPr>
              <w:t>0.64</w:t>
            </w:r>
          </w:p>
        </w:tc>
        <w:tc>
          <w:tcPr>
            <w:tcW w:type="dxa" w:w="1247"/>
          </w:tcPr>
          <w:p>
            <w:pPr>
              <w:spacing w:after="20"/>
              <w:jc w:val="right"/>
            </w:pPr>
            <w:r/>
            <w:r>
              <w:rPr>
                <w:sz w:val="17"/>
              </w:rPr>
              <w:t>0.99</w:t>
            </w:r>
          </w:p>
        </w:tc>
        <w:tc>
          <w:tcPr>
            <w:tcW w:type="dxa" w:w="1361"/>
          </w:tcPr>
          <w:p>
            <w:pPr>
              <w:spacing w:after="20"/>
              <w:jc w:val="right"/>
            </w:pPr>
            <w:r/>
            <w:r>
              <w:rPr>
                <w:sz w:val="17"/>
              </w:rPr>
              <w:t>0.70</w:t>
            </w:r>
          </w:p>
        </w:tc>
        <w:tc>
          <w:tcPr>
            <w:tcW w:type="dxa" w:w="850"/>
          </w:tcPr>
          <w:p>
            <w:pPr>
              <w:spacing w:after="20"/>
              <w:jc w:val="right"/>
            </w:pPr>
            <w:r/>
            <w:r>
              <w:rPr>
                <w:sz w:val="17"/>
              </w:rPr>
              <w:t>0.11</w:t>
            </w:r>
          </w:p>
        </w:tc>
      </w:tr>
      <w:tr>
        <w:tc>
          <w:tcPr>
            <w:tcW w:type="dxa" w:w="3175"/>
          </w:tcPr>
          <w:p>
            <w:pPr>
              <w:spacing w:after="20"/>
            </w:pPr>
            <w:r/>
            <w:r>
              <w:rPr>
                <w:sz w:val="17"/>
              </w:rPr>
              <w:t>TAZ × superzone (5)</w:t>
            </w:r>
          </w:p>
        </w:tc>
        <w:tc>
          <w:tcPr>
            <w:tcW w:type="dxa" w:w="850"/>
          </w:tcPr>
          <w:p>
            <w:pPr>
              <w:spacing w:after="20"/>
              <w:jc w:val="right"/>
            </w:pPr>
            <w:r/>
            <w:r>
              <w:rPr>
                <w:sz w:val="17"/>
              </w:rPr>
              <w:t>133</w:t>
            </w:r>
          </w:p>
        </w:tc>
        <w:tc>
          <w:tcPr>
            <w:tcW w:type="dxa" w:w="567"/>
          </w:tcPr>
          <w:p>
            <w:pPr>
              <w:spacing w:after="20"/>
              <w:jc w:val="right"/>
            </w:pPr>
            <w:r/>
            <w:r>
              <w:rPr>
                <w:sz w:val="17"/>
              </w:rPr>
              <w:t>15</w:t>
            </w:r>
          </w:p>
        </w:tc>
        <w:tc>
          <w:tcPr>
            <w:tcW w:type="dxa" w:w="1247"/>
          </w:tcPr>
          <w:p>
            <w:pPr>
              <w:spacing w:after="20"/>
              <w:jc w:val="right"/>
            </w:pPr>
            <w:r/>
            <w:r>
              <w:rPr>
                <w:sz w:val="17"/>
              </w:rPr>
              <w:t>0.75</w:t>
            </w:r>
          </w:p>
        </w:tc>
        <w:tc>
          <w:tcPr>
            <w:tcW w:type="dxa" w:w="1247"/>
          </w:tcPr>
          <w:p>
            <w:pPr>
              <w:spacing w:after="20"/>
              <w:jc w:val="right"/>
            </w:pPr>
            <w:r/>
            <w:r>
              <w:rPr>
                <w:sz w:val="17"/>
              </w:rPr>
              <w:t>0.90</w:t>
            </w:r>
          </w:p>
        </w:tc>
        <w:tc>
          <w:tcPr>
            <w:tcW w:type="dxa" w:w="1361"/>
          </w:tcPr>
          <w:p>
            <w:pPr>
              <w:spacing w:after="20"/>
              <w:jc w:val="right"/>
            </w:pPr>
            <w:r/>
            <w:r>
              <w:rPr>
                <w:sz w:val="17"/>
              </w:rPr>
              <w:t>0.89</w:t>
            </w:r>
          </w:p>
        </w:tc>
        <w:tc>
          <w:tcPr>
            <w:tcW w:type="dxa" w:w="850"/>
          </w:tcPr>
          <w:p>
            <w:pPr>
              <w:spacing w:after="20"/>
              <w:jc w:val="right"/>
            </w:pPr>
            <w:r/>
            <w:r>
              <w:rPr>
                <w:sz w:val="17"/>
              </w:rPr>
              <w:t>0.43</w:t>
            </w:r>
          </w:p>
        </w:tc>
      </w:tr>
      <w:tr>
        <w:tc>
          <w:tcPr>
            <w:tcW w:type="dxa" w:w="3175"/>
          </w:tcPr>
          <w:p>
            <w:pPr>
              <w:spacing w:after="20"/>
            </w:pPr>
            <w:r/>
            <w:r>
              <w:rPr>
                <w:sz w:val="17"/>
              </w:rPr>
              <w:t>TAZ × TAZ (5)</w:t>
            </w:r>
          </w:p>
        </w:tc>
        <w:tc>
          <w:tcPr>
            <w:tcW w:type="dxa" w:w="850"/>
          </w:tcPr>
          <w:p>
            <w:pPr>
              <w:spacing w:after="20"/>
              <w:jc w:val="right"/>
            </w:pPr>
            <w:r/>
            <w:r>
              <w:rPr>
                <w:sz w:val="17"/>
              </w:rPr>
              <w:t>133</w:t>
            </w:r>
          </w:p>
        </w:tc>
        <w:tc>
          <w:tcPr>
            <w:tcW w:type="dxa" w:w="567"/>
          </w:tcPr>
          <w:p>
            <w:pPr>
              <w:spacing w:after="20"/>
              <w:jc w:val="right"/>
            </w:pPr>
            <w:r/>
            <w:r>
              <w:rPr>
                <w:sz w:val="17"/>
              </w:rPr>
              <w:t>35</w:t>
            </w:r>
          </w:p>
        </w:tc>
        <w:tc>
          <w:tcPr>
            <w:tcW w:type="dxa" w:w="1247"/>
          </w:tcPr>
          <w:p>
            <w:pPr>
              <w:spacing w:after="20"/>
              <w:jc w:val="right"/>
            </w:pPr>
            <w:r/>
            <w:r>
              <w:rPr>
                <w:sz w:val="17"/>
              </w:rPr>
              <w:t>0.27</w:t>
            </w:r>
          </w:p>
        </w:tc>
        <w:tc>
          <w:tcPr>
            <w:tcW w:type="dxa" w:w="1247"/>
          </w:tcPr>
          <w:p>
            <w:pPr>
              <w:spacing w:after="20"/>
              <w:jc w:val="right"/>
            </w:pPr>
            <w:r/>
            <w:r>
              <w:rPr>
                <w:sz w:val="17"/>
              </w:rPr>
              <w:t>0.71</w:t>
            </w:r>
          </w:p>
        </w:tc>
        <w:tc>
          <w:tcPr>
            <w:tcW w:type="dxa" w:w="1361"/>
          </w:tcPr>
          <w:p>
            <w:pPr>
              <w:spacing w:after="20"/>
              <w:jc w:val="right"/>
            </w:pPr>
            <w:r/>
            <w:r>
              <w:rPr>
                <w:sz w:val="17"/>
              </w:rPr>
              <w:t>0.55</w:t>
            </w:r>
          </w:p>
        </w:tc>
        <w:tc>
          <w:tcPr>
            <w:tcW w:type="dxa" w:w="850"/>
          </w:tcPr>
          <w:p>
            <w:pPr>
              <w:spacing w:after="20"/>
              <w:jc w:val="right"/>
            </w:pPr>
            <w:r/>
            <w:r>
              <w:rPr>
                <w:sz w:val="17"/>
              </w:rPr>
              <w:t>0.05</w:t>
            </w:r>
          </w:p>
        </w:tc>
      </w:tr>
    </w:tbl>
    <w:p>
      <w:pPr>
        <w:spacing w:after="40"/>
      </w:pPr>
    </w:p>
    <w:p>
      <w:r>
        <w:rPr>
          <w:i w:val="0"/>
        </w:rPr>
        <w:t>Reading the table row by row. Each row asks the same question at one map resolution: how much of the way car trips choose destinations do transit trips share? The answer is the 'car vs transit' number, and it only means something next to its two neighbours: 'transit day-to-day' is how well transit agrees with itself when the same households are asked on a second day (the best any comparison with transit can do at that resolution), and 'chance' is what unrelated matrices would score. When car vs transit is close to transit day-to-day, the two modes are as alike as the data can show; when it sits well below, transit really is different; when transit day-to-day itself is low, the resolution is too fine for the transit sample.</w:t>
      </w:r>
    </w:p>
    <w:p>
      <w:pPr>
        <w:pStyle w:val="ListBullet"/>
      </w:pPr>
      <w:r>
        <w:rPr>
          <w:b/>
        </w:rPr>
        <w:t xml:space="preserve">Superzone × superzone. </w:t>
      </w:r>
      <w:r>
        <w:rPr>
          <w:i w:val="0"/>
        </w:rPr>
        <w:t>36 large zones. Car vs transit 0.75, transit day-to-day 0.81, chance 0.57. The modes share most of the structure, and the remaining gap is mostly the thin origins: on the 26 superzones with enough transit trips the two numbers are 0.83 and 0.86, effectively equal.</w:t>
      </w:r>
    </w:p>
    <w:p>
      <w:pPr>
        <w:pStyle w:val="ListBullet"/>
      </w:pPr>
      <w:r>
        <w:rPr>
          <w:b/>
        </w:rPr>
        <w:t xml:space="preserve">Corridor areas, at least 10 sampled transit trips. </w:t>
      </w:r>
      <w:r>
        <w:rPr>
          <w:i w:val="0"/>
        </w:rPr>
        <w:t>14 of the 28 sub-areas around the line. Car vs transit 0.57, transit day-to-day 0.65, chance 0.18. Same reading, but transit's own repeatability has dropped to 0.65 because the areas are small and the transit sample per area is thin; the comparison is at the limit of what the survey can tell here.</w:t>
      </w:r>
    </w:p>
    <w:p>
      <w:pPr>
        <w:pStyle w:val="ListBullet"/>
      </w:pPr>
      <w:r>
        <w:rPr>
          <w:b/>
        </w:rPr>
        <w:t xml:space="preserve">Corridor areas, at least 20 sampled transit trips. </w:t>
      </w:r>
      <w:r>
        <w:rPr>
          <w:i w:val="0"/>
        </w:rPr>
        <w:t>Only 8 areas qualify. Car vs transit 0.64, transit day-to-day 0.70. Better-sampled areas agree better, as expected, and again the modes are as alike as transit is to itself.</w:t>
      </w:r>
    </w:p>
    <w:p>
      <w:pPr>
        <w:pStyle w:val="ListBullet"/>
      </w:pPr>
      <w:r>
        <w:rPr>
          <w:b/>
        </w:rPr>
        <w:t xml:space="preserve">TAZ origins, superzone destinations. </w:t>
      </w:r>
      <w:r>
        <w:rPr>
          <w:i w:val="0"/>
        </w:rPr>
        <w:t>133 TAZs with at least five transit trips, each described by where its trips go among the 36 superzones. Car vs transit 0.75 but transit day-to-day 0.89: here the gap is real, not sampling noise, and the test for a common direction confirms it. This is the row that establishes that transit is systematically less local and more Haifa-bound than car.</w:t>
      </w:r>
    </w:p>
    <w:p>
      <w:pPr>
        <w:pStyle w:val="ListBullet"/>
      </w:pPr>
      <w:r>
        <w:rPr>
          <w:b/>
        </w:rPr>
        <w:t xml:space="preserve">TAZ × TAZ. </w:t>
      </w:r>
      <w:r>
        <w:rPr>
          <w:i w:val="0"/>
        </w:rPr>
        <w:t>The same 133 TAZs, described by where their trips go among all 778 TAZs. Car vs transit 0.27, transit day-to-day 0.55, chance 0.05. Both modes are noisy at this resolution, but even allowing for that, transit shares only the coarse geography with car: which TAZ within a superzone a transit trip ends in follows the bus stops and trunk routes, not the spread of jobs that places car trips.</w:t>
      </w:r>
    </w:p>
    <w:p>
      <w:r>
        <w:rPr>
          <w:i w:val="0"/>
        </w:rPr>
        <w:t>At the corridor aggregation areas the modes are as alike as transit is to itself on another day: nothing finer can be resolved there from the survey. The well-sampled outer areas nevertheless show the Haifa pull plainly (Kiryat Motzkin-Bialik sends 26 % of its transit trips to the Haifa line areas against 6 % of its car trips; Kiryat Yam 13 % against 7 %; Kiryat Ata South 12 % against 3 %), while origins inside Haifa send 70–95 % of both modes there. With TAZ origins and superzone destinations, on the 133 TAZs with at least five sampled transit trips, the difference is statistically clear: car versus transit 0.75 against a transit repeatability of 0.89, with a common direction (p = 0.002). At full TAZ resolution only the coarse geography is shared (0.27 against a transit repeatability of 0.55): transit destinations follow stops and trunk routes, not the employment spread that places car trips, which is why the base takes transit destinations below superzone level from the on-board pattern rather than from a scaled car matrix.</w:t>
      </w:r>
    </w:p>
    <w:p>
      <w:r>
        <w:rPr>
          <w:i w:val="0"/>
        </w:rPr>
        <w:t>Why it matters for the corridor: a transit market cannot be read off the car pattern by scaling. Transit demand from the outer superzones is markedly more Haifa-bound than car demand from the same places, which is the movement a Haifa-oriented line serves, and it is less local, so the intra-superzone trips that dominate the car matrix matter less for transit. This supports keeping a transit-specific destination pattern in the base, as the calibration in Part C does. At sub-area level the comparison is at transit's noise floor and says nothing; within Haifa, the on-board and ticketing products remain the right source.</w:t>
      </w:r>
    </w:p>
    <w:p>
      <w:pPr>
        <w:jc w:val="center"/>
      </w:pPr>
      <w:r>
        <w:drawing>
          <wp:inline xmlns:a="http://schemas.openxmlformats.org/drawingml/2006/main" xmlns:pic="http://schemas.openxmlformats.org/drawingml/2006/picture">
            <wp:extent cx="5724000" cy="2364092"/>
            <wp:docPr id="5" name="Picture 5"/>
            <wp:cNvGraphicFramePr>
              <a:graphicFrameLocks noChangeAspect="1"/>
            </wp:cNvGraphicFramePr>
            <a:graphic>
              <a:graphicData uri="http://schemas.openxmlformats.org/drawingml/2006/picture">
                <pic:pic>
                  <pic:nvPicPr>
                    <pic:cNvPr id="0" name="pca_cvt_divergence.png"/>
                    <pic:cNvPicPr/>
                  </pic:nvPicPr>
                  <pic:blipFill>
                    <a:blip r:embed="rId13"/>
                    <a:stretch>
                      <a:fillRect/>
                    </a:stretch>
                  </pic:blipFill>
                  <pic:spPr>
                    <a:xfrm>
                      <a:off x="0" y="0"/>
                      <a:ext cx="5724000" cy="2364092"/>
                    </a:xfrm>
                    <a:prstGeom prst="rect"/>
                  </pic:spPr>
                </pic:pic>
              </a:graphicData>
            </a:graphic>
          </wp:inline>
        </w:drawing>
      </w:r>
    </w:p>
    <w:p>
      <w:r>
        <w:rPr>
          <w:i/>
          <w:color w:val="52514E"/>
          <w:sz w:val="18"/>
        </w:rPr>
        <w:t>Figure 4b. Left: joint component map, car (grey) and transit (blue) profiles of each origin superzone; hollow markers are thin-sample origins. Right: transit minus car destination shares; the Haifa-core columns are systematically positive.</w:t>
      </w:r>
    </w:p>
    <w:p>
      <w:pPr>
        <w:jc w:val="center"/>
      </w:pPr>
      <w:r>
        <w:drawing>
          <wp:inline xmlns:a="http://schemas.openxmlformats.org/drawingml/2006/main" xmlns:pic="http://schemas.openxmlformats.org/drawingml/2006/picture">
            <wp:extent cx="5724000" cy="2114108"/>
            <wp:docPr id="6" name="Picture 6"/>
            <wp:cNvGraphicFramePr>
              <a:graphicFrameLocks noChangeAspect="1"/>
            </wp:cNvGraphicFramePr>
            <a:graphic>
              <a:graphicData uri="http://schemas.openxmlformats.org/drawingml/2006/picture">
                <pic:pic>
                  <pic:nvPicPr>
                    <pic:cNvPr id="0" name="pca_cvt_levels.png"/>
                    <pic:cNvPicPr/>
                  </pic:nvPicPr>
                  <pic:blipFill>
                    <a:blip r:embed="rId14"/>
                    <a:stretch>
                      <a:fillRect/>
                    </a:stretch>
                  </pic:blipFill>
                  <pic:spPr>
                    <a:xfrm>
                      <a:off x="0" y="0"/>
                      <a:ext cx="5724000" cy="2114108"/>
                    </a:xfrm>
                    <a:prstGeom prst="rect"/>
                  </pic:spPr>
                </pic:pic>
              </a:graphicData>
            </a:graphic>
          </wp:inline>
        </w:drawing>
      </w:r>
    </w:p>
    <w:p>
      <w:r>
        <w:rPr>
          <w:i/>
          <w:color w:val="52514E"/>
          <w:sz w:val="18"/>
        </w:rPr>
        <w:t>Figure 4c. Left: overlap by resolution against each mode's repeatability and the permutation null. Right: transit minus car destination shares between the corridor aggregation areas.</w:t>
      </w:r>
    </w:p>
    <w:p>
      <w:pPr>
        <w:pStyle w:val="Heading1"/>
      </w:pPr>
      <w:r>
        <w:t>5. Part C — calibrating the bus part with RavKav and the on-board survey</w:t>
      </w:r>
    </w:p>
    <w:p>
      <w:pPr>
        <w:pStyle w:val="Heading2"/>
      </w:pPr>
      <w:r>
        <w:t>5.1 Why calibrate, and what each source is good at</w:t>
      </w:r>
    </w:p>
    <w:p>
      <w:r>
        <w:rPr>
          <w:i w:val="0"/>
        </w:rPr>
        <w:t>The household survey observed about 820 bus trips a day across 36 superzones, so many superzones have only a handful of bus trips and their destination patterns are noisy. Two other sources describe the same bus travel:</w:t>
      </w:r>
    </w:p>
    <w:p>
      <w:pPr>
        <w:pStyle w:val="ListBullet"/>
      </w:pPr>
      <w:r>
        <w:rPr>
          <w:b/>
        </w:rPr>
        <w:t xml:space="preserve">RavKav ticketing </w:t>
      </w:r>
      <w:r>
        <w:rPr>
          <w:i w:val="0"/>
        </w:rPr>
        <w:t>is close to a census. It says how many people boarded where, on four Tuesdays in May 2022, with transfers linked so each journey is counted once. Its weak points are destinations, which are inferred, and its origins, which are boarding stops rather than homes and include non-residents.</w:t>
      </w:r>
    </w:p>
    <w:p>
      <w:pPr>
        <w:pStyle w:val="ListBullet"/>
      </w:pPr>
      <w:r>
        <w:rPr>
          <w:b/>
        </w:rPr>
        <w:t xml:space="preserve">The on-board survey </w:t>
      </w:r>
      <w:r>
        <w:rPr>
          <w:i w:val="0"/>
        </w:rPr>
        <w:t>asked passengers where they were going, so it gives a destination pattern per boarding zone, but no volumes. Whether each row describes one boarding or a whole journey has not been confirmed; the pattern is applied to journey totals.</w:t>
      </w:r>
    </w:p>
    <w:p>
      <w:r>
        <w:rPr>
          <w:i w:val="0"/>
        </w:rPr>
        <w:t>The repository combines the two into a "RavKav × on-board" matrix: ticketing volumes spread over on-board destinations. The calibration lets each source do what it is good at, at the scale where it is reliable.</w:t>
      </w:r>
    </w:p>
    <w:p>
      <w:pPr>
        <w:pStyle w:val="Heading2"/>
      </w:pPr>
      <w:r>
        <w:t>5.2 The three steps</w:t>
      </w:r>
    </w:p>
    <w:p>
      <w:pPr>
        <w:pStyle w:val="ListBullet"/>
      </w:pPr>
      <w:r>
        <w:rPr>
          <w:b/>
        </w:rPr>
        <w:t xml:space="preserve">Step 1 — destination pattern. </w:t>
      </w:r>
      <w:r>
        <w:rPr>
          <w:i w:val="0"/>
        </w:rPr>
        <w:t>At superzone level, each origin's survey destination pattern is blended with the RavKav × on-board pattern. The weight on the survey is n / (n + k), where n is the number of survey bus trips observed from that origin and k is chosen by validation (5.3).</w:t>
      </w:r>
    </w:p>
    <w:p>
      <w:pPr>
        <w:pStyle w:val="ListBullet"/>
      </w:pPr>
      <w:r>
        <w:rPr>
          <w:b/>
        </w:rPr>
        <w:t xml:space="preserve">Step 2 — volumes, per origin and segment. </w:t>
      </w:r>
      <w:r>
        <w:rPr>
          <w:i w:val="0"/>
        </w:rPr>
        <w:t>For each origin superzone, its bus trips are split into three destination segments: local, corridor-bound and other. In each segment with at least five observed survey trips, the ratio of RavKav journeys to survey trips decides: at 0.5 or above, the segment takes the ticketing volume; below 0.5, ticketing is treated as under-covering and the survey volume is kept. Thinner segments follow the decision for the origin as a whole. Within a segment the blended pattern of step 1 spreads the volume over destinations.</w:t>
      </w:r>
    </w:p>
    <w:p>
      <w:pPr>
        <w:pStyle w:val="ListBullet"/>
      </w:pPr>
      <w:r>
        <w:rPr>
          <w:b/>
        </w:rPr>
        <w:t xml:space="preserve">Step 3 — TAZ detail. </w:t>
      </w:r>
      <w:r>
        <w:rPr>
          <w:i w:val="0"/>
        </w:rPr>
        <w:t>Inside each origin superzone, the split among TAZs blends the survey's home-based shares with RavKav boarding shares; inside each destination superzone, the split blends survey arrival shares with on-board alighting shares.</w:t>
      </w:r>
    </w:p>
    <w:p>
      <w:r>
        <w:rPr>
          <w:i w:val="0"/>
        </w:rPr>
        <w:t>Revision 1 applied step 2 with one ratio per whole origin. That version is kept as a sensitivity ("binary guard"), with two others: ticketing volumes everywhere, and one regional factor.</w:t>
      </w:r>
    </w:p>
    <w:p>
      <w:pPr>
        <w:pStyle w:val="Heading2"/>
      </w:pPr>
      <w:r>
        <w:t>5.3 Choosing the shrinkage constant</w:t>
      </w:r>
    </w:p>
    <w:p>
      <w:r>
        <w:rPr>
          <w:i w:val="0"/>
        </w:rPr>
        <w:t>Cross-day validation (a blend built on day 1 has to predict day 2) gives k = 0, "never lean on ticketing". That answer is suspect: the two days are the same households, and bus commuters repeat the same trip. Instead the sampled households were split at random into two halves, forty times, and the blend built on one half had to predict the other half. That criterion has a clear best value at k = 5. With it, the survey weight is 0.86 on average (from 0.29 in the thinnest superzones to 0.97 in the best observed).</w:t>
      </w:r>
    </w:p>
    <w:p>
      <w:pPr>
        <w:jc w:val="center"/>
      </w:pPr>
      <w:r>
        <w:drawing>
          <wp:inline xmlns:a="http://schemas.openxmlformats.org/drawingml/2006/main" xmlns:pic="http://schemas.openxmlformats.org/drawingml/2006/picture">
            <wp:extent cx="4320000" cy="2569386"/>
            <wp:docPr id="7" name="Picture 7"/>
            <wp:cNvGraphicFramePr>
              <a:graphicFrameLocks noChangeAspect="1"/>
            </wp:cNvGraphicFramePr>
            <a:graphic>
              <a:graphicData uri="http://schemas.openxmlformats.org/drawingml/2006/picture">
                <pic:pic>
                  <pic:nvPicPr>
                    <pic:cNvPr id="0" name="two_mode_bus_cv.png"/>
                    <pic:cNvPicPr/>
                  </pic:nvPicPr>
                  <pic:blipFill>
                    <a:blip r:embed="rId15"/>
                    <a:stretch>
                      <a:fillRect/>
                    </a:stretch>
                  </pic:blipFill>
                  <pic:spPr>
                    <a:xfrm>
                      <a:off x="0" y="0"/>
                      <a:ext cx="4320000" cy="2569386"/>
                    </a:xfrm>
                    <a:prstGeom prst="rect"/>
                  </pic:spPr>
                </pic:pic>
              </a:graphicData>
            </a:graphic>
          </wp:inline>
        </w:drawing>
      </w:r>
    </w:p>
    <w:p>
      <w:r>
        <w:rPr>
          <w:i/>
          <w:color w:val="52514E"/>
          <w:sz w:val="18"/>
        </w:rPr>
        <w:t>Figure 5. Prediction error of the held-out household half (blue, used) and of the other survey day (grey, reference) against k.</w:t>
      </w:r>
    </w:p>
    <w:p>
      <w:pPr>
        <w:pStyle w:val="Heading2"/>
      </w:pPr>
      <w:r>
        <w:t>5.4 What the ticketing data covers</w:t>
      </w:r>
    </w:p>
    <w:p>
      <w:r>
        <w:rPr>
          <w:i w:val="0"/>
        </w:rPr>
        <w:t>Comparing RavKav journeys with survey bus trips per superzone gives a clear geographic pattern: across the Haifa metropolitan area the ratio is 0.9 to 1.5; in seven superzones (Nazareth / Kafr Kanna, Sakhnin, Ma'alot, Safed, Beit She'an, Shefa-'Amr / Tamra, Daliyat al-Karmel / Isfiya; 76 % Arab-sector population against 19 % elsewhere) it is 0.21 to 0.43. Splitting each origin's trips by destination shows where the shortfall sits:</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2438"/>
            <w:shd w:val="clear" w:color="auto" w:fill="E8EEF6"/>
          </w:tcPr>
          <w:p>
            <w:pPr>
              <w:spacing w:after="20"/>
            </w:pPr>
            <w:r/>
            <w:r>
              <w:rPr>
                <w:b/>
                <w:sz w:val="16"/>
              </w:rPr>
              <w:t>Superzone</w:t>
            </w:r>
          </w:p>
        </w:tc>
        <w:tc>
          <w:tcPr>
            <w:tcW w:type="dxa" w:w="907"/>
            <w:shd w:val="clear" w:color="auto" w:fill="E8EEF6"/>
          </w:tcPr>
          <w:p>
            <w:pPr>
              <w:spacing w:after="20"/>
            </w:pPr>
            <w:r/>
            <w:r>
              <w:rPr>
                <w:b/>
                <w:sz w:val="16"/>
              </w:rPr>
              <w:t>Survey local</w:t>
            </w:r>
          </w:p>
        </w:tc>
        <w:tc>
          <w:tcPr>
            <w:tcW w:type="dxa" w:w="907"/>
            <w:shd w:val="clear" w:color="auto" w:fill="E8EEF6"/>
          </w:tcPr>
          <w:p>
            <w:pPr>
              <w:spacing w:after="20"/>
            </w:pPr>
            <w:r/>
            <w:r>
              <w:rPr>
                <w:b/>
                <w:sz w:val="16"/>
              </w:rPr>
              <w:t>RavKav local</w:t>
            </w:r>
          </w:p>
        </w:tc>
        <w:tc>
          <w:tcPr>
            <w:tcW w:type="dxa" w:w="794"/>
            <w:shd w:val="clear" w:color="auto" w:fill="E8EEF6"/>
          </w:tcPr>
          <w:p>
            <w:pPr>
              <w:spacing w:after="20"/>
            </w:pPr>
            <w:r/>
            <w:r>
              <w:rPr>
                <w:b/>
                <w:sz w:val="16"/>
              </w:rPr>
              <w:t>Ratio local</w:t>
            </w:r>
          </w:p>
        </w:tc>
        <w:tc>
          <w:tcPr>
            <w:tcW w:type="dxa" w:w="964"/>
            <w:shd w:val="clear" w:color="auto" w:fill="E8EEF6"/>
          </w:tcPr>
          <w:p>
            <w:pPr>
              <w:spacing w:after="20"/>
            </w:pPr>
            <w:r/>
            <w:r>
              <w:rPr>
                <w:b/>
                <w:sz w:val="16"/>
              </w:rPr>
              <w:t>Survey inter-SZ</w:t>
            </w:r>
          </w:p>
        </w:tc>
        <w:tc>
          <w:tcPr>
            <w:tcW w:type="dxa" w:w="964"/>
            <w:shd w:val="clear" w:color="auto" w:fill="E8EEF6"/>
          </w:tcPr>
          <w:p>
            <w:pPr>
              <w:spacing w:after="20"/>
            </w:pPr>
            <w:r/>
            <w:r>
              <w:rPr>
                <w:b/>
                <w:sz w:val="16"/>
              </w:rPr>
              <w:t>RavKav inter-SZ</w:t>
            </w:r>
          </w:p>
        </w:tc>
        <w:tc>
          <w:tcPr>
            <w:tcW w:type="dxa" w:w="907"/>
            <w:shd w:val="clear" w:color="auto" w:fill="E8EEF6"/>
          </w:tcPr>
          <w:p>
            <w:pPr>
              <w:spacing w:after="20"/>
            </w:pPr>
            <w:r/>
            <w:r>
              <w:rPr>
                <w:b/>
                <w:sz w:val="16"/>
              </w:rPr>
              <w:t>Ratio inter-SZ</w:t>
            </w:r>
          </w:p>
        </w:tc>
        <w:tc>
          <w:tcPr>
            <w:tcW w:type="dxa" w:w="907"/>
            <w:shd w:val="clear" w:color="auto" w:fill="E8EEF6"/>
          </w:tcPr>
          <w:p>
            <w:pPr>
              <w:spacing w:after="20"/>
            </w:pPr>
            <w:r/>
            <w:r>
              <w:rPr>
                <w:b/>
                <w:sz w:val="16"/>
              </w:rPr>
              <w:t>Ratio to Haifa</w:t>
            </w:r>
          </w:p>
        </w:tc>
      </w:tr>
      <w:tr>
        <w:tc>
          <w:tcPr>
            <w:tcW w:type="dxa" w:w="2438"/>
          </w:tcPr>
          <w:p>
            <w:pPr>
              <w:spacing w:after="20"/>
            </w:pPr>
            <w:r/>
            <w:r>
              <w:rPr>
                <w:sz w:val="16"/>
              </w:rPr>
              <w:t>19 Nazareth, Kafr Kanna</w:t>
            </w:r>
          </w:p>
        </w:tc>
        <w:tc>
          <w:tcPr>
            <w:tcW w:type="dxa" w:w="907"/>
          </w:tcPr>
          <w:p>
            <w:pPr>
              <w:spacing w:after="20"/>
              <w:jc w:val="right"/>
            </w:pPr>
            <w:r/>
            <w:r>
              <w:rPr>
                <w:sz w:val="16"/>
              </w:rPr>
              <w:t>6,164</w:t>
            </w:r>
          </w:p>
        </w:tc>
        <w:tc>
          <w:tcPr>
            <w:tcW w:type="dxa" w:w="907"/>
          </w:tcPr>
          <w:p>
            <w:pPr>
              <w:spacing w:after="20"/>
              <w:jc w:val="right"/>
            </w:pPr>
            <w:r/>
            <w:r>
              <w:rPr>
                <w:sz w:val="16"/>
              </w:rPr>
              <w:t>506</w:t>
            </w:r>
          </w:p>
        </w:tc>
        <w:tc>
          <w:tcPr>
            <w:tcW w:type="dxa" w:w="794"/>
          </w:tcPr>
          <w:p>
            <w:pPr>
              <w:spacing w:after="20"/>
              <w:jc w:val="right"/>
            </w:pPr>
            <w:r/>
            <w:r>
              <w:rPr>
                <w:sz w:val="16"/>
              </w:rPr>
              <w:t>0.08</w:t>
            </w:r>
          </w:p>
        </w:tc>
        <w:tc>
          <w:tcPr>
            <w:tcW w:type="dxa" w:w="964"/>
          </w:tcPr>
          <w:p>
            <w:pPr>
              <w:spacing w:after="20"/>
              <w:jc w:val="right"/>
            </w:pPr>
            <w:r/>
            <w:r>
              <w:rPr>
                <w:sz w:val="16"/>
              </w:rPr>
              <w:t>6,265</w:t>
            </w:r>
          </w:p>
        </w:tc>
        <w:tc>
          <w:tcPr>
            <w:tcW w:type="dxa" w:w="964"/>
          </w:tcPr>
          <w:p>
            <w:pPr>
              <w:spacing w:after="20"/>
              <w:jc w:val="right"/>
            </w:pPr>
            <w:r/>
            <w:r>
              <w:rPr>
                <w:sz w:val="16"/>
              </w:rPr>
              <w:t>2,137</w:t>
            </w:r>
          </w:p>
        </w:tc>
        <w:tc>
          <w:tcPr>
            <w:tcW w:type="dxa" w:w="907"/>
          </w:tcPr>
          <w:p>
            <w:pPr>
              <w:spacing w:after="20"/>
              <w:jc w:val="right"/>
            </w:pPr>
            <w:r/>
            <w:r>
              <w:rPr>
                <w:sz w:val="16"/>
              </w:rPr>
              <w:t>0.34</w:t>
            </w:r>
          </w:p>
        </w:tc>
        <w:tc>
          <w:tcPr>
            <w:tcW w:type="dxa" w:w="907"/>
          </w:tcPr>
          <w:p>
            <w:pPr>
              <w:spacing w:after="20"/>
              <w:jc w:val="right"/>
            </w:pPr>
            <w:r/>
            <w:r>
              <w:rPr>
                <w:sz w:val="16"/>
              </w:rPr>
              <w:t>0.74</w:t>
            </w:r>
          </w:p>
        </w:tc>
      </w:tr>
      <w:tr>
        <w:tc>
          <w:tcPr>
            <w:tcW w:type="dxa" w:w="2438"/>
          </w:tcPr>
          <w:p>
            <w:pPr>
              <w:spacing w:after="20"/>
            </w:pPr>
            <w:r/>
            <w:r>
              <w:rPr>
                <w:sz w:val="16"/>
              </w:rPr>
              <w:t>4 Shefa-'Amr, Tamra</w:t>
            </w:r>
          </w:p>
        </w:tc>
        <w:tc>
          <w:tcPr>
            <w:tcW w:type="dxa" w:w="907"/>
          </w:tcPr>
          <w:p>
            <w:pPr>
              <w:spacing w:after="20"/>
              <w:jc w:val="right"/>
            </w:pPr>
            <w:r/>
            <w:r>
              <w:rPr>
                <w:sz w:val="16"/>
              </w:rPr>
              <w:t>525</w:t>
            </w:r>
          </w:p>
        </w:tc>
        <w:tc>
          <w:tcPr>
            <w:tcW w:type="dxa" w:w="907"/>
          </w:tcPr>
          <w:p>
            <w:pPr>
              <w:spacing w:after="20"/>
              <w:jc w:val="right"/>
            </w:pPr>
            <w:r/>
            <w:r>
              <w:rPr>
                <w:sz w:val="16"/>
              </w:rPr>
              <w:t>396</w:t>
            </w:r>
          </w:p>
        </w:tc>
        <w:tc>
          <w:tcPr>
            <w:tcW w:type="dxa" w:w="794"/>
          </w:tcPr>
          <w:p>
            <w:pPr>
              <w:spacing w:after="20"/>
              <w:jc w:val="right"/>
            </w:pPr>
            <w:r/>
            <w:r>
              <w:rPr>
                <w:sz w:val="16"/>
              </w:rPr>
              <w:t>0.75</w:t>
            </w:r>
          </w:p>
        </w:tc>
        <w:tc>
          <w:tcPr>
            <w:tcW w:type="dxa" w:w="964"/>
          </w:tcPr>
          <w:p>
            <w:pPr>
              <w:spacing w:after="20"/>
              <w:jc w:val="right"/>
            </w:pPr>
            <w:r/>
            <w:r>
              <w:rPr>
                <w:sz w:val="16"/>
              </w:rPr>
              <w:t>1,548</w:t>
            </w:r>
          </w:p>
        </w:tc>
        <w:tc>
          <w:tcPr>
            <w:tcW w:type="dxa" w:w="964"/>
          </w:tcPr>
          <w:p>
            <w:pPr>
              <w:spacing w:after="20"/>
              <w:jc w:val="right"/>
            </w:pPr>
            <w:r/>
            <w:r>
              <w:rPr>
                <w:sz w:val="16"/>
              </w:rPr>
              <w:t>476</w:t>
            </w:r>
          </w:p>
        </w:tc>
        <w:tc>
          <w:tcPr>
            <w:tcW w:type="dxa" w:w="907"/>
          </w:tcPr>
          <w:p>
            <w:pPr>
              <w:spacing w:after="20"/>
              <w:jc w:val="right"/>
            </w:pPr>
            <w:r/>
            <w:r>
              <w:rPr>
                <w:sz w:val="16"/>
              </w:rPr>
              <w:t>0.31</w:t>
            </w:r>
          </w:p>
        </w:tc>
        <w:tc>
          <w:tcPr>
            <w:tcW w:type="dxa" w:w="907"/>
          </w:tcPr>
          <w:p>
            <w:pPr>
              <w:spacing w:after="20"/>
              <w:jc w:val="right"/>
            </w:pPr>
            <w:r/>
            <w:r>
              <w:rPr>
                <w:sz w:val="16"/>
              </w:rPr>
              <w:t>0.21</w:t>
            </w:r>
          </w:p>
        </w:tc>
      </w:tr>
      <w:tr>
        <w:tc>
          <w:tcPr>
            <w:tcW w:type="dxa" w:w="2438"/>
          </w:tcPr>
          <w:p>
            <w:pPr>
              <w:spacing w:after="20"/>
            </w:pPr>
            <w:r/>
            <w:r>
              <w:rPr>
                <w:sz w:val="16"/>
              </w:rPr>
              <w:t>23 Daliyat al-Karmel, Isfiya</w:t>
            </w:r>
          </w:p>
        </w:tc>
        <w:tc>
          <w:tcPr>
            <w:tcW w:type="dxa" w:w="907"/>
          </w:tcPr>
          <w:p>
            <w:pPr>
              <w:spacing w:after="20"/>
              <w:jc w:val="right"/>
            </w:pPr>
            <w:r/>
            <w:r>
              <w:rPr>
                <w:sz w:val="16"/>
              </w:rPr>
              <w:t>850</w:t>
            </w:r>
          </w:p>
        </w:tc>
        <w:tc>
          <w:tcPr>
            <w:tcW w:type="dxa" w:w="907"/>
          </w:tcPr>
          <w:p>
            <w:pPr>
              <w:spacing w:after="20"/>
              <w:jc w:val="right"/>
            </w:pPr>
            <w:r/>
            <w:r>
              <w:rPr>
                <w:sz w:val="16"/>
              </w:rPr>
              <w:t>146</w:t>
            </w:r>
          </w:p>
        </w:tc>
        <w:tc>
          <w:tcPr>
            <w:tcW w:type="dxa" w:w="794"/>
          </w:tcPr>
          <w:p>
            <w:pPr>
              <w:spacing w:after="20"/>
              <w:jc w:val="right"/>
            </w:pPr>
            <w:r/>
            <w:r>
              <w:rPr>
                <w:sz w:val="16"/>
              </w:rPr>
              <w:t>0.17</w:t>
            </w:r>
          </w:p>
        </w:tc>
        <w:tc>
          <w:tcPr>
            <w:tcW w:type="dxa" w:w="964"/>
          </w:tcPr>
          <w:p>
            <w:pPr>
              <w:spacing w:after="20"/>
              <w:jc w:val="right"/>
            </w:pPr>
            <w:r/>
            <w:r>
              <w:rPr>
                <w:sz w:val="16"/>
              </w:rPr>
              <w:t>978</w:t>
            </w:r>
          </w:p>
        </w:tc>
        <w:tc>
          <w:tcPr>
            <w:tcW w:type="dxa" w:w="964"/>
          </w:tcPr>
          <w:p>
            <w:pPr>
              <w:spacing w:after="20"/>
              <w:jc w:val="right"/>
            </w:pPr>
            <w:r/>
            <w:r>
              <w:rPr>
                <w:sz w:val="16"/>
              </w:rPr>
              <w:t>643</w:t>
            </w:r>
          </w:p>
        </w:tc>
        <w:tc>
          <w:tcPr>
            <w:tcW w:type="dxa" w:w="907"/>
          </w:tcPr>
          <w:p>
            <w:pPr>
              <w:spacing w:after="20"/>
              <w:jc w:val="right"/>
            </w:pPr>
            <w:r/>
            <w:r>
              <w:rPr>
                <w:sz w:val="16"/>
              </w:rPr>
              <w:t>0.66</w:t>
            </w:r>
          </w:p>
        </w:tc>
        <w:tc>
          <w:tcPr>
            <w:tcW w:type="dxa" w:w="907"/>
          </w:tcPr>
          <w:p>
            <w:pPr>
              <w:spacing w:after="20"/>
              <w:jc w:val="right"/>
            </w:pPr>
            <w:r/>
            <w:r>
              <w:rPr>
                <w:sz w:val="16"/>
              </w:rPr>
              <w:t>0.74</w:t>
            </w:r>
          </w:p>
        </w:tc>
      </w:tr>
      <w:tr>
        <w:tc>
          <w:tcPr>
            <w:tcW w:type="dxa" w:w="2438"/>
          </w:tcPr>
          <w:p>
            <w:pPr>
              <w:spacing w:after="20"/>
            </w:pPr>
            <w:r/>
            <w:r>
              <w:rPr>
                <w:sz w:val="16"/>
              </w:rPr>
              <w:t>30 Sakhnin, Arraba</w:t>
            </w:r>
          </w:p>
        </w:tc>
        <w:tc>
          <w:tcPr>
            <w:tcW w:type="dxa" w:w="907"/>
          </w:tcPr>
          <w:p>
            <w:pPr>
              <w:spacing w:after="20"/>
              <w:jc w:val="right"/>
            </w:pPr>
            <w:r/>
            <w:r>
              <w:rPr>
                <w:sz w:val="16"/>
              </w:rPr>
              <w:t>508</w:t>
            </w:r>
          </w:p>
        </w:tc>
        <w:tc>
          <w:tcPr>
            <w:tcW w:type="dxa" w:w="907"/>
          </w:tcPr>
          <w:p>
            <w:pPr>
              <w:spacing w:after="20"/>
              <w:jc w:val="right"/>
            </w:pPr>
            <w:r/>
            <w:r>
              <w:rPr>
                <w:sz w:val="16"/>
              </w:rPr>
              <w:t>122</w:t>
            </w:r>
          </w:p>
        </w:tc>
        <w:tc>
          <w:tcPr>
            <w:tcW w:type="dxa" w:w="794"/>
          </w:tcPr>
          <w:p>
            <w:pPr>
              <w:spacing w:after="20"/>
              <w:jc w:val="right"/>
            </w:pPr>
            <w:r/>
            <w:r>
              <w:rPr>
                <w:sz w:val="16"/>
              </w:rPr>
              <w:t>0.24</w:t>
            </w:r>
          </w:p>
        </w:tc>
        <w:tc>
          <w:tcPr>
            <w:tcW w:type="dxa" w:w="964"/>
          </w:tcPr>
          <w:p>
            <w:pPr>
              <w:spacing w:after="20"/>
              <w:jc w:val="right"/>
            </w:pPr>
            <w:r/>
            <w:r>
              <w:rPr>
                <w:sz w:val="16"/>
              </w:rPr>
              <w:t>508</w:t>
            </w:r>
          </w:p>
        </w:tc>
        <w:tc>
          <w:tcPr>
            <w:tcW w:type="dxa" w:w="964"/>
          </w:tcPr>
          <w:p>
            <w:pPr>
              <w:spacing w:after="20"/>
              <w:jc w:val="right"/>
            </w:pPr>
            <w:r/>
            <w:r>
              <w:rPr>
                <w:sz w:val="16"/>
              </w:rPr>
              <w:t>167</w:t>
            </w:r>
          </w:p>
        </w:tc>
        <w:tc>
          <w:tcPr>
            <w:tcW w:type="dxa" w:w="907"/>
          </w:tcPr>
          <w:p>
            <w:pPr>
              <w:spacing w:after="20"/>
              <w:jc w:val="right"/>
            </w:pPr>
            <w:r/>
            <w:r>
              <w:rPr>
                <w:sz w:val="16"/>
              </w:rPr>
              <w:t>0.33</w:t>
            </w:r>
          </w:p>
        </w:tc>
        <w:tc>
          <w:tcPr>
            <w:tcW w:type="dxa" w:w="907"/>
          </w:tcPr>
          <w:p>
            <w:pPr>
              <w:spacing w:after="20"/>
              <w:jc w:val="right"/>
            </w:pPr>
            <w:r/>
            <w:r>
              <w:rPr>
                <w:sz w:val="16"/>
              </w:rPr>
              <w:t>0.43</w:t>
            </w:r>
          </w:p>
        </w:tc>
      </w:tr>
      <w:tr>
        <w:tc>
          <w:tcPr>
            <w:tcW w:type="dxa" w:w="2438"/>
          </w:tcPr>
          <w:p>
            <w:pPr>
              <w:spacing w:after="20"/>
            </w:pPr>
            <w:r/>
            <w:r>
              <w:rPr>
                <w:sz w:val="16"/>
              </w:rPr>
              <w:t>34 Ma'alot, Beit Jann</w:t>
            </w:r>
          </w:p>
        </w:tc>
        <w:tc>
          <w:tcPr>
            <w:tcW w:type="dxa" w:w="907"/>
          </w:tcPr>
          <w:p>
            <w:pPr>
              <w:spacing w:after="20"/>
              <w:jc w:val="right"/>
            </w:pPr>
            <w:r/>
            <w:r>
              <w:rPr>
                <w:sz w:val="16"/>
              </w:rPr>
              <w:t>1,455</w:t>
            </w:r>
          </w:p>
        </w:tc>
        <w:tc>
          <w:tcPr>
            <w:tcW w:type="dxa" w:w="907"/>
          </w:tcPr>
          <w:p>
            <w:pPr>
              <w:spacing w:after="20"/>
              <w:jc w:val="right"/>
            </w:pPr>
            <w:r/>
            <w:r>
              <w:rPr>
                <w:sz w:val="16"/>
              </w:rPr>
              <w:t>152</w:t>
            </w:r>
          </w:p>
        </w:tc>
        <w:tc>
          <w:tcPr>
            <w:tcW w:type="dxa" w:w="794"/>
          </w:tcPr>
          <w:p>
            <w:pPr>
              <w:spacing w:after="20"/>
              <w:jc w:val="right"/>
            </w:pPr>
            <w:r/>
            <w:r>
              <w:rPr>
                <w:sz w:val="16"/>
              </w:rPr>
              <w:t>0.10</w:t>
            </w:r>
          </w:p>
        </w:tc>
        <w:tc>
          <w:tcPr>
            <w:tcW w:type="dxa" w:w="964"/>
          </w:tcPr>
          <w:p>
            <w:pPr>
              <w:spacing w:after="20"/>
              <w:jc w:val="right"/>
            </w:pPr>
            <w:r/>
            <w:r>
              <w:rPr>
                <w:sz w:val="16"/>
              </w:rPr>
              <w:t>1,329</w:t>
            </w:r>
          </w:p>
        </w:tc>
        <w:tc>
          <w:tcPr>
            <w:tcW w:type="dxa" w:w="964"/>
          </w:tcPr>
          <w:p>
            <w:pPr>
              <w:spacing w:after="20"/>
              <w:jc w:val="right"/>
            </w:pPr>
            <w:r/>
            <w:r>
              <w:rPr>
                <w:sz w:val="16"/>
              </w:rPr>
              <w:t>736</w:t>
            </w:r>
          </w:p>
        </w:tc>
        <w:tc>
          <w:tcPr>
            <w:tcW w:type="dxa" w:w="907"/>
          </w:tcPr>
          <w:p>
            <w:pPr>
              <w:spacing w:after="20"/>
              <w:jc w:val="right"/>
            </w:pPr>
            <w:r/>
            <w:r>
              <w:rPr>
                <w:sz w:val="16"/>
              </w:rPr>
              <w:t>0.55</w:t>
            </w:r>
          </w:p>
        </w:tc>
        <w:tc>
          <w:tcPr>
            <w:tcW w:type="dxa" w:w="907"/>
          </w:tcPr>
          <w:p>
            <w:pPr>
              <w:spacing w:after="20"/>
              <w:jc w:val="right"/>
            </w:pPr>
            <w:r/>
            <w:r>
              <w:rPr>
                <w:sz w:val="16"/>
              </w:rPr>
              <w:t>—</w:t>
            </w:r>
          </w:p>
        </w:tc>
      </w:tr>
      <w:tr>
        <w:tc>
          <w:tcPr>
            <w:tcW w:type="dxa" w:w="2438"/>
          </w:tcPr>
          <w:p>
            <w:pPr>
              <w:spacing w:after="20"/>
            </w:pPr>
            <w:r/>
            <w:r>
              <w:rPr>
                <w:sz w:val="16"/>
              </w:rPr>
              <w:t>33 Safed</w:t>
            </w:r>
          </w:p>
        </w:tc>
        <w:tc>
          <w:tcPr>
            <w:tcW w:type="dxa" w:w="907"/>
          </w:tcPr>
          <w:p>
            <w:pPr>
              <w:spacing w:after="20"/>
              <w:jc w:val="right"/>
            </w:pPr>
            <w:r/>
            <w:r>
              <w:rPr>
                <w:sz w:val="16"/>
              </w:rPr>
              <w:t>2,625</w:t>
            </w:r>
          </w:p>
        </w:tc>
        <w:tc>
          <w:tcPr>
            <w:tcW w:type="dxa" w:w="907"/>
          </w:tcPr>
          <w:p>
            <w:pPr>
              <w:spacing w:after="20"/>
              <w:jc w:val="right"/>
            </w:pPr>
            <w:r/>
            <w:r>
              <w:rPr>
                <w:sz w:val="16"/>
              </w:rPr>
              <w:t>411</w:t>
            </w:r>
          </w:p>
        </w:tc>
        <w:tc>
          <w:tcPr>
            <w:tcW w:type="dxa" w:w="794"/>
          </w:tcPr>
          <w:p>
            <w:pPr>
              <w:spacing w:after="20"/>
              <w:jc w:val="right"/>
            </w:pPr>
            <w:r/>
            <w:r>
              <w:rPr>
                <w:sz w:val="16"/>
              </w:rPr>
              <w:t>0.16</w:t>
            </w:r>
          </w:p>
        </w:tc>
        <w:tc>
          <w:tcPr>
            <w:tcW w:type="dxa" w:w="964"/>
          </w:tcPr>
          <w:p>
            <w:pPr>
              <w:spacing w:after="20"/>
              <w:jc w:val="right"/>
            </w:pPr>
            <w:r/>
            <w:r>
              <w:rPr>
                <w:sz w:val="16"/>
              </w:rPr>
              <w:t>531</w:t>
            </w:r>
          </w:p>
        </w:tc>
        <w:tc>
          <w:tcPr>
            <w:tcW w:type="dxa" w:w="964"/>
          </w:tcPr>
          <w:p>
            <w:pPr>
              <w:spacing w:after="20"/>
              <w:jc w:val="right"/>
            </w:pPr>
            <w:r/>
            <w:r>
              <w:rPr>
                <w:sz w:val="16"/>
              </w:rPr>
              <w:t>647</w:t>
            </w:r>
          </w:p>
        </w:tc>
        <w:tc>
          <w:tcPr>
            <w:tcW w:type="dxa" w:w="907"/>
          </w:tcPr>
          <w:p>
            <w:pPr>
              <w:spacing w:after="20"/>
              <w:jc w:val="right"/>
            </w:pPr>
            <w:r/>
            <w:r>
              <w:rPr>
                <w:sz w:val="16"/>
              </w:rPr>
              <w:t>1.22</w:t>
            </w:r>
          </w:p>
        </w:tc>
        <w:tc>
          <w:tcPr>
            <w:tcW w:type="dxa" w:w="907"/>
          </w:tcPr>
          <w:p>
            <w:pPr>
              <w:spacing w:after="20"/>
              <w:jc w:val="right"/>
            </w:pPr>
            <w:r/>
            <w:r>
              <w:rPr>
                <w:sz w:val="16"/>
              </w:rPr>
              <w:t>0.39</w:t>
            </w:r>
          </w:p>
        </w:tc>
      </w:tr>
      <w:tr>
        <w:tc>
          <w:tcPr>
            <w:tcW w:type="dxa" w:w="2438"/>
          </w:tcPr>
          <w:p>
            <w:pPr>
              <w:spacing w:after="20"/>
            </w:pPr>
            <w:r/>
            <w:r>
              <w:rPr>
                <w:sz w:val="16"/>
              </w:rPr>
              <w:t>37 Beit She'an</w:t>
            </w:r>
          </w:p>
        </w:tc>
        <w:tc>
          <w:tcPr>
            <w:tcW w:type="dxa" w:w="907"/>
          </w:tcPr>
          <w:p>
            <w:pPr>
              <w:spacing w:after="20"/>
              <w:jc w:val="right"/>
            </w:pPr>
            <w:r/>
            <w:r>
              <w:rPr>
                <w:sz w:val="16"/>
              </w:rPr>
              <w:t>665</w:t>
            </w:r>
          </w:p>
        </w:tc>
        <w:tc>
          <w:tcPr>
            <w:tcW w:type="dxa" w:w="907"/>
          </w:tcPr>
          <w:p>
            <w:pPr>
              <w:spacing w:after="20"/>
              <w:jc w:val="right"/>
            </w:pPr>
            <w:r/>
            <w:r>
              <w:rPr>
                <w:sz w:val="16"/>
              </w:rPr>
              <w:t>30</w:t>
            </w:r>
          </w:p>
        </w:tc>
        <w:tc>
          <w:tcPr>
            <w:tcW w:type="dxa" w:w="794"/>
          </w:tcPr>
          <w:p>
            <w:pPr>
              <w:spacing w:after="20"/>
              <w:jc w:val="right"/>
            </w:pPr>
            <w:r/>
            <w:r>
              <w:rPr>
                <w:sz w:val="16"/>
              </w:rPr>
              <w:t>0.05</w:t>
            </w:r>
          </w:p>
        </w:tc>
        <w:tc>
          <w:tcPr>
            <w:tcW w:type="dxa" w:w="964"/>
          </w:tcPr>
          <w:p>
            <w:pPr>
              <w:spacing w:after="20"/>
              <w:jc w:val="right"/>
            </w:pPr>
            <w:r/>
            <w:r>
              <w:rPr>
                <w:sz w:val="16"/>
              </w:rPr>
              <w:t>1,252</w:t>
            </w:r>
          </w:p>
        </w:tc>
        <w:tc>
          <w:tcPr>
            <w:tcW w:type="dxa" w:w="964"/>
          </w:tcPr>
          <w:p>
            <w:pPr>
              <w:spacing w:after="20"/>
              <w:jc w:val="right"/>
            </w:pPr>
            <w:r/>
            <w:r>
              <w:rPr>
                <w:sz w:val="16"/>
              </w:rPr>
              <w:t>692</w:t>
            </w:r>
          </w:p>
        </w:tc>
        <w:tc>
          <w:tcPr>
            <w:tcW w:type="dxa" w:w="907"/>
          </w:tcPr>
          <w:p>
            <w:pPr>
              <w:spacing w:after="20"/>
              <w:jc w:val="right"/>
            </w:pPr>
            <w:r/>
            <w:r>
              <w:rPr>
                <w:sz w:val="16"/>
              </w:rPr>
              <w:t>0.55</w:t>
            </w:r>
          </w:p>
        </w:tc>
        <w:tc>
          <w:tcPr>
            <w:tcW w:type="dxa" w:w="907"/>
          </w:tcPr>
          <w:p>
            <w:pPr>
              <w:spacing w:after="20"/>
              <w:jc w:val="right"/>
            </w:pPr>
            <w:r/>
            <w:r>
              <w:rPr>
                <w:sz w:val="16"/>
              </w:rPr>
              <w:t>—</w:t>
            </w:r>
          </w:p>
        </w:tc>
      </w:tr>
      <w:tr>
        <w:tc>
          <w:tcPr>
            <w:tcW w:type="dxa" w:w="2438"/>
          </w:tcPr>
          <w:p>
            <w:pPr>
              <w:spacing w:after="20"/>
            </w:pPr>
            <w:r/>
            <w:r>
              <w:rPr>
                <w:sz w:val="16"/>
              </w:rPr>
              <w:t>17 Haifa (Carmel)</w:t>
            </w:r>
          </w:p>
        </w:tc>
        <w:tc>
          <w:tcPr>
            <w:tcW w:type="dxa" w:w="907"/>
          </w:tcPr>
          <w:p>
            <w:pPr>
              <w:spacing w:after="20"/>
              <w:jc w:val="right"/>
            </w:pPr>
            <w:r/>
            <w:r>
              <w:rPr>
                <w:sz w:val="16"/>
              </w:rPr>
              <w:t>2,567</w:t>
            </w:r>
          </w:p>
        </w:tc>
        <w:tc>
          <w:tcPr>
            <w:tcW w:type="dxa" w:w="907"/>
          </w:tcPr>
          <w:p>
            <w:pPr>
              <w:spacing w:after="20"/>
              <w:jc w:val="right"/>
            </w:pPr>
            <w:r/>
            <w:r>
              <w:rPr>
                <w:sz w:val="16"/>
              </w:rPr>
              <w:t>1,905</w:t>
            </w:r>
          </w:p>
        </w:tc>
        <w:tc>
          <w:tcPr>
            <w:tcW w:type="dxa" w:w="794"/>
          </w:tcPr>
          <w:p>
            <w:pPr>
              <w:spacing w:after="20"/>
              <w:jc w:val="right"/>
            </w:pPr>
            <w:r/>
            <w:r>
              <w:rPr>
                <w:sz w:val="16"/>
              </w:rPr>
              <w:t>0.74</w:t>
            </w:r>
          </w:p>
        </w:tc>
        <w:tc>
          <w:tcPr>
            <w:tcW w:type="dxa" w:w="964"/>
          </w:tcPr>
          <w:p>
            <w:pPr>
              <w:spacing w:after="20"/>
              <w:jc w:val="right"/>
            </w:pPr>
            <w:r/>
            <w:r>
              <w:rPr>
                <w:sz w:val="16"/>
              </w:rPr>
              <w:t>4,768</w:t>
            </w:r>
          </w:p>
        </w:tc>
        <w:tc>
          <w:tcPr>
            <w:tcW w:type="dxa" w:w="964"/>
          </w:tcPr>
          <w:p>
            <w:pPr>
              <w:spacing w:after="20"/>
              <w:jc w:val="right"/>
            </w:pPr>
            <w:r/>
            <w:r>
              <w:rPr>
                <w:sz w:val="16"/>
              </w:rPr>
              <w:t>5,063</w:t>
            </w:r>
          </w:p>
        </w:tc>
        <w:tc>
          <w:tcPr>
            <w:tcW w:type="dxa" w:w="907"/>
          </w:tcPr>
          <w:p>
            <w:pPr>
              <w:spacing w:after="20"/>
              <w:jc w:val="right"/>
            </w:pPr>
            <w:r/>
            <w:r>
              <w:rPr>
                <w:sz w:val="16"/>
              </w:rPr>
              <w:t>1.06</w:t>
            </w:r>
          </w:p>
        </w:tc>
        <w:tc>
          <w:tcPr>
            <w:tcW w:type="dxa" w:w="907"/>
          </w:tcPr>
          <w:p>
            <w:pPr>
              <w:spacing w:after="20"/>
              <w:jc w:val="right"/>
            </w:pPr>
            <w:r/>
            <w:r>
              <w:rPr>
                <w:sz w:val="16"/>
              </w:rPr>
              <w:t>0.99</w:t>
            </w:r>
          </w:p>
        </w:tc>
      </w:tr>
      <w:tr>
        <w:tc>
          <w:tcPr>
            <w:tcW w:type="dxa" w:w="2438"/>
          </w:tcPr>
          <w:p>
            <w:pPr>
              <w:spacing w:after="20"/>
            </w:pPr>
            <w:r/>
            <w:r>
              <w:rPr>
                <w:sz w:val="16"/>
              </w:rPr>
              <w:t>16 Haifa (Hadar)</w:t>
            </w:r>
          </w:p>
        </w:tc>
        <w:tc>
          <w:tcPr>
            <w:tcW w:type="dxa" w:w="907"/>
          </w:tcPr>
          <w:p>
            <w:pPr>
              <w:spacing w:after="20"/>
              <w:jc w:val="right"/>
            </w:pPr>
            <w:r/>
            <w:r>
              <w:rPr>
                <w:sz w:val="16"/>
              </w:rPr>
              <w:t>4,390</w:t>
            </w:r>
          </w:p>
        </w:tc>
        <w:tc>
          <w:tcPr>
            <w:tcW w:type="dxa" w:w="907"/>
          </w:tcPr>
          <w:p>
            <w:pPr>
              <w:spacing w:after="20"/>
              <w:jc w:val="right"/>
            </w:pPr>
            <w:r/>
            <w:r>
              <w:rPr>
                <w:sz w:val="16"/>
              </w:rPr>
              <w:t>1,913</w:t>
            </w:r>
          </w:p>
        </w:tc>
        <w:tc>
          <w:tcPr>
            <w:tcW w:type="dxa" w:w="794"/>
          </w:tcPr>
          <w:p>
            <w:pPr>
              <w:spacing w:after="20"/>
              <w:jc w:val="right"/>
            </w:pPr>
            <w:r/>
            <w:r>
              <w:rPr>
                <w:sz w:val="16"/>
              </w:rPr>
              <w:t>0.44</w:t>
            </w:r>
          </w:p>
        </w:tc>
        <w:tc>
          <w:tcPr>
            <w:tcW w:type="dxa" w:w="964"/>
          </w:tcPr>
          <w:p>
            <w:pPr>
              <w:spacing w:after="20"/>
              <w:jc w:val="right"/>
            </w:pPr>
            <w:r/>
            <w:r>
              <w:rPr>
                <w:sz w:val="16"/>
              </w:rPr>
              <w:t>4,458</w:t>
            </w:r>
          </w:p>
        </w:tc>
        <w:tc>
          <w:tcPr>
            <w:tcW w:type="dxa" w:w="964"/>
          </w:tcPr>
          <w:p>
            <w:pPr>
              <w:spacing w:after="20"/>
              <w:jc w:val="right"/>
            </w:pPr>
            <w:r/>
            <w:r>
              <w:rPr>
                <w:sz w:val="16"/>
              </w:rPr>
              <w:t>3,420</w:t>
            </w:r>
          </w:p>
        </w:tc>
        <w:tc>
          <w:tcPr>
            <w:tcW w:type="dxa" w:w="907"/>
          </w:tcPr>
          <w:p>
            <w:pPr>
              <w:spacing w:after="20"/>
              <w:jc w:val="right"/>
            </w:pPr>
            <w:r/>
            <w:r>
              <w:rPr>
                <w:sz w:val="16"/>
              </w:rPr>
              <w:t>0.77</w:t>
            </w:r>
          </w:p>
        </w:tc>
        <w:tc>
          <w:tcPr>
            <w:tcW w:type="dxa" w:w="907"/>
          </w:tcPr>
          <w:p>
            <w:pPr>
              <w:spacing w:after="20"/>
              <w:jc w:val="right"/>
            </w:pPr>
            <w:r/>
            <w:r>
              <w:rPr>
                <w:sz w:val="16"/>
              </w:rPr>
              <w:t>0.58</w:t>
            </w:r>
          </w:p>
        </w:tc>
      </w:tr>
      <w:tr>
        <w:tc>
          <w:tcPr>
            <w:tcW w:type="dxa" w:w="2438"/>
          </w:tcPr>
          <w:p>
            <w:pPr>
              <w:spacing w:after="20"/>
            </w:pPr>
            <w:r/>
            <w:r>
              <w:rPr>
                <w:sz w:val="16"/>
              </w:rPr>
              <w:t>9 Kiryat Ata</w:t>
            </w:r>
          </w:p>
        </w:tc>
        <w:tc>
          <w:tcPr>
            <w:tcW w:type="dxa" w:w="907"/>
          </w:tcPr>
          <w:p>
            <w:pPr>
              <w:spacing w:after="20"/>
              <w:jc w:val="right"/>
            </w:pPr>
            <w:r/>
            <w:r>
              <w:rPr>
                <w:sz w:val="16"/>
              </w:rPr>
              <w:t>3,212</w:t>
            </w:r>
          </w:p>
        </w:tc>
        <w:tc>
          <w:tcPr>
            <w:tcW w:type="dxa" w:w="907"/>
          </w:tcPr>
          <w:p>
            <w:pPr>
              <w:spacing w:after="20"/>
              <w:jc w:val="right"/>
            </w:pPr>
            <w:r/>
            <w:r>
              <w:rPr>
                <w:sz w:val="16"/>
              </w:rPr>
              <w:t>1,888</w:t>
            </w:r>
          </w:p>
        </w:tc>
        <w:tc>
          <w:tcPr>
            <w:tcW w:type="dxa" w:w="794"/>
          </w:tcPr>
          <w:p>
            <w:pPr>
              <w:spacing w:after="20"/>
              <w:jc w:val="right"/>
            </w:pPr>
            <w:r/>
            <w:r>
              <w:rPr>
                <w:sz w:val="16"/>
              </w:rPr>
              <w:t>0.59</w:t>
            </w:r>
          </w:p>
        </w:tc>
        <w:tc>
          <w:tcPr>
            <w:tcW w:type="dxa" w:w="964"/>
          </w:tcPr>
          <w:p>
            <w:pPr>
              <w:spacing w:after="20"/>
              <w:jc w:val="right"/>
            </w:pPr>
            <w:r/>
            <w:r>
              <w:rPr>
                <w:sz w:val="16"/>
              </w:rPr>
              <w:t>1,734</w:t>
            </w:r>
          </w:p>
        </w:tc>
        <w:tc>
          <w:tcPr>
            <w:tcW w:type="dxa" w:w="964"/>
          </w:tcPr>
          <w:p>
            <w:pPr>
              <w:spacing w:after="20"/>
              <w:jc w:val="right"/>
            </w:pPr>
            <w:r/>
            <w:r>
              <w:rPr>
                <w:sz w:val="16"/>
              </w:rPr>
              <w:t>2,532</w:t>
            </w:r>
          </w:p>
        </w:tc>
        <w:tc>
          <w:tcPr>
            <w:tcW w:type="dxa" w:w="907"/>
          </w:tcPr>
          <w:p>
            <w:pPr>
              <w:spacing w:after="20"/>
              <w:jc w:val="right"/>
            </w:pPr>
            <w:r/>
            <w:r>
              <w:rPr>
                <w:sz w:val="16"/>
              </w:rPr>
              <w:t>1.46</w:t>
            </w:r>
          </w:p>
        </w:tc>
        <w:tc>
          <w:tcPr>
            <w:tcW w:type="dxa" w:w="907"/>
          </w:tcPr>
          <w:p>
            <w:pPr>
              <w:spacing w:after="20"/>
              <w:jc w:val="right"/>
            </w:pPr>
            <w:r/>
            <w:r>
              <w:rPr>
                <w:sz w:val="16"/>
              </w:rPr>
              <w:t>2.06</w:t>
            </w:r>
          </w:p>
        </w:tc>
      </w:tr>
    </w:tbl>
    <w:p>
      <w:pPr>
        <w:spacing w:after="40"/>
      </w:pPr>
    </w:p>
    <w:p>
      <w:r>
        <w:rPr>
          <w:i/>
          <w:color w:val="52514E"/>
          <w:sz w:val="18"/>
        </w:rPr>
        <w:t>Survey bus trips (2018, expanded) and RavKav journeys (2022) by origin superzone, local versus inter-superzone; "to Haifa" = ratio for destinations in the Haifa superzones.</w:t>
      </w:r>
    </w:p>
    <w:p>
      <w:r>
        <w:rPr>
          <w:i w:val="0"/>
        </w:rPr>
        <w:t>The shortfall is a local-trip shortfall. Nazareth's trips to Haifa are three quarters covered; its trips within Nazareth are covered at 8 %. That is why the coverage test is now applied per segment. Under it, 28 origin-by-segment cells keep survey volumes: 17 local segments (the seven superzones above plus Haifa 14 and 16 at 0.44–0.48, Tiberias at 0.05, Afula, Migdal HaEmek, Nof HaGalil, Karmiel and others), 5 corridor-bound and 6 other. Nazareth's corridor-bound segment is calibrated to ticketing.</w:t>
      </w:r>
    </w:p>
    <w:p>
      <w:r>
        <w:rPr>
          <w:i w:val="0"/>
        </w:rPr>
        <w:t>What a low ratio means is not settled. Ticketing may miss operators, cash fares or un-geocoded stops; the survey expansion may overstate short local bus trips; both may be true. The raw ticketing file records about 3,500 morning boarding legs in the Nazareth superzone against 12,400 survey-expanded bus trips, so the gap is in the ticketing volume itself, not in how journeys were placed on the map. The files carry route ids but no operator field. The question of which operators and fare types the extract covers is with the data provider; until it is answered the threshold of 0.5 is an assumption, and the sensitivity to it is reported below.</w:t>
      </w:r>
    </w:p>
    <w:p>
      <w:pPr>
        <w:pStyle w:val="Heading2"/>
      </w:pPr>
      <w:r>
        <w:t>5.5 Results and validation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3969"/>
            <w:shd w:val="clear" w:color="auto" w:fill="E8EEF6"/>
          </w:tcPr>
          <w:p>
            <w:pPr>
              <w:spacing w:after="20"/>
            </w:pPr>
            <w:r/>
            <w:r>
              <w:rPr>
                <w:b/>
                <w:sz w:val="18"/>
              </w:rPr>
              <w:t>Component</w:t>
            </w:r>
          </w:p>
        </w:tc>
        <w:tc>
          <w:tcPr>
            <w:tcW w:type="dxa" w:w="1587"/>
            <w:shd w:val="clear" w:color="auto" w:fill="E8EEF6"/>
          </w:tcPr>
          <w:p>
            <w:pPr>
              <w:spacing w:after="20"/>
            </w:pPr>
            <w:r/>
            <w:r>
              <w:rPr>
                <w:b/>
                <w:sz w:val="18"/>
              </w:rPr>
              <w:t>Survey 2018</w:t>
            </w:r>
          </w:p>
        </w:tc>
        <w:tc>
          <w:tcPr>
            <w:tcW w:type="dxa" w:w="1587"/>
            <w:shd w:val="clear" w:color="auto" w:fill="E8EEF6"/>
          </w:tcPr>
          <w:p>
            <w:pPr>
              <w:spacing w:after="20"/>
            </w:pPr>
            <w:r/>
            <w:r>
              <w:rPr>
                <w:b/>
                <w:sz w:val="18"/>
              </w:rPr>
              <w:t>Binary guard (rev. 1)</w:t>
            </w:r>
          </w:p>
        </w:tc>
        <w:tc>
          <w:tcPr>
            <w:tcW w:type="dxa" w:w="1701"/>
            <w:shd w:val="clear" w:color="auto" w:fill="E8EEF6"/>
          </w:tcPr>
          <w:p>
            <w:pPr>
              <w:spacing w:after="20"/>
            </w:pPr>
            <w:r/>
            <w:r>
              <w:rPr>
                <w:b/>
                <w:sz w:val="18"/>
              </w:rPr>
              <w:t>Segmented rule (rev. 2)</w:t>
            </w:r>
          </w:p>
        </w:tc>
      </w:tr>
      <w:tr>
        <w:tc>
          <w:tcPr>
            <w:tcW w:type="dxa" w:w="3969"/>
          </w:tcPr>
          <w:p>
            <w:pPr>
              <w:spacing w:after="20"/>
            </w:pPr>
            <w:r/>
            <w:r>
              <w:rPr>
                <w:sz w:val="18"/>
              </w:rPr>
              <w:t>Bus (public bus + Matronit)</w:t>
            </w:r>
          </w:p>
        </w:tc>
        <w:tc>
          <w:tcPr>
            <w:tcW w:type="dxa" w:w="1587"/>
          </w:tcPr>
          <w:p>
            <w:pPr>
              <w:spacing w:after="20"/>
              <w:jc w:val="right"/>
            </w:pPr>
            <w:r/>
            <w:r>
              <w:rPr>
                <w:sz w:val="18"/>
              </w:rPr>
              <w:t>116,083</w:t>
            </w:r>
          </w:p>
        </w:tc>
        <w:tc>
          <w:tcPr>
            <w:tcW w:type="dxa" w:w="1587"/>
          </w:tcPr>
          <w:p>
            <w:pPr>
              <w:spacing w:after="20"/>
              <w:jc w:val="right"/>
            </w:pPr>
            <w:r/>
            <w:r>
              <w:rPr>
                <w:sz w:val="18"/>
              </w:rPr>
              <w:t>110,654</w:t>
            </w:r>
          </w:p>
        </w:tc>
        <w:tc>
          <w:tcPr>
            <w:tcW w:type="dxa" w:w="1701"/>
          </w:tcPr>
          <w:p>
            <w:pPr>
              <w:spacing w:after="20"/>
              <w:jc w:val="right"/>
            </w:pPr>
            <w:r/>
            <w:r>
              <w:rPr>
                <w:sz w:val="18"/>
              </w:rPr>
              <w:t>126,117</w:t>
            </w:r>
          </w:p>
        </w:tc>
      </w:tr>
      <w:tr>
        <w:tc>
          <w:tcPr>
            <w:tcW w:type="dxa" w:w="3969"/>
          </w:tcPr>
          <w:p>
            <w:pPr>
              <w:spacing w:after="20"/>
            </w:pPr>
            <w:r/>
            <w:r>
              <w:rPr>
                <w:sz w:val="18"/>
              </w:rPr>
              <w:t>of which local (inside one superzone)</w:t>
            </w:r>
          </w:p>
        </w:tc>
        <w:tc>
          <w:tcPr>
            <w:tcW w:type="dxa" w:w="1587"/>
          </w:tcPr>
          <w:p>
            <w:pPr>
              <w:spacing w:after="20"/>
              <w:jc w:val="right"/>
            </w:pPr>
            <w:r/>
            <w:r>
              <w:rPr>
                <w:sz w:val="18"/>
              </w:rPr>
              <w:t>62,090</w:t>
            </w:r>
          </w:p>
        </w:tc>
        <w:tc>
          <w:tcPr>
            <w:tcW w:type="dxa" w:w="1587"/>
          </w:tcPr>
          <w:p>
            <w:pPr>
              <w:spacing w:after="20"/>
              <w:jc w:val="right"/>
            </w:pPr>
            <w:r/>
            <w:r>
              <w:rPr>
                <w:sz w:val="18"/>
              </w:rPr>
              <w:t>51,007</w:t>
            </w:r>
          </w:p>
        </w:tc>
        <w:tc>
          <w:tcPr>
            <w:tcW w:type="dxa" w:w="1701"/>
          </w:tcPr>
          <w:p>
            <w:pPr>
              <w:spacing w:after="20"/>
              <w:jc w:val="right"/>
            </w:pPr>
            <w:r/>
            <w:r>
              <w:rPr>
                <w:sz w:val="18"/>
              </w:rPr>
              <w:t>60,200</w:t>
            </w:r>
          </w:p>
        </w:tc>
      </w:tr>
      <w:tr>
        <w:tc>
          <w:tcPr>
            <w:tcW w:type="dxa" w:w="3969"/>
          </w:tcPr>
          <w:p>
            <w:pPr>
              <w:spacing w:after="20"/>
            </w:pPr>
            <w:r/>
            <w:r>
              <w:rPr>
                <w:sz w:val="18"/>
              </w:rPr>
              <w:t>of which between superzones</w:t>
            </w:r>
          </w:p>
        </w:tc>
        <w:tc>
          <w:tcPr>
            <w:tcW w:type="dxa" w:w="1587"/>
          </w:tcPr>
          <w:p>
            <w:pPr>
              <w:spacing w:after="20"/>
              <w:jc w:val="right"/>
            </w:pPr>
            <w:r/>
            <w:r>
              <w:rPr>
                <w:sz w:val="18"/>
              </w:rPr>
              <w:t>53,992</w:t>
            </w:r>
          </w:p>
        </w:tc>
        <w:tc>
          <w:tcPr>
            <w:tcW w:type="dxa" w:w="1587"/>
          </w:tcPr>
          <w:p>
            <w:pPr>
              <w:spacing w:after="20"/>
              <w:jc w:val="right"/>
            </w:pPr>
            <w:r/>
            <w:r>
              <w:rPr>
                <w:sz w:val="18"/>
              </w:rPr>
              <w:t>59,648</w:t>
            </w:r>
          </w:p>
        </w:tc>
        <w:tc>
          <w:tcPr>
            <w:tcW w:type="dxa" w:w="1701"/>
          </w:tcPr>
          <w:p>
            <w:pPr>
              <w:spacing w:after="20"/>
              <w:jc w:val="right"/>
            </w:pPr>
            <w:r/>
            <w:r>
              <w:rPr>
                <w:sz w:val="18"/>
              </w:rPr>
              <w:t>65,917</w:t>
            </w:r>
          </w:p>
        </w:tc>
      </w:tr>
      <w:tr>
        <w:tc>
          <w:tcPr>
            <w:tcW w:type="dxa" w:w="3969"/>
          </w:tcPr>
          <w:p>
            <w:pPr>
              <w:spacing w:after="20"/>
            </w:pPr>
            <w:r/>
            <w:r>
              <w:rPr>
                <w:sz w:val="18"/>
              </w:rPr>
              <w:t>Bus if ticketing volumes were used everywhere</w:t>
            </w:r>
          </w:p>
        </w:tc>
        <w:tc>
          <w:tcPr>
            <w:tcW w:type="dxa" w:w="1587"/>
          </w:tcPr>
          <w:p>
            <w:pPr>
              <w:spacing w:after="20"/>
              <w:jc w:val="right"/>
            </w:pPr>
            <w:r/>
            <w:r>
              <w:rPr>
                <w:sz w:val="18"/>
              </w:rPr>
            </w:r>
          </w:p>
        </w:tc>
        <w:tc>
          <w:tcPr>
            <w:tcW w:type="dxa" w:w="1587"/>
          </w:tcPr>
          <w:p>
            <w:pPr>
              <w:spacing w:after="20"/>
              <w:jc w:val="right"/>
            </w:pPr>
            <w:r/>
            <w:r>
              <w:rPr>
                <w:sz w:val="18"/>
              </w:rPr>
              <w:t>92,713</w:t>
            </w:r>
          </w:p>
        </w:tc>
        <w:tc>
          <w:tcPr>
            <w:tcW w:type="dxa" w:w="1701"/>
          </w:tcPr>
          <w:p>
            <w:pPr>
              <w:spacing w:after="20"/>
              <w:jc w:val="right"/>
            </w:pPr>
            <w:r/>
            <w:r>
              <w:rPr>
                <w:sz w:val="18"/>
              </w:rPr>
              <w:t>92,713</w:t>
            </w:r>
          </w:p>
        </w:tc>
      </w:tr>
      <w:tr>
        <w:tc>
          <w:tcPr>
            <w:tcW w:type="dxa" w:w="3969"/>
          </w:tcPr>
          <w:p>
            <w:pPr>
              <w:spacing w:after="20"/>
            </w:pPr>
            <w:r/>
            <w:r>
              <w:rPr>
                <w:sz w:val="18"/>
              </w:rPr>
              <w:t>Transit total (bus + taxi-type + rail)</w:t>
            </w:r>
          </w:p>
        </w:tc>
        <w:tc>
          <w:tcPr>
            <w:tcW w:type="dxa" w:w="1587"/>
          </w:tcPr>
          <w:p>
            <w:pPr>
              <w:spacing w:after="20"/>
              <w:jc w:val="right"/>
            </w:pPr>
            <w:r/>
            <w:r>
              <w:rPr>
                <w:sz w:val="18"/>
              </w:rPr>
              <w:t>139,458</w:t>
            </w:r>
          </w:p>
        </w:tc>
        <w:tc>
          <w:tcPr>
            <w:tcW w:type="dxa" w:w="1587"/>
          </w:tcPr>
          <w:p>
            <w:pPr>
              <w:spacing w:after="20"/>
              <w:jc w:val="right"/>
            </w:pPr>
            <w:r/>
            <w:r>
              <w:rPr>
                <w:sz w:val="18"/>
              </w:rPr>
              <w:t>134,029</w:t>
            </w:r>
          </w:p>
        </w:tc>
        <w:tc>
          <w:tcPr>
            <w:tcW w:type="dxa" w:w="1701"/>
          </w:tcPr>
          <w:p>
            <w:pPr>
              <w:spacing w:after="20"/>
              <w:jc w:val="right"/>
            </w:pPr>
            <w:r/>
            <w:r>
              <w:rPr>
                <w:sz w:val="18"/>
              </w:rPr>
              <w:t>149,492</w:t>
            </w:r>
          </w:p>
        </w:tc>
      </w:tr>
      <w:tr>
        <w:tc>
          <w:tcPr>
            <w:tcW w:type="dxa" w:w="3969"/>
          </w:tcPr>
          <w:p>
            <w:pPr>
              <w:spacing w:after="20"/>
            </w:pPr>
            <w:r/>
            <w:r>
              <w:rPr>
                <w:sz w:val="18"/>
              </w:rPr>
              <w:t>Transit share of car + transit</w:t>
            </w:r>
          </w:p>
        </w:tc>
        <w:tc>
          <w:tcPr>
            <w:tcW w:type="dxa" w:w="1587"/>
          </w:tcPr>
          <w:p>
            <w:pPr>
              <w:spacing w:after="20"/>
              <w:jc w:val="right"/>
            </w:pPr>
            <w:r/>
            <w:r>
              <w:rPr>
                <w:sz w:val="18"/>
              </w:rPr>
              <w:t>9.8 %</w:t>
            </w:r>
          </w:p>
        </w:tc>
        <w:tc>
          <w:tcPr>
            <w:tcW w:type="dxa" w:w="1587"/>
          </w:tcPr>
          <w:p>
            <w:pPr>
              <w:spacing w:after="20"/>
              <w:jc w:val="right"/>
            </w:pPr>
            <w:r/>
            <w:r>
              <w:rPr>
                <w:sz w:val="18"/>
              </w:rPr>
              <w:t>9.5 %</w:t>
            </w:r>
          </w:p>
        </w:tc>
        <w:tc>
          <w:tcPr>
            <w:tcW w:type="dxa" w:w="1701"/>
          </w:tcPr>
          <w:p>
            <w:pPr>
              <w:spacing w:after="20"/>
              <w:jc w:val="right"/>
            </w:pPr>
            <w:r/>
            <w:r>
              <w:rPr>
                <w:sz w:val="18"/>
              </w:rPr>
              <w:t>10.4 %</w:t>
            </w:r>
          </w:p>
        </w:tc>
      </w:tr>
    </w:tbl>
    <w:p>
      <w:pPr>
        <w:spacing w:after="40"/>
      </w:pPr>
    </w:p>
    <w:p>
      <w:r>
        <w:rPr>
          <w:i w:val="0"/>
        </w:rPr>
        <w:t>The segmented total is above both sources. The rule is asymmetric: where ticketing sees at least half of the survey's trips it usually sees more than the survey (up to three times at transfer hubs, because journeys are attributed to the boarding stop), and those cells take the ticketing figure; where it sees less than half, the survey figure stays. The local segments keep most of the survey (60,200 against 23,277 ticketed); the inter-superzone segments end close to ticketing (65,917 against 69,436).</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2835"/>
            <w:shd w:val="clear" w:color="auto" w:fill="E8EEF6"/>
          </w:tcPr>
          <w:p>
            <w:pPr>
              <w:spacing w:after="20"/>
            </w:pPr>
            <w:r/>
            <w:r>
              <w:rPr>
                <w:b/>
                <w:sz w:val="18"/>
              </w:rPr>
              <w:t>Coverage threshold</w:t>
            </w:r>
          </w:p>
        </w:tc>
        <w:tc>
          <w:tcPr>
            <w:tcW w:type="dxa" w:w="1191"/>
            <w:shd w:val="clear" w:color="auto" w:fill="E8EEF6"/>
          </w:tcPr>
          <w:p>
            <w:pPr>
              <w:spacing w:after="20"/>
            </w:pPr>
            <w:r/>
            <w:r>
              <w:rPr>
                <w:b/>
                <w:sz w:val="18"/>
              </w:rPr>
              <w:t>0.3</w:t>
            </w:r>
          </w:p>
        </w:tc>
        <w:tc>
          <w:tcPr>
            <w:tcW w:type="dxa" w:w="1191"/>
            <w:shd w:val="clear" w:color="auto" w:fill="E8EEF6"/>
          </w:tcPr>
          <w:p>
            <w:pPr>
              <w:spacing w:after="20"/>
            </w:pPr>
            <w:r/>
            <w:r>
              <w:rPr>
                <w:b/>
                <w:sz w:val="18"/>
              </w:rPr>
              <w:t>0.4</w:t>
            </w:r>
          </w:p>
        </w:tc>
        <w:tc>
          <w:tcPr>
            <w:tcW w:type="dxa" w:w="1304"/>
            <w:shd w:val="clear" w:color="auto" w:fill="E8EEF6"/>
          </w:tcPr>
          <w:p>
            <w:pPr>
              <w:spacing w:after="20"/>
            </w:pPr>
            <w:r/>
            <w:r>
              <w:rPr>
                <w:b/>
                <w:sz w:val="18"/>
              </w:rPr>
              <w:t>0.5 (used)</w:t>
            </w:r>
          </w:p>
        </w:tc>
        <w:tc>
          <w:tcPr>
            <w:tcW w:type="dxa" w:w="1191"/>
            <w:shd w:val="clear" w:color="auto" w:fill="E8EEF6"/>
          </w:tcPr>
          <w:p>
            <w:pPr>
              <w:spacing w:after="20"/>
            </w:pPr>
            <w:r/>
            <w:r>
              <w:rPr>
                <w:b/>
                <w:sz w:val="18"/>
              </w:rPr>
              <w:t>0.6</w:t>
            </w:r>
          </w:p>
        </w:tc>
        <w:tc>
          <w:tcPr>
            <w:tcW w:type="dxa" w:w="1191"/>
            <w:shd w:val="clear" w:color="auto" w:fill="E8EEF6"/>
          </w:tcPr>
          <w:p>
            <w:pPr>
              <w:spacing w:after="20"/>
            </w:pPr>
            <w:r/>
            <w:r>
              <w:rPr>
                <w:b/>
                <w:sz w:val="18"/>
              </w:rPr>
              <w:t>0.7</w:t>
            </w:r>
          </w:p>
        </w:tc>
      </w:tr>
      <w:tr>
        <w:tc>
          <w:tcPr>
            <w:tcW w:type="dxa" w:w="2835"/>
          </w:tcPr>
          <w:p>
            <w:pPr>
              <w:spacing w:after="20"/>
            </w:pPr>
            <w:r/>
            <w:r>
              <w:rPr>
                <w:sz w:val="18"/>
              </w:rPr>
              <w:t>Guarded origin × segment cells</w:t>
            </w:r>
          </w:p>
        </w:tc>
        <w:tc>
          <w:tcPr>
            <w:tcW w:type="dxa" w:w="1191"/>
          </w:tcPr>
          <w:p>
            <w:pPr>
              <w:spacing w:after="20"/>
              <w:jc w:val="right"/>
            </w:pPr>
            <w:r/>
            <w:r>
              <w:rPr>
                <w:sz w:val="18"/>
              </w:rPr>
              <w:t>19</w:t>
            </w:r>
          </w:p>
        </w:tc>
        <w:tc>
          <w:tcPr>
            <w:tcW w:type="dxa" w:w="1191"/>
          </w:tcPr>
          <w:p>
            <w:pPr>
              <w:spacing w:after="20"/>
              <w:jc w:val="right"/>
            </w:pPr>
            <w:r/>
            <w:r>
              <w:rPr>
                <w:sz w:val="18"/>
              </w:rPr>
              <w:t>24</w:t>
            </w:r>
          </w:p>
        </w:tc>
        <w:tc>
          <w:tcPr>
            <w:tcW w:type="dxa" w:w="1304"/>
          </w:tcPr>
          <w:p>
            <w:pPr>
              <w:spacing w:after="20"/>
              <w:jc w:val="right"/>
            </w:pPr>
            <w:r/>
            <w:r>
              <w:rPr>
                <w:sz w:val="18"/>
              </w:rPr>
              <w:t>28</w:t>
            </w:r>
          </w:p>
        </w:tc>
        <w:tc>
          <w:tcPr>
            <w:tcW w:type="dxa" w:w="1191"/>
          </w:tcPr>
          <w:p>
            <w:pPr>
              <w:spacing w:after="20"/>
              <w:jc w:val="right"/>
            </w:pPr>
            <w:r/>
            <w:r>
              <w:rPr>
                <w:sz w:val="18"/>
              </w:rPr>
              <w:t>38</w:t>
            </w:r>
          </w:p>
        </w:tc>
        <w:tc>
          <w:tcPr>
            <w:tcW w:type="dxa" w:w="1191"/>
          </w:tcPr>
          <w:p>
            <w:pPr>
              <w:spacing w:after="20"/>
              <w:jc w:val="right"/>
            </w:pPr>
            <w:r/>
            <w:r>
              <w:rPr>
                <w:sz w:val="18"/>
              </w:rPr>
              <w:t>44</w:t>
            </w:r>
          </w:p>
        </w:tc>
      </w:tr>
      <w:tr>
        <w:tc>
          <w:tcPr>
            <w:tcW w:type="dxa" w:w="2835"/>
          </w:tcPr>
          <w:p>
            <w:pPr>
              <w:spacing w:after="20"/>
            </w:pPr>
            <w:r/>
            <w:r>
              <w:rPr>
                <w:sz w:val="18"/>
              </w:rPr>
              <w:t>Bus total, 2018 base</w:t>
            </w:r>
          </w:p>
        </w:tc>
        <w:tc>
          <w:tcPr>
            <w:tcW w:type="dxa" w:w="1191"/>
          </w:tcPr>
          <w:p>
            <w:pPr>
              <w:spacing w:after="20"/>
              <w:jc w:val="right"/>
            </w:pPr>
            <w:r/>
            <w:r>
              <w:rPr>
                <w:sz w:val="18"/>
              </w:rPr>
              <w:t>117,515</w:t>
            </w:r>
          </w:p>
        </w:tc>
        <w:tc>
          <w:tcPr>
            <w:tcW w:type="dxa" w:w="1191"/>
          </w:tcPr>
          <w:p>
            <w:pPr>
              <w:spacing w:after="20"/>
              <w:jc w:val="right"/>
            </w:pPr>
            <w:r/>
            <w:r>
              <w:rPr>
                <w:sz w:val="18"/>
              </w:rPr>
              <w:t>122,160</w:t>
            </w:r>
          </w:p>
        </w:tc>
        <w:tc>
          <w:tcPr>
            <w:tcW w:type="dxa" w:w="1304"/>
          </w:tcPr>
          <w:p>
            <w:pPr>
              <w:spacing w:after="20"/>
              <w:jc w:val="right"/>
            </w:pPr>
            <w:r/>
            <w:r>
              <w:rPr>
                <w:sz w:val="18"/>
              </w:rPr>
              <w:t>126,117</w:t>
            </w:r>
          </w:p>
        </w:tc>
        <w:tc>
          <w:tcPr>
            <w:tcW w:type="dxa" w:w="1191"/>
          </w:tcPr>
          <w:p>
            <w:pPr>
              <w:spacing w:after="20"/>
              <w:jc w:val="right"/>
            </w:pPr>
            <w:r/>
            <w:r>
              <w:rPr>
                <w:sz w:val="18"/>
              </w:rPr>
              <w:t>130,639</w:t>
            </w:r>
          </w:p>
        </w:tc>
        <w:tc>
          <w:tcPr>
            <w:tcW w:type="dxa" w:w="1191"/>
          </w:tcPr>
          <w:p>
            <w:pPr>
              <w:spacing w:after="20"/>
              <w:jc w:val="right"/>
            </w:pPr>
            <w:r/>
            <w:r>
              <w:rPr>
                <w:sz w:val="18"/>
              </w:rPr>
              <w:t>131,650</w:t>
            </w:r>
          </w:p>
        </w:tc>
      </w:tr>
      <w:tr>
        <w:tc>
          <w:tcPr>
            <w:tcW w:type="dxa" w:w="2835"/>
          </w:tcPr>
          <w:p>
            <w:pPr>
              <w:spacing w:after="20"/>
            </w:pPr>
            <w:r/>
            <w:r>
              <w:rPr>
                <w:sz w:val="18"/>
              </w:rPr>
              <w:t>of which local</w:t>
            </w:r>
          </w:p>
        </w:tc>
        <w:tc>
          <w:tcPr>
            <w:tcW w:type="dxa" w:w="1191"/>
          </w:tcPr>
          <w:p>
            <w:pPr>
              <w:spacing w:after="20"/>
              <w:jc w:val="right"/>
            </w:pPr>
            <w:r/>
            <w:r>
              <w:rPr>
                <w:sz w:val="18"/>
              </w:rPr>
              <w:t>54,406</w:t>
            </w:r>
          </w:p>
        </w:tc>
        <w:tc>
          <w:tcPr>
            <w:tcW w:type="dxa" w:w="1191"/>
          </w:tcPr>
          <w:p>
            <w:pPr>
              <w:spacing w:after="20"/>
              <w:jc w:val="right"/>
            </w:pPr>
            <w:r/>
            <w:r>
              <w:rPr>
                <w:sz w:val="18"/>
              </w:rPr>
              <w:t>57,042</w:t>
            </w:r>
          </w:p>
        </w:tc>
        <w:tc>
          <w:tcPr>
            <w:tcW w:type="dxa" w:w="1304"/>
          </w:tcPr>
          <w:p>
            <w:pPr>
              <w:spacing w:after="20"/>
              <w:jc w:val="right"/>
            </w:pPr>
            <w:r/>
            <w:r>
              <w:rPr>
                <w:sz w:val="18"/>
              </w:rPr>
              <w:t>60,200</w:t>
            </w:r>
          </w:p>
        </w:tc>
        <w:tc>
          <w:tcPr>
            <w:tcW w:type="dxa" w:w="1191"/>
          </w:tcPr>
          <w:p>
            <w:pPr>
              <w:spacing w:after="20"/>
              <w:jc w:val="right"/>
            </w:pPr>
            <w:r/>
            <w:r>
              <w:rPr>
                <w:sz w:val="18"/>
              </w:rPr>
              <w:t>62,723</w:t>
            </w:r>
          </w:p>
        </w:tc>
        <w:tc>
          <w:tcPr>
            <w:tcW w:type="dxa" w:w="1191"/>
          </w:tcPr>
          <w:p>
            <w:pPr>
              <w:spacing w:after="20"/>
              <w:jc w:val="right"/>
            </w:pPr>
            <w:r/>
            <w:r>
              <w:rPr>
                <w:sz w:val="18"/>
              </w:rPr>
              <w:t>63,541</w:t>
            </w:r>
          </w:p>
        </w:tc>
      </w:tr>
    </w:tbl>
    <w:p>
      <w:pPr>
        <w:spacing w:after="40"/>
      </w:pPr>
    </w:p>
    <w:p>
      <w:r>
        <w:rPr>
          <w:i/>
          <w:color w:val="52514E"/>
          <w:sz w:val="18"/>
        </w:rPr>
        <w:t>Sensitivity of the segmented rule to the coverage threshold.</w:t>
      </w:r>
    </w:p>
    <w:p>
      <w:r>
        <w:rPr>
          <w:i w:val="0"/>
        </w:rPr>
        <w:t>Against the RavKav × on-board matrix, the calibrated bus matrix scores: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3685"/>
            <w:shd w:val="clear" w:color="auto" w:fill="E8EEF6"/>
          </w:tcPr>
          <w:p>
            <w:pPr>
              <w:spacing w:after="20"/>
            </w:pPr>
            <w:r/>
            <w:r>
              <w:rPr>
                <w:b/>
                <w:sz w:val="18"/>
              </w:rPr>
              <w:t>Comparison</w:t>
            </w:r>
          </w:p>
        </w:tc>
        <w:tc>
          <w:tcPr>
            <w:tcW w:type="dxa" w:w="1701"/>
            <w:shd w:val="clear" w:color="auto" w:fill="E8EEF6"/>
          </w:tcPr>
          <w:p>
            <w:pPr>
              <w:spacing w:after="20"/>
            </w:pPr>
            <w:r/>
            <w:r>
              <w:rPr>
                <w:b/>
                <w:sz w:val="18"/>
              </w:rPr>
              <w:t>Cosine, superzones</w:t>
            </w:r>
          </w:p>
        </w:tc>
        <w:tc>
          <w:tcPr>
            <w:tcW w:type="dxa" w:w="1701"/>
            <w:shd w:val="clear" w:color="auto" w:fill="E8EEF6"/>
          </w:tcPr>
          <w:p>
            <w:pPr>
              <w:spacing w:after="20"/>
            </w:pPr>
            <w:r/>
            <w:r>
              <w:rPr>
                <w:b/>
                <w:sz w:val="18"/>
              </w:rPr>
              <w:t>Cosine, sub-areas</w:t>
            </w:r>
          </w:p>
        </w:tc>
        <w:tc>
          <w:tcPr>
            <w:tcW w:type="dxa" w:w="1871"/>
            <w:shd w:val="clear" w:color="auto" w:fill="E8EEF6"/>
          </w:tcPr>
          <w:p>
            <w:pPr>
              <w:spacing w:after="20"/>
            </w:pPr>
            <w:r/>
            <w:r>
              <w:rPr>
                <w:b/>
                <w:sz w:val="18"/>
              </w:rPr>
              <w:t>Flow within GEH 5, sub-areas</w:t>
            </w:r>
          </w:p>
        </w:tc>
      </w:tr>
      <w:tr>
        <w:tc>
          <w:tcPr>
            <w:tcW w:type="dxa" w:w="3685"/>
          </w:tcPr>
          <w:p>
            <w:pPr>
              <w:spacing w:after="20"/>
            </w:pPr>
            <w:r/>
            <w:r>
              <w:rPr>
                <w:sz w:val="18"/>
              </w:rPr>
              <w:t>Raw survey bus vs ticketing matrix</w:t>
            </w:r>
          </w:p>
        </w:tc>
        <w:tc>
          <w:tcPr>
            <w:tcW w:type="dxa" w:w="1701"/>
          </w:tcPr>
          <w:p>
            <w:pPr>
              <w:spacing w:after="20"/>
              <w:jc w:val="right"/>
            </w:pPr>
            <w:r/>
            <w:r>
              <w:rPr>
                <w:sz w:val="18"/>
              </w:rPr>
              <w:t>0.589</w:t>
            </w:r>
          </w:p>
        </w:tc>
        <w:tc>
          <w:tcPr>
            <w:tcW w:type="dxa" w:w="1701"/>
          </w:tcPr>
          <w:p>
            <w:pPr>
              <w:spacing w:after="20"/>
              <w:jc w:val="right"/>
            </w:pPr>
            <w:r/>
            <w:r>
              <w:rPr>
                <w:sz w:val="18"/>
              </w:rPr>
              <w:t>0.745</w:t>
            </w:r>
          </w:p>
        </w:tc>
        <w:tc>
          <w:tcPr>
            <w:tcW w:type="dxa" w:w="1871"/>
          </w:tcPr>
          <w:p>
            <w:pPr>
              <w:spacing w:after="20"/>
              <w:jc w:val="right"/>
            </w:pPr>
            <w:r/>
            <w:r>
              <w:rPr>
                <w:sz w:val="18"/>
              </w:rPr>
              <w:t>30 %</w:t>
            </w:r>
          </w:p>
        </w:tc>
      </w:tr>
      <w:tr>
        <w:tc>
          <w:tcPr>
            <w:tcW w:type="dxa" w:w="3685"/>
          </w:tcPr>
          <w:p>
            <w:pPr>
              <w:spacing w:after="20"/>
            </w:pPr>
            <w:r/>
            <w:r>
              <w:rPr>
                <w:sz w:val="18"/>
              </w:rPr>
              <w:t>Segmented rule vs ticketing matrix</w:t>
            </w:r>
          </w:p>
        </w:tc>
        <w:tc>
          <w:tcPr>
            <w:tcW w:type="dxa" w:w="1701"/>
          </w:tcPr>
          <w:p>
            <w:pPr>
              <w:spacing w:after="20"/>
              <w:jc w:val="right"/>
            </w:pPr>
            <w:r/>
            <w:r>
              <w:rPr>
                <w:sz w:val="18"/>
              </w:rPr>
              <w:t>0.601</w:t>
            </w:r>
          </w:p>
        </w:tc>
        <w:tc>
          <w:tcPr>
            <w:tcW w:type="dxa" w:w="1701"/>
          </w:tcPr>
          <w:p>
            <w:pPr>
              <w:spacing w:after="20"/>
              <w:jc w:val="right"/>
            </w:pPr>
            <w:r/>
            <w:r>
              <w:rPr>
                <w:sz w:val="18"/>
              </w:rPr>
              <w:t>0.872</w:t>
            </w:r>
          </w:p>
        </w:tc>
        <w:tc>
          <w:tcPr>
            <w:tcW w:type="dxa" w:w="1871"/>
          </w:tcPr>
          <w:p>
            <w:pPr>
              <w:spacing w:after="20"/>
              <w:jc w:val="right"/>
            </w:pPr>
            <w:r/>
            <w:r>
              <w:rPr>
                <w:sz w:val="18"/>
              </w:rPr>
              <w:t>64 %</w:t>
            </w:r>
          </w:p>
        </w:tc>
      </w:tr>
      <w:tr>
        <w:tc>
          <w:tcPr>
            <w:tcW w:type="dxa" w:w="3685"/>
          </w:tcPr>
          <w:p>
            <w:pPr>
              <w:spacing w:after="20"/>
            </w:pPr>
            <w:r/>
            <w:r>
              <w:rPr>
                <w:sz w:val="18"/>
              </w:rPr>
              <w:t>Binary guard (rev. 1) vs ticketing matrix</w:t>
            </w:r>
          </w:p>
        </w:tc>
        <w:tc>
          <w:tcPr>
            <w:tcW w:type="dxa" w:w="1701"/>
          </w:tcPr>
          <w:p>
            <w:pPr>
              <w:spacing w:after="20"/>
              <w:jc w:val="right"/>
            </w:pPr>
            <w:r/>
            <w:r>
              <w:rPr>
                <w:sz w:val="18"/>
              </w:rPr>
              <w:t>0.658</w:t>
            </w:r>
          </w:p>
        </w:tc>
        <w:tc>
          <w:tcPr>
            <w:tcW w:type="dxa" w:w="1701"/>
          </w:tcPr>
          <w:p>
            <w:pPr>
              <w:spacing w:after="20"/>
              <w:jc w:val="right"/>
            </w:pPr>
            <w:r/>
            <w:r>
              <w:rPr>
                <w:sz w:val="18"/>
              </w:rPr>
              <w:t>0.882</w:t>
            </w:r>
          </w:p>
        </w:tc>
        <w:tc>
          <w:tcPr>
            <w:tcW w:type="dxa" w:w="1871"/>
          </w:tcPr>
          <w:p>
            <w:pPr>
              <w:spacing w:after="20"/>
              <w:jc w:val="right"/>
            </w:pPr>
            <w:r/>
            <w:r>
              <w:rPr>
                <w:sz w:val="18"/>
              </w:rPr>
              <w:t>67 %</w:t>
            </w:r>
          </w:p>
        </w:tc>
      </w:tr>
      <w:tr>
        <w:tc>
          <w:tcPr>
            <w:tcW w:type="dxa" w:w="3685"/>
          </w:tcPr>
          <w:p>
            <w:pPr>
              <w:spacing w:after="20"/>
            </w:pPr>
            <w:r/>
            <w:r>
              <w:rPr>
                <w:sz w:val="18"/>
              </w:rPr>
              <w:t>Segmented rule vs raw survey bus</w:t>
            </w:r>
          </w:p>
        </w:tc>
        <w:tc>
          <w:tcPr>
            <w:tcW w:type="dxa" w:w="1701"/>
          </w:tcPr>
          <w:p>
            <w:pPr>
              <w:spacing w:after="20"/>
              <w:jc w:val="right"/>
            </w:pPr>
            <w:r/>
            <w:r>
              <w:rPr>
                <w:sz w:val="18"/>
              </w:rPr>
              <w:t>0.978</w:t>
            </w:r>
          </w:p>
        </w:tc>
        <w:tc>
          <w:tcPr>
            <w:tcW w:type="dxa" w:w="1701"/>
          </w:tcPr>
          <w:p>
            <w:pPr>
              <w:spacing w:after="20"/>
              <w:jc w:val="right"/>
            </w:pPr>
            <w:r/>
            <w:r>
              <w:rPr>
                <w:sz w:val="18"/>
              </w:rPr>
              <w:t>0.853</w:t>
            </w:r>
          </w:p>
        </w:tc>
        <w:tc>
          <w:tcPr>
            <w:tcW w:type="dxa" w:w="1871"/>
          </w:tcPr>
          <w:p>
            <w:pPr>
              <w:spacing w:after="20"/>
              <w:jc w:val="right"/>
            </w:pPr>
            <w:r/>
            <w:r>
              <w:rPr>
                <w:sz w:val="18"/>
              </w:rPr>
              <w:t>51 %</w:t>
            </w:r>
          </w:p>
        </w:tc>
      </w:tr>
      <w:tr>
        <w:tc>
          <w:tcPr>
            <w:tcW w:type="dxa" w:w="3685"/>
          </w:tcPr>
          <w:p>
            <w:pPr>
              <w:spacing w:after="20"/>
            </w:pPr>
            <w:r/>
            <w:r>
              <w:rPr>
                <w:sz w:val="18"/>
              </w:rPr>
              <w:t>Survey bus, day 1 vs day 2 (repeatability)</w:t>
            </w:r>
          </w:p>
        </w:tc>
        <w:tc>
          <w:tcPr>
            <w:tcW w:type="dxa" w:w="1701"/>
          </w:tcPr>
          <w:p>
            <w:pPr>
              <w:spacing w:after="20"/>
              <w:jc w:val="right"/>
            </w:pPr>
            <w:r/>
            <w:r>
              <w:rPr>
                <w:sz w:val="18"/>
              </w:rPr>
              <w:t>0.880</w:t>
            </w:r>
          </w:p>
        </w:tc>
        <w:tc>
          <w:tcPr>
            <w:tcW w:type="dxa" w:w="1701"/>
          </w:tcPr>
          <w:p>
            <w:pPr>
              <w:spacing w:after="20"/>
              <w:jc w:val="right"/>
            </w:pPr>
            <w:r/>
            <w:r>
              <w:rPr>
                <w:sz w:val="18"/>
              </w:rPr>
              <w:t>0.911</w:t>
            </w:r>
          </w:p>
        </w:tc>
        <w:tc>
          <w:tcPr>
            <w:tcW w:type="dxa" w:w="1871"/>
          </w:tcPr>
          <w:p>
            <w:pPr>
              <w:spacing w:after="20"/>
              <w:jc w:val="right"/>
            </w:pPr>
            <w:r/>
            <w:r>
              <w:rPr>
                <w:sz w:val="18"/>
              </w:rPr>
              <w:t>67 %</w:t>
            </w:r>
          </w:p>
        </w:tc>
      </w:tr>
    </w:tbl>
    <w:p>
      <w:pPr>
        <w:spacing w:after="40"/>
      </w:pPr>
    </w:p>
    <w:p>
      <w:r>
        <w:rPr>
          <w:i/>
          <w:color w:val="52514E"/>
          <w:sz w:val="18"/>
        </w:rPr>
        <w:t>Agreement with the ticketing matrix before and after calibration. A closer fit to the source used for calibration is a check of direction, not an independent validation.</w:t>
      </w:r>
    </w:p>
    <w:p>
      <w:r>
        <w:rPr>
          <w:i w:val="0"/>
        </w:rPr>
        <w:t>The segmented rule scores slightly below the binary one on these measures, as expected: it keeps more survey volume in local cells where ticketing is thin. Destination totals were never forced, yet they moved closer to the on-board alightings (cosine 0.86, from 0.78). Inside the corridor the calibration moved the transit share from 12.7 % to 16.2 % of corridor-to-corridor trips (2018 base, transit including taxi-type and rail).</w:t>
      </w:r>
    </w:p>
    <w:p>
      <w:pPr>
        <w:jc w:val="center"/>
      </w:pPr>
      <w:r>
        <w:drawing>
          <wp:inline xmlns:a="http://schemas.openxmlformats.org/drawingml/2006/main" xmlns:pic="http://schemas.openxmlformats.org/drawingml/2006/picture">
            <wp:extent cx="5724000" cy="2483683"/>
            <wp:docPr id="8" name="Picture 8"/>
            <wp:cNvGraphicFramePr>
              <a:graphicFrameLocks noChangeAspect="1"/>
            </wp:cNvGraphicFramePr>
            <a:graphic>
              <a:graphicData uri="http://schemas.openxmlformats.org/drawingml/2006/picture">
                <pic:pic>
                  <pic:nvPicPr>
                    <pic:cNvPr id="0" name="two_mode_transit_share.png"/>
                    <pic:cNvPicPr/>
                  </pic:nvPicPr>
                  <pic:blipFill>
                    <a:blip r:embed="rId16"/>
                    <a:stretch>
                      <a:fillRect/>
                    </a:stretch>
                  </pic:blipFill>
                  <pic:spPr>
                    <a:xfrm>
                      <a:off x="0" y="0"/>
                      <a:ext cx="5724000" cy="2483683"/>
                    </a:xfrm>
                    <a:prstGeom prst="rect"/>
                  </pic:spPr>
                </pic:pic>
              </a:graphicData>
            </a:graphic>
          </wp:inline>
        </w:drawing>
      </w:r>
    </w:p>
    <w:p>
      <w:r>
        <w:rPr>
          <w:i/>
          <w:color w:val="52514E"/>
          <w:sz w:val="18"/>
        </w:rPr>
        <w:t>Figure 6. Left: transit share by origin superzone before and after calibration. Right: superzone bus cells against the ticketing matrix, survey (grey) and calibrated (green).</w:t>
      </w:r>
    </w:p>
    <w:p>
      <w:pPr>
        <w:pStyle w:val="Heading1"/>
      </w:pPr>
      <w:r>
        <w:t>6. Part D — moving to 2022 and splitting into car, bus, taxi-type and rail</w:t>
      </w:r>
    </w:p>
    <w:p>
      <w:pPr>
        <w:pStyle w:val="Heading2"/>
      </w:pPr>
      <w:r>
        <w:t>6.1 The idea</w:t>
      </w:r>
    </w:p>
    <w:p>
      <w:r>
        <w:rPr>
          <w:i w:val="0"/>
        </w:rPr>
        <w:t>The survey describes 2018. The ticketing data describes May 2022, which is also the base year the study uses. Rather than mix years, everything of survey vintage is moved to 2022 with the convention the repository already uses at area level, now applied at TAZ level.</w:t>
      </w:r>
    </w:p>
    <w:p>
      <w:r>
        <w:rPr>
          <w:i w:val="0"/>
        </w:rPr>
        <w:t>The convention holds trip rates constant: each TAZ keeps its 2018 trips per resident on the origin side and its 2018 trips per job on the destination side. Growth comes from the zonal files: the change from 2020 (observed) to 2025 (forecast, BU scenario), taken at four fifths of the five-year change to represent 2018 to 2022. This extrapolates a forecast trend; it does not measure 2018–2022 change. A TAZ uses its own factor only if its 2020 base is at least 500 people (origins) or jobs (destinations); smaller zones take their superzone's factor. The car matrix is then Furnessed to the grown row and column totals, with the overall total set by the origin side.</w:t>
      </w:r>
    </w:p>
    <w:tbl>
      <w:tblPr>
        <w:tblStyle w:val="TableGrid"/>
        <w:tblW w:type="auto" w:w="0"/>
        <w:jc w:val="center"/>
        <w:tblLook w:firstColumn="1" w:firstRow="1" w:lastColumn="0" w:lastRow="0" w:noHBand="0" w:noVBand="1" w:val="04A0"/>
      </w:tblPr>
      <w:tblGrid>
        <w:gridCol w:w="4513"/>
        <w:gridCol w:w="4513"/>
      </w:tblGrid>
      <w:tr>
        <w:tc>
          <w:tcPr>
            <w:tcW w:type="dxa" w:w="2835"/>
            <w:shd w:val="clear" w:color="auto" w:fill="E8EEF6"/>
          </w:tcPr>
          <w:p>
            <w:pPr>
              <w:spacing w:after="20"/>
            </w:pPr>
            <w:r/>
            <w:r>
              <w:rPr>
                <w:b/>
                <w:sz w:val="18"/>
              </w:rPr>
              <w:t>Layer</w:t>
            </w:r>
          </w:p>
        </w:tc>
        <w:tc>
          <w:tcPr>
            <w:tcW w:type="dxa" w:w="5953"/>
            <w:shd w:val="clear" w:color="auto" w:fill="E8EEF6"/>
          </w:tcPr>
          <w:p>
            <w:pPr>
              <w:spacing w:after="20"/>
            </w:pPr>
            <w:r/>
            <w:r>
              <w:rPr>
                <w:b/>
                <w:sz w:val="18"/>
              </w:rPr>
              <w:t>How it moves to 2022</w:t>
            </w:r>
          </w:p>
        </w:tc>
      </w:tr>
      <w:tr>
        <w:tc>
          <w:tcPr>
            <w:tcW w:type="dxa" w:w="2835"/>
          </w:tcPr>
          <w:p>
            <w:pPr>
              <w:spacing w:after="20"/>
            </w:pPr>
            <w:r/>
            <w:r>
              <w:rPr>
                <w:sz w:val="18"/>
              </w:rPr>
              <w:t>Car</w:t>
            </w:r>
          </w:p>
        </w:tc>
        <w:tc>
          <w:tcPr>
            <w:tcW w:type="dxa" w:w="5953"/>
          </w:tcPr>
          <w:p>
            <w:pPr>
              <w:spacing w:after="20"/>
            </w:pPr>
            <w:r/>
            <w:r>
              <w:rPr>
                <w:sz w:val="18"/>
              </w:rPr>
              <w:t>Furnessed to population-grown origins and employment-grown destinations: +5.5 %</w:t>
            </w:r>
          </w:p>
        </w:tc>
      </w:tr>
      <w:tr>
        <w:tc>
          <w:tcPr>
            <w:tcW w:type="dxa" w:w="2835"/>
          </w:tcPr>
          <w:p>
            <w:pPr>
              <w:spacing w:after="20"/>
            </w:pPr>
            <w:r/>
            <w:r>
              <w:rPr>
                <w:sz w:val="18"/>
              </w:rPr>
              <w:t>Bus, cells that took ticketing volumes</w:t>
            </w:r>
          </w:p>
        </w:tc>
        <w:tc>
          <w:tcPr>
            <w:tcW w:type="dxa" w:w="5953"/>
          </w:tcPr>
          <w:p>
            <w:pPr>
              <w:spacing w:after="20"/>
            </w:pPr>
            <w:r/>
            <w:r>
              <w:rPr>
                <w:sz w:val="18"/>
              </w:rPr>
              <w:t>Already May 2022 counts; untouched (69,066 trips)</w:t>
            </w:r>
          </w:p>
        </w:tc>
      </w:tr>
      <w:tr>
        <w:tc>
          <w:tcPr>
            <w:tcW w:type="dxa" w:w="2835"/>
          </w:tcPr>
          <w:p>
            <w:pPr>
              <w:spacing w:after="20"/>
            </w:pPr>
            <w:r/>
            <w:r>
              <w:rPr>
                <w:sz w:val="18"/>
              </w:rPr>
              <w:t>Bus, coverage-guarded cells</w:t>
            </w:r>
          </w:p>
        </w:tc>
        <w:tc>
          <w:tcPr>
            <w:tcW w:type="dxa" w:w="5953"/>
          </w:tcPr>
          <w:p>
            <w:pPr>
              <w:spacing w:after="20"/>
            </w:pPr>
            <w:r/>
            <w:r>
              <w:rPr>
                <w:sz w:val="18"/>
              </w:rPr>
              <w:t>Grown by their TAZ's population factor: 57,051 → 60,587</w:t>
            </w:r>
          </w:p>
        </w:tc>
      </w:tr>
      <w:tr>
        <w:tc>
          <w:tcPr>
            <w:tcW w:type="dxa" w:w="2835"/>
          </w:tcPr>
          <w:p>
            <w:pPr>
              <w:spacing w:after="20"/>
            </w:pPr>
            <w:r/>
            <w:r>
              <w:rPr>
                <w:sz w:val="18"/>
              </w:rPr>
              <w:t>Taxi-type (own layer)</w:t>
            </w:r>
          </w:p>
        </w:tc>
        <w:tc>
          <w:tcPr>
            <w:tcW w:type="dxa" w:w="5953"/>
          </w:tcPr>
          <w:p>
            <w:pPr>
              <w:spacing w:after="20"/>
            </w:pPr>
            <w:r/>
            <w:r>
              <w:rPr>
                <w:sz w:val="18"/>
              </w:rPr>
              <w:t>Furnessed like car: 18,266 → 19,359</w:t>
            </w:r>
          </w:p>
        </w:tc>
      </w:tr>
      <w:tr>
        <w:tc>
          <w:tcPr>
            <w:tcW w:type="dxa" w:w="2835"/>
          </w:tcPr>
          <w:p>
            <w:pPr>
              <w:spacing w:after="20"/>
            </w:pPr>
            <w:r/>
            <w:r>
              <w:rPr>
                <w:sz w:val="18"/>
              </w:rPr>
              <w:t>Rail (survey, door-to-door)</w:t>
            </w:r>
          </w:p>
        </w:tc>
        <w:tc>
          <w:tcPr>
            <w:tcW w:type="dxa" w:w="5953"/>
          </w:tcPr>
          <w:p>
            <w:pPr>
              <w:spacing w:after="20"/>
            </w:pPr>
            <w:r/>
            <w:r>
              <w:rPr>
                <w:sz w:val="18"/>
              </w:rPr>
              <w:t>Scaled by the national rail ridership change 2019 → 2022 (× 0.793): 5,109 → 4,050; the 2019 station-to-station smartcard matrix scaled the same way is saved beside it</w:t>
            </w:r>
          </w:p>
        </w:tc>
      </w:tr>
    </w:tbl>
    <w:p>
      <w:pPr>
        <w:spacing w:after="40"/>
      </w:pPr>
    </w:p>
    <w:p>
      <w:pPr>
        <w:pStyle w:val="Heading2"/>
      </w:pPr>
      <w:r>
        <w:t>6.2 Results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871"/>
            <w:shd w:val="clear" w:color="auto" w:fill="E8EEF6"/>
          </w:tcPr>
          <w:p>
            <w:pPr>
              <w:spacing w:after="20"/>
            </w:pPr>
            <w:r/>
            <w:r>
              <w:rPr>
                <w:b/>
                <w:sz w:val="16"/>
              </w:rPr>
              <w:t>Trips by corridor class</w:t>
            </w:r>
          </w:p>
        </w:tc>
        <w:tc>
          <w:tcPr>
            <w:tcW w:type="dxa" w:w="964"/>
            <w:shd w:val="clear" w:color="auto" w:fill="E8EEF6"/>
          </w:tcPr>
          <w:p>
            <w:pPr>
              <w:spacing w:after="20"/>
            </w:pPr>
            <w:r/>
            <w:r>
              <w:rPr>
                <w:b/>
                <w:sz w:val="16"/>
              </w:rPr>
              <w:t>Car 2018</w:t>
            </w:r>
          </w:p>
        </w:tc>
        <w:tc>
          <w:tcPr>
            <w:tcW w:type="dxa" w:w="964"/>
            <w:shd w:val="clear" w:color="auto" w:fill="E8EEF6"/>
          </w:tcPr>
          <w:p>
            <w:pPr>
              <w:spacing w:after="20"/>
            </w:pPr>
            <w:r/>
            <w:r>
              <w:rPr>
                <w:b/>
                <w:sz w:val="16"/>
              </w:rPr>
              <w:t>Car 2022</w:t>
            </w:r>
          </w:p>
        </w:tc>
        <w:tc>
          <w:tcPr>
            <w:tcW w:type="dxa" w:w="850"/>
            <w:shd w:val="clear" w:color="auto" w:fill="E8EEF6"/>
          </w:tcPr>
          <w:p>
            <w:pPr>
              <w:spacing w:after="20"/>
            </w:pPr>
            <w:r/>
            <w:r>
              <w:rPr>
                <w:b/>
                <w:sz w:val="16"/>
              </w:rPr>
              <w:t>Bus 2018</w:t>
            </w:r>
          </w:p>
        </w:tc>
        <w:tc>
          <w:tcPr>
            <w:tcW w:type="dxa" w:w="850"/>
            <w:shd w:val="clear" w:color="auto" w:fill="E8EEF6"/>
          </w:tcPr>
          <w:p>
            <w:pPr>
              <w:spacing w:after="20"/>
            </w:pPr>
            <w:r/>
            <w:r>
              <w:rPr>
                <w:b/>
                <w:sz w:val="16"/>
              </w:rPr>
              <w:t>Bus 2022</w:t>
            </w:r>
          </w:p>
        </w:tc>
        <w:tc>
          <w:tcPr>
            <w:tcW w:type="dxa" w:w="794"/>
            <w:shd w:val="clear" w:color="auto" w:fill="E8EEF6"/>
          </w:tcPr>
          <w:p>
            <w:pPr>
              <w:spacing w:after="20"/>
            </w:pPr>
            <w:r/>
            <w:r>
              <w:rPr>
                <w:b/>
                <w:sz w:val="16"/>
              </w:rPr>
              <w:t>Taxi 2018</w:t>
            </w:r>
          </w:p>
        </w:tc>
        <w:tc>
          <w:tcPr>
            <w:tcW w:type="dxa" w:w="794"/>
            <w:shd w:val="clear" w:color="auto" w:fill="E8EEF6"/>
          </w:tcPr>
          <w:p>
            <w:pPr>
              <w:spacing w:after="20"/>
            </w:pPr>
            <w:r/>
            <w:r>
              <w:rPr>
                <w:b/>
                <w:sz w:val="16"/>
              </w:rPr>
              <w:t>Taxi 2022</w:t>
            </w:r>
          </w:p>
        </w:tc>
        <w:tc>
          <w:tcPr>
            <w:tcW w:type="dxa" w:w="794"/>
            <w:shd w:val="clear" w:color="auto" w:fill="E8EEF6"/>
          </w:tcPr>
          <w:p>
            <w:pPr>
              <w:spacing w:after="20"/>
            </w:pPr>
            <w:r/>
            <w:r>
              <w:rPr>
                <w:b/>
                <w:sz w:val="16"/>
              </w:rPr>
              <w:t>Rail 2018</w:t>
            </w:r>
          </w:p>
        </w:tc>
        <w:tc>
          <w:tcPr>
            <w:tcW w:type="dxa" w:w="794"/>
            <w:shd w:val="clear" w:color="auto" w:fill="E8EEF6"/>
          </w:tcPr>
          <w:p>
            <w:pPr>
              <w:spacing w:after="20"/>
            </w:pPr>
            <w:r/>
            <w:r>
              <w:rPr>
                <w:b/>
                <w:sz w:val="16"/>
              </w:rPr>
              <w:t>Rail 2022</w:t>
            </w:r>
          </w:p>
        </w:tc>
      </w:tr>
      <w:tr>
        <w:tc>
          <w:tcPr>
            <w:tcW w:type="dxa" w:w="1871"/>
          </w:tcPr>
          <w:p>
            <w:pPr>
              <w:spacing w:after="20"/>
            </w:pPr>
            <w:r/>
            <w:r>
              <w:rPr>
                <w:sz w:val="16"/>
              </w:rPr>
              <w:t>Corridor → corridor</w:t>
            </w:r>
          </w:p>
        </w:tc>
        <w:tc>
          <w:tcPr>
            <w:tcW w:type="dxa" w:w="964"/>
          </w:tcPr>
          <w:p>
            <w:pPr>
              <w:spacing w:after="20"/>
              <w:jc w:val="right"/>
            </w:pPr>
            <w:r/>
            <w:r>
              <w:rPr>
                <w:sz w:val="16"/>
              </w:rPr>
              <w:t>66,610</w:t>
            </w:r>
          </w:p>
        </w:tc>
        <w:tc>
          <w:tcPr>
            <w:tcW w:type="dxa" w:w="964"/>
          </w:tcPr>
          <w:p>
            <w:pPr>
              <w:spacing w:after="20"/>
              <w:jc w:val="right"/>
            </w:pPr>
            <w:r/>
            <w:r>
              <w:rPr>
                <w:sz w:val="16"/>
              </w:rPr>
              <w:t>72,331</w:t>
            </w:r>
          </w:p>
        </w:tc>
        <w:tc>
          <w:tcPr>
            <w:tcW w:type="dxa" w:w="850"/>
          </w:tcPr>
          <w:p>
            <w:pPr>
              <w:spacing w:after="20"/>
              <w:jc w:val="right"/>
            </w:pPr>
            <w:r/>
            <w:r>
              <w:rPr>
                <w:sz w:val="16"/>
              </w:rPr>
              <w:t>9,282</w:t>
            </w:r>
          </w:p>
        </w:tc>
        <w:tc>
          <w:tcPr>
            <w:tcW w:type="dxa" w:w="850"/>
          </w:tcPr>
          <w:p>
            <w:pPr>
              <w:spacing w:after="20"/>
              <w:jc w:val="right"/>
            </w:pPr>
            <w:r/>
            <w:r>
              <w:rPr>
                <w:sz w:val="16"/>
              </w:rPr>
              <w:t>9,366</w:t>
            </w:r>
          </w:p>
        </w:tc>
        <w:tc>
          <w:tcPr>
            <w:tcW w:type="dxa" w:w="794"/>
          </w:tcPr>
          <w:p>
            <w:pPr>
              <w:spacing w:after="20"/>
              <w:jc w:val="right"/>
            </w:pPr>
            <w:r/>
            <w:r>
              <w:rPr>
                <w:sz w:val="16"/>
              </w:rPr>
              <w:t>3,603</w:t>
            </w:r>
          </w:p>
        </w:tc>
        <w:tc>
          <w:tcPr>
            <w:tcW w:type="dxa" w:w="794"/>
          </w:tcPr>
          <w:p>
            <w:pPr>
              <w:spacing w:after="20"/>
              <w:jc w:val="right"/>
            </w:pPr>
            <w:r/>
            <w:r>
              <w:rPr>
                <w:sz w:val="16"/>
              </w:rPr>
              <w:t>3,812</w:t>
            </w:r>
          </w:p>
        </w:tc>
        <w:tc>
          <w:tcPr>
            <w:tcW w:type="dxa" w:w="794"/>
          </w:tcPr>
          <w:p>
            <w:pPr>
              <w:spacing w:after="20"/>
              <w:jc w:val="right"/>
            </w:pPr>
            <w:r/>
            <w:r>
              <w:rPr>
                <w:sz w:val="16"/>
              </w:rPr>
              <w:t>0</w:t>
            </w:r>
          </w:p>
        </w:tc>
        <w:tc>
          <w:tcPr>
            <w:tcW w:type="dxa" w:w="794"/>
          </w:tcPr>
          <w:p>
            <w:pPr>
              <w:spacing w:after="20"/>
              <w:jc w:val="right"/>
            </w:pPr>
            <w:r/>
            <w:r>
              <w:rPr>
                <w:sz w:val="16"/>
              </w:rPr>
              <w:t>0</w:t>
            </w:r>
          </w:p>
        </w:tc>
      </w:tr>
      <w:tr>
        <w:tc>
          <w:tcPr>
            <w:tcW w:type="dxa" w:w="1871"/>
          </w:tcPr>
          <w:p>
            <w:pPr>
              <w:spacing w:after="20"/>
            </w:pPr>
            <w:r/>
            <w:r>
              <w:rPr>
                <w:sz w:val="16"/>
              </w:rPr>
              <w:t>Corridor → outside</w:t>
            </w:r>
          </w:p>
        </w:tc>
        <w:tc>
          <w:tcPr>
            <w:tcW w:type="dxa" w:w="964"/>
          </w:tcPr>
          <w:p>
            <w:pPr>
              <w:spacing w:after="20"/>
              <w:jc w:val="right"/>
            </w:pPr>
            <w:r/>
            <w:r>
              <w:rPr>
                <w:sz w:val="16"/>
              </w:rPr>
              <w:t>44,039</w:t>
            </w:r>
          </w:p>
        </w:tc>
        <w:tc>
          <w:tcPr>
            <w:tcW w:type="dxa" w:w="964"/>
          </w:tcPr>
          <w:p>
            <w:pPr>
              <w:spacing w:after="20"/>
              <w:jc w:val="right"/>
            </w:pPr>
            <w:r/>
            <w:r>
              <w:rPr>
                <w:sz w:val="16"/>
              </w:rPr>
              <w:t>47,011</w:t>
            </w:r>
          </w:p>
        </w:tc>
        <w:tc>
          <w:tcPr>
            <w:tcW w:type="dxa" w:w="850"/>
          </w:tcPr>
          <w:p>
            <w:pPr>
              <w:spacing w:after="20"/>
              <w:jc w:val="right"/>
            </w:pPr>
            <w:r/>
            <w:r>
              <w:rPr>
                <w:sz w:val="16"/>
              </w:rPr>
              <w:t>9,786</w:t>
            </w:r>
          </w:p>
        </w:tc>
        <w:tc>
          <w:tcPr>
            <w:tcW w:type="dxa" w:w="850"/>
          </w:tcPr>
          <w:p>
            <w:pPr>
              <w:spacing w:after="20"/>
              <w:jc w:val="right"/>
            </w:pPr>
            <w:r/>
            <w:r>
              <w:rPr>
                <w:sz w:val="16"/>
              </w:rPr>
              <w:t>9,812</w:t>
            </w:r>
          </w:p>
        </w:tc>
        <w:tc>
          <w:tcPr>
            <w:tcW w:type="dxa" w:w="794"/>
          </w:tcPr>
          <w:p>
            <w:pPr>
              <w:spacing w:after="20"/>
              <w:jc w:val="right"/>
            </w:pPr>
            <w:r/>
            <w:r>
              <w:rPr>
                <w:sz w:val="16"/>
              </w:rPr>
              <w:t>1,264</w:t>
            </w:r>
          </w:p>
        </w:tc>
        <w:tc>
          <w:tcPr>
            <w:tcW w:type="dxa" w:w="794"/>
          </w:tcPr>
          <w:p>
            <w:pPr>
              <w:spacing w:after="20"/>
              <w:jc w:val="right"/>
            </w:pPr>
            <w:r/>
            <w:r>
              <w:rPr>
                <w:sz w:val="16"/>
              </w:rPr>
              <w:t>1,359</w:t>
            </w:r>
          </w:p>
        </w:tc>
        <w:tc>
          <w:tcPr>
            <w:tcW w:type="dxa" w:w="794"/>
          </w:tcPr>
          <w:p>
            <w:pPr>
              <w:spacing w:after="20"/>
              <w:jc w:val="right"/>
            </w:pPr>
            <w:r/>
            <w:r>
              <w:rPr>
                <w:sz w:val="16"/>
              </w:rPr>
              <w:t>368</w:t>
            </w:r>
          </w:p>
        </w:tc>
        <w:tc>
          <w:tcPr>
            <w:tcW w:type="dxa" w:w="794"/>
          </w:tcPr>
          <w:p>
            <w:pPr>
              <w:spacing w:after="20"/>
              <w:jc w:val="right"/>
            </w:pPr>
            <w:r/>
            <w:r>
              <w:rPr>
                <w:sz w:val="16"/>
              </w:rPr>
              <w:t>292</w:t>
            </w:r>
          </w:p>
        </w:tc>
      </w:tr>
      <w:tr>
        <w:tc>
          <w:tcPr>
            <w:tcW w:type="dxa" w:w="1871"/>
          </w:tcPr>
          <w:p>
            <w:pPr>
              <w:spacing w:after="20"/>
            </w:pPr>
            <w:r/>
            <w:r>
              <w:rPr>
                <w:sz w:val="16"/>
              </w:rPr>
              <w:t>Outside → corridor</w:t>
            </w:r>
          </w:p>
        </w:tc>
        <w:tc>
          <w:tcPr>
            <w:tcW w:type="dxa" w:w="964"/>
          </w:tcPr>
          <w:p>
            <w:pPr>
              <w:spacing w:after="20"/>
              <w:jc w:val="right"/>
            </w:pPr>
            <w:r/>
            <w:r>
              <w:rPr>
                <w:sz w:val="16"/>
              </w:rPr>
              <w:t>94,672</w:t>
            </w:r>
          </w:p>
        </w:tc>
        <w:tc>
          <w:tcPr>
            <w:tcW w:type="dxa" w:w="964"/>
          </w:tcPr>
          <w:p>
            <w:pPr>
              <w:spacing w:after="20"/>
              <w:jc w:val="right"/>
            </w:pPr>
            <w:r/>
            <w:r>
              <w:rPr>
                <w:sz w:val="16"/>
              </w:rPr>
              <w:t>89,181</w:t>
            </w:r>
          </w:p>
        </w:tc>
        <w:tc>
          <w:tcPr>
            <w:tcW w:type="dxa" w:w="850"/>
          </w:tcPr>
          <w:p>
            <w:pPr>
              <w:spacing w:after="20"/>
              <w:jc w:val="right"/>
            </w:pPr>
            <w:r/>
            <w:r>
              <w:rPr>
                <w:sz w:val="16"/>
              </w:rPr>
              <w:t>16,057</w:t>
            </w:r>
          </w:p>
        </w:tc>
        <w:tc>
          <w:tcPr>
            <w:tcW w:type="dxa" w:w="850"/>
          </w:tcPr>
          <w:p>
            <w:pPr>
              <w:spacing w:after="20"/>
              <w:jc w:val="right"/>
            </w:pPr>
            <w:r/>
            <w:r>
              <w:rPr>
                <w:sz w:val="16"/>
              </w:rPr>
              <w:t>16,181</w:t>
            </w:r>
          </w:p>
        </w:tc>
        <w:tc>
          <w:tcPr>
            <w:tcW w:type="dxa" w:w="794"/>
          </w:tcPr>
          <w:p>
            <w:pPr>
              <w:spacing w:after="20"/>
              <w:jc w:val="right"/>
            </w:pPr>
            <w:r/>
            <w:r>
              <w:rPr>
                <w:sz w:val="16"/>
              </w:rPr>
              <w:t>5,416</w:t>
            </w:r>
          </w:p>
        </w:tc>
        <w:tc>
          <w:tcPr>
            <w:tcW w:type="dxa" w:w="794"/>
          </w:tcPr>
          <w:p>
            <w:pPr>
              <w:spacing w:after="20"/>
              <w:jc w:val="right"/>
            </w:pPr>
            <w:r/>
            <w:r>
              <w:rPr>
                <w:sz w:val="16"/>
              </w:rPr>
              <w:t>5,479</w:t>
            </w:r>
          </w:p>
        </w:tc>
        <w:tc>
          <w:tcPr>
            <w:tcW w:type="dxa" w:w="794"/>
          </w:tcPr>
          <w:p>
            <w:pPr>
              <w:spacing w:after="20"/>
              <w:jc w:val="right"/>
            </w:pPr>
            <w:r/>
            <w:r>
              <w:rPr>
                <w:sz w:val="16"/>
              </w:rPr>
              <w:t>3,302</w:t>
            </w:r>
          </w:p>
        </w:tc>
        <w:tc>
          <w:tcPr>
            <w:tcW w:type="dxa" w:w="794"/>
          </w:tcPr>
          <w:p>
            <w:pPr>
              <w:spacing w:after="20"/>
              <w:jc w:val="right"/>
            </w:pPr>
            <w:r/>
            <w:r>
              <w:rPr>
                <w:sz w:val="16"/>
              </w:rPr>
              <w:t>2,618</w:t>
            </w:r>
          </w:p>
        </w:tc>
      </w:tr>
      <w:tr>
        <w:tc>
          <w:tcPr>
            <w:tcW w:type="dxa" w:w="1871"/>
          </w:tcPr>
          <w:p>
            <w:pPr>
              <w:spacing w:after="20"/>
            </w:pPr>
            <w:r/>
            <w:r>
              <w:rPr>
                <w:sz w:val="16"/>
              </w:rPr>
              <w:t>Outside → outside</w:t>
            </w:r>
          </w:p>
        </w:tc>
        <w:tc>
          <w:tcPr>
            <w:tcW w:type="dxa" w:w="964"/>
          </w:tcPr>
          <w:p>
            <w:pPr>
              <w:spacing w:after="20"/>
              <w:jc w:val="right"/>
            </w:pPr>
            <w:r/>
            <w:r>
              <w:rPr>
                <w:sz w:val="16"/>
              </w:rPr>
              <w:t>1,078,268</w:t>
            </w:r>
          </w:p>
        </w:tc>
        <w:tc>
          <w:tcPr>
            <w:tcW w:type="dxa" w:w="964"/>
          </w:tcPr>
          <w:p>
            <w:pPr>
              <w:spacing w:after="20"/>
              <w:jc w:val="right"/>
            </w:pPr>
            <w:r/>
            <w:r>
              <w:rPr>
                <w:sz w:val="16"/>
              </w:rPr>
              <w:t>1,145,275</w:t>
            </w:r>
          </w:p>
        </w:tc>
        <w:tc>
          <w:tcPr>
            <w:tcW w:type="dxa" w:w="850"/>
          </w:tcPr>
          <w:p>
            <w:pPr>
              <w:spacing w:after="20"/>
              <w:jc w:val="right"/>
            </w:pPr>
            <w:r/>
            <w:r>
              <w:rPr>
                <w:sz w:val="16"/>
              </w:rPr>
              <w:t>90,992</w:t>
            </w:r>
          </w:p>
        </w:tc>
        <w:tc>
          <w:tcPr>
            <w:tcW w:type="dxa" w:w="850"/>
          </w:tcPr>
          <w:p>
            <w:pPr>
              <w:spacing w:after="20"/>
              <w:jc w:val="right"/>
            </w:pPr>
            <w:r/>
            <w:r>
              <w:rPr>
                <w:sz w:val="16"/>
              </w:rPr>
              <w:t>94,293</w:t>
            </w:r>
          </w:p>
        </w:tc>
        <w:tc>
          <w:tcPr>
            <w:tcW w:type="dxa" w:w="794"/>
          </w:tcPr>
          <w:p>
            <w:pPr>
              <w:spacing w:after="20"/>
              <w:jc w:val="right"/>
            </w:pPr>
            <w:r/>
            <w:r>
              <w:rPr>
                <w:sz w:val="16"/>
              </w:rPr>
              <w:t>7,983</w:t>
            </w:r>
          </w:p>
        </w:tc>
        <w:tc>
          <w:tcPr>
            <w:tcW w:type="dxa" w:w="794"/>
          </w:tcPr>
          <w:p>
            <w:pPr>
              <w:spacing w:after="20"/>
              <w:jc w:val="right"/>
            </w:pPr>
            <w:r/>
            <w:r>
              <w:rPr>
                <w:sz w:val="16"/>
              </w:rPr>
              <w:t>8,709</w:t>
            </w:r>
          </w:p>
        </w:tc>
        <w:tc>
          <w:tcPr>
            <w:tcW w:type="dxa" w:w="794"/>
          </w:tcPr>
          <w:p>
            <w:pPr>
              <w:spacing w:after="20"/>
              <w:jc w:val="right"/>
            </w:pPr>
            <w:r/>
            <w:r>
              <w:rPr>
                <w:sz w:val="16"/>
              </w:rPr>
              <w:t>1,439</w:t>
            </w:r>
          </w:p>
        </w:tc>
        <w:tc>
          <w:tcPr>
            <w:tcW w:type="dxa" w:w="794"/>
          </w:tcPr>
          <w:p>
            <w:pPr>
              <w:spacing w:after="20"/>
              <w:jc w:val="right"/>
            </w:pPr>
            <w:r/>
            <w:r>
              <w:rPr>
                <w:sz w:val="16"/>
              </w:rPr>
              <w:t>1,141</w:t>
            </w:r>
          </w:p>
        </w:tc>
      </w:tr>
      <w:tr>
        <w:tc>
          <w:tcPr>
            <w:tcW w:type="dxa" w:w="1871"/>
          </w:tcPr>
          <w:p>
            <w:pPr>
              <w:spacing w:after="20"/>
            </w:pPr>
            <w:r/>
            <w:r>
              <w:rPr>
                <w:sz w:val="16"/>
              </w:rPr>
              <w:t>All</w:t>
            </w:r>
          </w:p>
        </w:tc>
        <w:tc>
          <w:tcPr>
            <w:tcW w:type="dxa" w:w="964"/>
          </w:tcPr>
          <w:p>
            <w:pPr>
              <w:spacing w:after="20"/>
              <w:jc w:val="right"/>
            </w:pPr>
            <w:r/>
            <w:r>
              <w:rPr>
                <w:sz w:val="16"/>
              </w:rPr>
              <w:t>1,283,589</w:t>
            </w:r>
          </w:p>
        </w:tc>
        <w:tc>
          <w:tcPr>
            <w:tcW w:type="dxa" w:w="964"/>
          </w:tcPr>
          <w:p>
            <w:pPr>
              <w:spacing w:after="20"/>
              <w:jc w:val="right"/>
            </w:pPr>
            <w:r/>
            <w:r>
              <w:rPr>
                <w:sz w:val="16"/>
              </w:rPr>
              <w:t>1,353,798</w:t>
            </w:r>
          </w:p>
        </w:tc>
        <w:tc>
          <w:tcPr>
            <w:tcW w:type="dxa" w:w="850"/>
          </w:tcPr>
          <w:p>
            <w:pPr>
              <w:spacing w:after="20"/>
              <w:jc w:val="right"/>
            </w:pPr>
            <w:r/>
            <w:r>
              <w:rPr>
                <w:sz w:val="16"/>
              </w:rPr>
              <w:t>126,117</w:t>
            </w:r>
          </w:p>
        </w:tc>
        <w:tc>
          <w:tcPr>
            <w:tcW w:type="dxa" w:w="850"/>
          </w:tcPr>
          <w:p>
            <w:pPr>
              <w:spacing w:after="20"/>
              <w:jc w:val="right"/>
            </w:pPr>
            <w:r/>
            <w:r>
              <w:rPr>
                <w:sz w:val="16"/>
              </w:rPr>
              <w:t>129,653</w:t>
            </w:r>
          </w:p>
        </w:tc>
        <w:tc>
          <w:tcPr>
            <w:tcW w:type="dxa" w:w="794"/>
          </w:tcPr>
          <w:p>
            <w:pPr>
              <w:spacing w:after="20"/>
              <w:jc w:val="right"/>
            </w:pPr>
            <w:r/>
            <w:r>
              <w:rPr>
                <w:sz w:val="16"/>
              </w:rPr>
              <w:t>18,266</w:t>
            </w:r>
          </w:p>
        </w:tc>
        <w:tc>
          <w:tcPr>
            <w:tcW w:type="dxa" w:w="794"/>
          </w:tcPr>
          <w:p>
            <w:pPr>
              <w:spacing w:after="20"/>
              <w:jc w:val="right"/>
            </w:pPr>
            <w:r/>
            <w:r>
              <w:rPr>
                <w:sz w:val="16"/>
              </w:rPr>
              <w:t>19,359</w:t>
            </w:r>
          </w:p>
        </w:tc>
        <w:tc>
          <w:tcPr>
            <w:tcW w:type="dxa" w:w="794"/>
          </w:tcPr>
          <w:p>
            <w:pPr>
              <w:spacing w:after="20"/>
              <w:jc w:val="right"/>
            </w:pPr>
            <w:r/>
            <w:r>
              <w:rPr>
                <w:sz w:val="16"/>
              </w:rPr>
              <w:t>5,109</w:t>
            </w:r>
          </w:p>
        </w:tc>
        <w:tc>
          <w:tcPr>
            <w:tcW w:type="dxa" w:w="794"/>
          </w:tcPr>
          <w:p>
            <w:pPr>
              <w:spacing w:after="20"/>
              <w:jc w:val="right"/>
            </w:pPr>
            <w:r/>
            <w:r>
              <w:rPr>
                <w:sz w:val="16"/>
              </w:rPr>
              <w:t>4,050</w:t>
            </w:r>
          </w:p>
        </w:tc>
      </w:tr>
    </w:tbl>
    <w:p>
      <w:pPr>
        <w:spacing w:after="40"/>
      </w:pPr>
    </w:p>
    <w:p>
      <w:r>
        <w:rPr>
          <w:i/>
          <w:color w:val="52514E"/>
          <w:sz w:val="18"/>
        </w:rPr>
        <w:t>The four 2022 layers by corridor class.</w:t>
      </w:r>
    </w:p>
    <w:p>
      <w:r>
        <w:rPr>
          <w:i w:val="0"/>
        </w:rPr>
        <w:t>Two things stand out. Car trips from outside into the corridor fall by 6 % while every other class grows, because the BU-2025 forecast puts employment growth in the corridor TAZs below the regional average; it is a property of the demographic scenario, not of the survey. And the survey rail matrix has no trips with both ends in the corridor at all: rail trips are few in the survey (54 observed over two days) and mostly cross the study boundary. The station-based smartcard matrix, scaled to 2022, carries 763 trips with both stations in the sub-area.</w:t>
      </w:r>
    </w:p>
    <w:p>
      <w:pPr>
        <w:jc w:val="center"/>
      </w:pPr>
      <w:r>
        <w:drawing>
          <wp:inline xmlns:a="http://schemas.openxmlformats.org/drawingml/2006/main" xmlns:pic="http://schemas.openxmlformats.org/drawingml/2006/picture">
            <wp:extent cx="5724000" cy="1961927"/>
            <wp:docPr id="9" name="Picture 9"/>
            <wp:cNvGraphicFramePr>
              <a:graphicFrameLocks noChangeAspect="1"/>
            </wp:cNvGraphicFramePr>
            <a:graphic>
              <a:graphicData uri="http://schemas.openxmlformats.org/drawingml/2006/picture">
                <pic:pic>
                  <pic:nvPicPr>
                    <pic:cNvPr id="0" name="three_mode_2022.png"/>
                    <pic:cNvPicPr/>
                  </pic:nvPicPr>
                  <pic:blipFill>
                    <a:blip r:embed="rId17"/>
                    <a:stretch>
                      <a:fillRect/>
                    </a:stretch>
                  </pic:blipFill>
                  <pic:spPr>
                    <a:xfrm>
                      <a:off x="0" y="0"/>
                      <a:ext cx="5724000" cy="1961927"/>
                    </a:xfrm>
                    <a:prstGeom prst="rect"/>
                  </pic:spPr>
                </pic:pic>
              </a:graphicData>
            </a:graphic>
          </wp:inline>
        </w:drawing>
      </w:r>
    </w:p>
    <w:p>
      <w:r>
        <w:rPr>
          <w:i/>
          <w:color w:val="52514E"/>
          <w:sz w:val="18"/>
        </w:rPr>
        <w:t>Figure 7. Left: bus, taxi-type and rail shares by corridor class, 2018 and 2022 bases. Right: growth factors 2018 → 2022 by superzone.</w:t>
      </w:r>
    </w:p>
    <w:p>
      <w:pPr>
        <w:pStyle w:val="Heading1"/>
      </w:pPr>
      <w:r>
        <w:t>7. Part E — the 2022 layers along the LRT line</w:t>
      </w:r>
    </w:p>
    <w:p>
      <w:pPr>
        <w:pStyle w:val="Heading2"/>
      </w:pPr>
      <w:r>
        <w:t>7.1 What a corridor profile is here</w:t>
      </w:r>
    </w:p>
    <w:p>
      <w:r>
        <w:rPr>
          <w:i w:val="0"/>
        </w:rPr>
        <w:t>The 18 sub-areas that the line passes through are put in order from Tirat Carmel to the Nazareth area. Every trip between two of them is counted on every link between them, in its direction of travel. The result is a profile of potential movements: how many morning trips between line areas could use each link if all of them did. It is a three-hour total. It is not a passenger load, because it says nothing about whether those travellers can reach a station, would choose the LRT over a parallel bus, or travel in the busiest hour; and it is not an upper bound on LRT demand, because trips with one end off the line are not in it.</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438"/>
            <w:shd w:val="clear" w:color="auto" w:fill="E8EEF6"/>
          </w:tcPr>
          <w:p>
            <w:pPr>
              <w:spacing w:after="20"/>
            </w:pPr>
            <w:r/>
            <w:r>
              <w:rPr>
                <w:b/>
                <w:sz w:val="18"/>
              </w:rPr>
              <w:t>Profile (2022, survey-based layers)</w:t>
            </w:r>
          </w:p>
        </w:tc>
        <w:tc>
          <w:tcPr>
            <w:tcW w:type="dxa" w:w="1474"/>
            <w:shd w:val="clear" w:color="auto" w:fill="E8EEF6"/>
          </w:tcPr>
          <w:p>
            <w:pPr>
              <w:spacing w:after="20"/>
            </w:pPr>
            <w:r/>
            <w:r>
              <w:rPr>
                <w:b/>
                <w:sz w:val="18"/>
              </w:rPr>
              <w:t>Trips between line areas</w:t>
            </w:r>
          </w:p>
        </w:tc>
        <w:tc>
          <w:tcPr>
            <w:tcW w:type="dxa" w:w="2494"/>
            <w:shd w:val="clear" w:color="auto" w:fill="E8EEF6"/>
          </w:tcPr>
          <w:p>
            <w:pPr>
              <w:spacing w:after="20"/>
            </w:pPr>
            <w:r/>
            <w:r>
              <w:rPr>
                <w:b/>
                <w:sz w:val="18"/>
              </w:rPr>
              <w:t>Peak link</w:t>
            </w:r>
          </w:p>
        </w:tc>
        <w:tc>
          <w:tcPr>
            <w:tcW w:type="dxa" w:w="1191"/>
            <w:shd w:val="clear" w:color="auto" w:fill="E8EEF6"/>
          </w:tcPr>
          <w:p>
            <w:pPr>
              <w:spacing w:after="20"/>
            </w:pPr>
            <w:r/>
            <w:r>
              <w:rPr>
                <w:b/>
                <w:sz w:val="18"/>
              </w:rPr>
              <w:t>Peak, towards Nazareth</w:t>
            </w:r>
          </w:p>
        </w:tc>
        <w:tc>
          <w:tcPr>
            <w:tcW w:type="dxa" w:w="1191"/>
            <w:shd w:val="clear" w:color="auto" w:fill="E8EEF6"/>
          </w:tcPr>
          <w:p>
            <w:pPr>
              <w:spacing w:after="20"/>
            </w:pPr>
            <w:r/>
            <w:r>
              <w:rPr>
                <w:b/>
                <w:sz w:val="18"/>
              </w:rPr>
              <w:t>Peak, towards Tirat Carmel</w:t>
            </w:r>
          </w:p>
        </w:tc>
      </w:tr>
      <w:tr>
        <w:tc>
          <w:tcPr>
            <w:tcW w:type="dxa" w:w="2438"/>
          </w:tcPr>
          <w:p>
            <w:pPr>
              <w:spacing w:after="20"/>
            </w:pPr>
            <w:r/>
            <w:r>
              <w:rPr>
                <w:sz w:val="18"/>
              </w:rPr>
              <w:t>Total (car + bus + taxi + rail)</w:t>
            </w:r>
          </w:p>
        </w:tc>
        <w:tc>
          <w:tcPr>
            <w:tcW w:type="dxa" w:w="1474"/>
          </w:tcPr>
          <w:p>
            <w:pPr>
              <w:spacing w:after="20"/>
              <w:jc w:val="right"/>
            </w:pPr>
            <w:r/>
            <w:r>
              <w:rPr>
                <w:sz w:val="18"/>
              </w:rPr>
              <w:t>71,113</w:t>
            </w:r>
          </w:p>
        </w:tc>
        <w:tc>
          <w:tcPr>
            <w:tcW w:type="dxa" w:w="2494"/>
          </w:tcPr>
          <w:p>
            <w:pPr>
              <w:spacing w:after="20"/>
              <w:jc w:val="right"/>
            </w:pPr>
            <w:r/>
            <w:r>
              <w:rPr>
                <w:sz w:val="18"/>
              </w:rPr>
              <w:t>Bat Galim – Kiryat Eliezer</w:t>
            </w:r>
          </w:p>
        </w:tc>
        <w:tc>
          <w:tcPr>
            <w:tcW w:type="dxa" w:w="1191"/>
          </w:tcPr>
          <w:p>
            <w:pPr>
              <w:spacing w:after="20"/>
              <w:jc w:val="right"/>
            </w:pPr>
            <w:r/>
            <w:r>
              <w:rPr>
                <w:sz w:val="18"/>
              </w:rPr>
              <w:t>6,852</w:t>
            </w:r>
          </w:p>
        </w:tc>
        <w:tc>
          <w:tcPr>
            <w:tcW w:type="dxa" w:w="1191"/>
          </w:tcPr>
          <w:p>
            <w:pPr>
              <w:spacing w:after="20"/>
              <w:jc w:val="right"/>
            </w:pPr>
            <w:r/>
            <w:r>
              <w:rPr>
                <w:sz w:val="18"/>
              </w:rPr>
              <w:t>6,847</w:t>
            </w:r>
          </w:p>
        </w:tc>
      </w:tr>
      <w:tr>
        <w:tc>
          <w:tcPr>
            <w:tcW w:type="dxa" w:w="2438"/>
          </w:tcPr>
          <w:p>
            <w:pPr>
              <w:spacing w:after="20"/>
            </w:pPr>
            <w:r/>
            <w:r>
              <w:rPr>
                <w:sz w:val="18"/>
              </w:rPr>
              <w:t>Transit (bus + rail)</w:t>
            </w:r>
          </w:p>
        </w:tc>
        <w:tc>
          <w:tcPr>
            <w:tcW w:type="dxa" w:w="1474"/>
          </w:tcPr>
          <w:p>
            <w:pPr>
              <w:spacing w:after="20"/>
              <w:jc w:val="right"/>
            </w:pPr>
            <w:r/>
            <w:r>
              <w:rPr>
                <w:sz w:val="18"/>
              </w:rPr>
              <w:t>8,622</w:t>
            </w:r>
          </w:p>
        </w:tc>
        <w:tc>
          <w:tcPr>
            <w:tcW w:type="dxa" w:w="2494"/>
          </w:tcPr>
          <w:p>
            <w:pPr>
              <w:spacing w:after="20"/>
              <w:jc w:val="right"/>
            </w:pPr>
            <w:r/>
            <w:r>
              <w:rPr>
                <w:sz w:val="18"/>
              </w:rPr>
              <w:t>Ein Hayam – Bat Galim / Neot Peres – Neve David</w:t>
            </w:r>
          </w:p>
        </w:tc>
        <w:tc>
          <w:tcPr>
            <w:tcW w:type="dxa" w:w="1191"/>
          </w:tcPr>
          <w:p>
            <w:pPr>
              <w:spacing w:after="20"/>
              <w:jc w:val="right"/>
            </w:pPr>
            <w:r/>
            <w:r>
              <w:rPr>
                <w:sz w:val="18"/>
              </w:rPr>
              <w:t>1,661</w:t>
            </w:r>
          </w:p>
        </w:tc>
        <w:tc>
          <w:tcPr>
            <w:tcW w:type="dxa" w:w="1191"/>
          </w:tcPr>
          <w:p>
            <w:pPr>
              <w:spacing w:after="20"/>
              <w:jc w:val="right"/>
            </w:pPr>
            <w:r/>
            <w:r>
              <w:rPr>
                <w:sz w:val="18"/>
              </w:rPr>
              <w:t>1,650</w:t>
            </w:r>
          </w:p>
        </w:tc>
      </w:tr>
      <w:tr>
        <w:tc>
          <w:tcPr>
            <w:tcW w:type="dxa" w:w="2438"/>
          </w:tcPr>
          <w:p>
            <w:pPr>
              <w:spacing w:after="20"/>
            </w:pPr>
            <w:r/>
            <w:r>
              <w:rPr>
                <w:sz w:val="18"/>
              </w:rPr>
              <w:t>Taxi-type (separate)</w:t>
            </w:r>
          </w:p>
        </w:tc>
        <w:tc>
          <w:tcPr>
            <w:tcW w:type="dxa" w:w="1474"/>
          </w:tcPr>
          <w:p>
            <w:pPr>
              <w:spacing w:after="20"/>
              <w:jc w:val="right"/>
            </w:pPr>
            <w:r/>
            <w:r>
              <w:rPr>
                <w:sz w:val="18"/>
              </w:rPr>
              <w:t>3,606</w:t>
            </w:r>
          </w:p>
        </w:tc>
        <w:tc>
          <w:tcPr>
            <w:tcW w:type="dxa" w:w="2494"/>
          </w:tcPr>
          <w:p>
            <w:pPr>
              <w:spacing w:after="20"/>
              <w:jc w:val="right"/>
            </w:pPr>
            <w:r/>
            <w:r>
              <w:rPr>
                <w:sz w:val="18"/>
              </w:rPr>
              <w:t>Ein Hayam – Bat Galim</w:t>
            </w:r>
          </w:p>
        </w:tc>
        <w:tc>
          <w:tcPr>
            <w:tcW w:type="dxa" w:w="1191"/>
          </w:tcPr>
          <w:p>
            <w:pPr>
              <w:spacing w:after="20"/>
              <w:jc w:val="right"/>
            </w:pPr>
            <w:r/>
            <w:r>
              <w:rPr>
                <w:sz w:val="18"/>
              </w:rPr>
              <w:t>1,415</w:t>
            </w:r>
          </w:p>
        </w:tc>
        <w:tc>
          <w:tcPr>
            <w:tcW w:type="dxa" w:w="1191"/>
          </w:tcPr>
          <w:p>
            <w:pPr>
              <w:spacing w:after="20"/>
              <w:jc w:val="right"/>
            </w:pPr>
            <w:r/>
            <w:r>
              <w:rPr>
                <w:sz w:val="18"/>
              </w:rPr>
              <w:t>608</w:t>
            </w:r>
          </w:p>
        </w:tc>
      </w:tr>
    </w:tbl>
    <w:p>
      <w:pPr>
        <w:spacing w:after="40"/>
      </w:pPr>
    </w:p>
    <w:p>
      <w:pPr>
        <w:jc w:val="center"/>
      </w:pPr>
      <w:r>
        <w:drawing>
          <wp:inline xmlns:a="http://schemas.openxmlformats.org/drawingml/2006/main" xmlns:pic="http://schemas.openxmlformats.org/drawingml/2006/picture">
            <wp:extent cx="5724000" cy="1977285"/>
            <wp:docPr id="10" name="Picture 10"/>
            <wp:cNvGraphicFramePr>
              <a:graphicFrameLocks noChangeAspect="1"/>
            </wp:cNvGraphicFramePr>
            <a:graphic>
              <a:graphicData uri="http://schemas.openxmlformats.org/drawingml/2006/picture">
                <pic:pic>
                  <pic:nvPicPr>
                    <pic:cNvPr id="0" name="corridor_flow_profile_transit_survey2022.png"/>
                    <pic:cNvPicPr/>
                  </pic:nvPicPr>
                  <pic:blipFill>
                    <a:blip r:embed="rId18"/>
                    <a:stretch>
                      <a:fillRect/>
                    </a:stretch>
                  </pic:blipFill>
                  <pic:spPr>
                    <a:xfrm>
                      <a:off x="0" y="0"/>
                      <a:ext cx="5724000" cy="1977285"/>
                    </a:xfrm>
                    <a:prstGeom prst="rect"/>
                  </pic:spPr>
                </pic:pic>
              </a:graphicData>
            </a:graphic>
          </wp:inline>
        </w:drawing>
      </w:r>
    </w:p>
    <w:p>
      <w:r>
        <w:rPr>
          <w:i/>
          <w:color w:val="52514E"/>
          <w:sz w:val="18"/>
        </w:rPr>
        <w:t>Figure 8. Transit potential movements (bus + rail) along the line, both directions, three-hour totals; taxi-type dotted; the earlier ticketing-based profile dashed.</w:t>
      </w:r>
    </w:p>
    <w:p>
      <w:pPr>
        <w:pStyle w:val="Heading2"/>
      </w:pPr>
      <w:r>
        <w:t>7.2 Compared with the ticketing-based profile</w:t>
      </w:r>
    </w:p>
    <w:p>
      <w:r>
        <w:rPr>
          <w:i w:val="0"/>
        </w:rPr>
        <w:t>The repository also has a transit profile built from the ticketing matrix (RavKav journeys × on-board destinations, plus the station train matrix). Comparing the two, like for like (bus + rail in both), gives one agreement and one disagreement.</w:t>
      </w:r>
    </w:p>
    <w:p>
      <w:r>
        <w:rPr>
          <w:i w:val="0"/>
        </w:rPr>
        <w:t>Towards Nazareth the profiles agree: the calibrated survey sits at 0.63 to 1.05 times the ticketing profile along the Haifa segment. Revision 1 reported the survey-based profile as 1.5 times the ticketing one in this direction; the entire excess was the taxi-type layer, which is now shown on its own.</w:t>
      </w:r>
    </w:p>
    <w:p>
      <w:r>
        <w:rPr>
          <w:i w:val="0"/>
        </w:rPr>
        <w:t>Towards Tirat Carmel the ticketing profile is about twice the survey-based one from Bat Galim to Kiryat Bialik South and about three times at the Nazareth end. Revision 1 attributed this to the coverage guard keeping survey volumes in Nazareth, and expected the segmented rule to close it. It did not, and on inspection it could not. At superzone level Nazareth's corridor-bound trips are three quarters covered and are calibrated to the ticketing volume. The difference is in where those trips land: the survey spreads Nazareth's Haifa-bound trips over Haifa TAZs by employment, ticketing places them at alighting stops on the trunk routes through the line areas; and at Hamifrats and Neve Yosef ticketing attributes journeys to the transfer point. These are two frames, a person-journey frame and a boarding frame. They should be kept as separate products until an access and transfer model links them, which is the review's recommendation and the task list's.</w:t>
      </w:r>
    </w:p>
    <w:p>
      <w:pPr>
        <w:jc w:val="center"/>
      </w:pPr>
      <w:r>
        <w:drawing>
          <wp:inline xmlns:a="http://schemas.openxmlformats.org/drawingml/2006/main" xmlns:pic="http://schemas.openxmlformats.org/drawingml/2006/picture">
            <wp:extent cx="5724000" cy="4207692"/>
            <wp:docPr id="11" name="Picture 11"/>
            <wp:cNvGraphicFramePr>
              <a:graphicFrameLocks noChangeAspect="1"/>
            </wp:cNvGraphicFramePr>
            <a:graphic>
              <a:graphicData uri="http://schemas.openxmlformats.org/drawingml/2006/picture">
                <pic:pic>
                  <pic:nvPicPr>
                    <pic:cNvPr id="0" name="corridor_profile_hybrid_vs_ticketing.png"/>
                    <pic:cNvPicPr/>
                  </pic:nvPicPr>
                  <pic:blipFill>
                    <a:blip r:embed="rId19"/>
                    <a:stretch>
                      <a:fillRect/>
                    </a:stretch>
                  </pic:blipFill>
                  <pic:spPr>
                    <a:xfrm>
                      <a:off x="0" y="0"/>
                      <a:ext cx="5724000" cy="4207692"/>
                    </a:xfrm>
                    <a:prstGeom prst="rect"/>
                  </pic:spPr>
                </pic:pic>
              </a:graphicData>
            </a:graphic>
          </wp:inline>
        </w:drawing>
      </w:r>
    </w:p>
    <w:p>
      <w:r>
        <w:rPr>
          <w:i/>
          <w:color w:val="52514E"/>
          <w:sz w:val="18"/>
        </w:rPr>
        <w:t>Figure 9. Bus and transit potential movements by direction: raw 2018 survey, ticketing volumes everywhere, the calibrated survey and the ticketing-based profile.</w:t>
      </w:r>
    </w:p>
    <w:p>
      <w:pPr>
        <w:pStyle w:val="Heading2"/>
      </w:pPr>
      <w:r>
        <w:t>7.3 The peak hour (new in revision 2.1)</w:t>
      </w:r>
    </w:p>
    <w:p>
      <w:r>
        <w:rPr>
          <w:i w:val="0"/>
        </w:rPr>
        <w:t>Everything above is a three-hour total. The survey records the departure time of every trip to the minute, so the busiest hour can be found directly. Trips were binned in 15-minute intervals over 06:00–09:00; the peak hour is the 60-minute window, in 15-minute steps, that holds the largest share of trips. Two factors describe it: the share of the three hours that falls in the peak hour (an average hour would be 0.333), and the conventional within-hour factor, peak-hour trips divided by four times the busiest quarter-hour (1.0 means a flat hour).</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47"/>
            <w:shd w:val="clear" w:color="auto" w:fill="E8EEF6"/>
          </w:tcPr>
          <w:p>
            <w:pPr>
              <w:spacing w:after="20"/>
            </w:pPr>
            <w:r/>
            <w:r>
              <w:rPr>
                <w:b/>
                <w:sz w:val="16"/>
              </w:rPr>
              <w:t>Layer</w:t>
            </w:r>
          </w:p>
        </w:tc>
        <w:tc>
          <w:tcPr>
            <w:tcW w:type="dxa" w:w="1247"/>
            <w:shd w:val="clear" w:color="auto" w:fill="E8EEF6"/>
          </w:tcPr>
          <w:p>
            <w:pPr>
              <w:spacing w:after="20"/>
            </w:pPr>
            <w:r/>
            <w:r>
              <w:rPr>
                <w:b/>
                <w:sz w:val="16"/>
              </w:rPr>
              <w:t>Peak hour</w:t>
            </w:r>
          </w:p>
        </w:tc>
        <w:tc>
          <w:tcPr>
            <w:tcW w:type="dxa" w:w="1361"/>
            <w:shd w:val="clear" w:color="auto" w:fill="E8EEF6"/>
          </w:tcPr>
          <w:p>
            <w:pPr>
              <w:spacing w:after="20"/>
            </w:pPr>
            <w:r/>
            <w:r>
              <w:rPr>
                <w:b/>
                <w:sz w:val="16"/>
              </w:rPr>
              <w:t>Share of the 3 hours (study area)</w:t>
            </w:r>
          </w:p>
        </w:tc>
        <w:tc>
          <w:tcPr>
            <w:tcW w:type="dxa" w:w="1134"/>
            <w:shd w:val="clear" w:color="auto" w:fill="E8EEF6"/>
          </w:tcPr>
          <w:p>
            <w:pPr>
              <w:spacing w:after="20"/>
            </w:pPr>
            <w:r/>
            <w:r>
              <w:rPr>
                <w:b/>
                <w:sz w:val="16"/>
              </w:rPr>
              <w:t>Within-hour factor</w:t>
            </w:r>
          </w:p>
        </w:tc>
        <w:tc>
          <w:tcPr>
            <w:tcW w:type="dxa" w:w="1474"/>
            <w:shd w:val="clear" w:color="auto" w:fill="E8EEF6"/>
          </w:tcPr>
          <w:p>
            <w:pPr>
              <w:spacing w:after="20"/>
            </w:pPr>
            <w:r/>
            <w:r>
              <w:rPr>
                <w:b/>
                <w:sz w:val="16"/>
              </w:rPr>
              <w:t>Corridor, towards Nazareth (sampled trips)</w:t>
            </w:r>
          </w:p>
        </w:tc>
        <w:tc>
          <w:tcPr>
            <w:tcW w:type="dxa" w:w="1474"/>
            <w:shd w:val="clear" w:color="auto" w:fill="E8EEF6"/>
          </w:tcPr>
          <w:p>
            <w:pPr>
              <w:spacing w:after="20"/>
            </w:pPr>
            <w:r/>
            <w:r>
              <w:rPr>
                <w:b/>
                <w:sz w:val="16"/>
              </w:rPr>
              <w:t>Corridor, towards Tirat Carmel (sampled trips)</w:t>
            </w:r>
          </w:p>
        </w:tc>
        <w:tc>
          <w:tcPr>
            <w:tcW w:type="dxa" w:w="1417"/>
            <w:shd w:val="clear" w:color="auto" w:fill="E8EEF6"/>
          </w:tcPr>
          <w:p>
            <w:pPr>
              <w:spacing w:after="20"/>
            </w:pPr>
            <w:r/>
            <w:r>
              <w:rPr>
                <w:b/>
                <w:sz w:val="16"/>
              </w:rPr>
              <w:t>Factor applied</w:t>
            </w:r>
          </w:p>
        </w:tc>
      </w:tr>
      <w:tr>
        <w:tc>
          <w:tcPr>
            <w:tcW w:type="dxa" w:w="1247"/>
          </w:tcPr>
          <w:p>
            <w:pPr>
              <w:spacing w:after="20"/>
            </w:pPr>
            <w:r/>
            <w:r>
              <w:rPr>
                <w:sz w:val="16"/>
              </w:rPr>
              <w:t>Car</w:t>
            </w:r>
          </w:p>
        </w:tc>
        <w:tc>
          <w:tcPr>
            <w:tcW w:type="dxa" w:w="1247"/>
          </w:tcPr>
          <w:p>
            <w:pPr>
              <w:spacing w:after="20"/>
              <w:jc w:val="right"/>
            </w:pPr>
            <w:r/>
            <w:r>
              <w:rPr>
                <w:sz w:val="16"/>
              </w:rPr>
              <w:t>07:00–08:00</w:t>
            </w:r>
          </w:p>
        </w:tc>
        <w:tc>
          <w:tcPr>
            <w:tcW w:type="dxa" w:w="1361"/>
          </w:tcPr>
          <w:p>
            <w:pPr>
              <w:spacing w:after="20"/>
              <w:jc w:val="right"/>
            </w:pPr>
            <w:r/>
            <w:r>
              <w:rPr>
                <w:sz w:val="16"/>
              </w:rPr>
              <w:t>0.62</w:t>
            </w:r>
          </w:p>
        </w:tc>
        <w:tc>
          <w:tcPr>
            <w:tcW w:type="dxa" w:w="1134"/>
          </w:tcPr>
          <w:p>
            <w:pPr>
              <w:spacing w:after="20"/>
              <w:jc w:val="right"/>
            </w:pPr>
            <w:r/>
            <w:r>
              <w:rPr>
                <w:sz w:val="16"/>
              </w:rPr>
              <w:t>0.69</w:t>
            </w:r>
          </w:p>
        </w:tc>
        <w:tc>
          <w:tcPr>
            <w:tcW w:type="dxa" w:w="1474"/>
          </w:tcPr>
          <w:p>
            <w:pPr>
              <w:spacing w:after="20"/>
              <w:jc w:val="right"/>
            </w:pPr>
            <w:r/>
            <w:r>
              <w:rPr>
                <w:sz w:val="16"/>
              </w:rPr>
              <w:t>0.66 (194)</w:t>
            </w:r>
          </w:p>
        </w:tc>
        <w:tc>
          <w:tcPr>
            <w:tcW w:type="dxa" w:w="1474"/>
          </w:tcPr>
          <w:p>
            <w:pPr>
              <w:spacing w:after="20"/>
              <w:jc w:val="right"/>
            </w:pPr>
            <w:r/>
            <w:r>
              <w:rPr>
                <w:sz w:val="16"/>
              </w:rPr>
              <w:t>0.63 (236)</w:t>
            </w:r>
          </w:p>
        </w:tc>
        <w:tc>
          <w:tcPr>
            <w:tcW w:type="dxa" w:w="1417"/>
          </w:tcPr>
          <w:p>
            <w:pPr>
              <w:spacing w:after="20"/>
              <w:jc w:val="right"/>
            </w:pPr>
            <w:r/>
            <w:r>
              <w:rPr>
                <w:sz w:val="16"/>
              </w:rPr>
              <w:t>corridor, by direction</w:t>
            </w:r>
          </w:p>
        </w:tc>
      </w:tr>
      <w:tr>
        <w:tc>
          <w:tcPr>
            <w:tcW w:type="dxa" w:w="1247"/>
          </w:tcPr>
          <w:p>
            <w:pPr>
              <w:spacing w:after="20"/>
            </w:pPr>
            <w:r/>
            <w:r>
              <w:rPr>
                <w:sz w:val="16"/>
              </w:rPr>
              <w:t>Bus</w:t>
            </w:r>
          </w:p>
        </w:tc>
        <w:tc>
          <w:tcPr>
            <w:tcW w:type="dxa" w:w="1247"/>
          </w:tcPr>
          <w:p>
            <w:pPr>
              <w:spacing w:after="20"/>
              <w:jc w:val="right"/>
            </w:pPr>
            <w:r/>
            <w:r>
              <w:rPr>
                <w:sz w:val="16"/>
              </w:rPr>
              <w:t>07:00–08:00</w:t>
            </w:r>
          </w:p>
        </w:tc>
        <w:tc>
          <w:tcPr>
            <w:tcW w:type="dxa" w:w="1361"/>
          </w:tcPr>
          <w:p>
            <w:pPr>
              <w:spacing w:after="20"/>
              <w:jc w:val="right"/>
            </w:pPr>
            <w:r/>
            <w:r>
              <w:rPr>
                <w:sz w:val="16"/>
              </w:rPr>
              <w:t>0.59</w:t>
            </w:r>
          </w:p>
        </w:tc>
        <w:tc>
          <w:tcPr>
            <w:tcW w:type="dxa" w:w="1134"/>
          </w:tcPr>
          <w:p>
            <w:pPr>
              <w:spacing w:after="20"/>
              <w:jc w:val="right"/>
            </w:pPr>
            <w:r/>
            <w:r>
              <w:rPr>
                <w:sz w:val="16"/>
              </w:rPr>
              <w:t>0.75</w:t>
            </w:r>
          </w:p>
        </w:tc>
        <w:tc>
          <w:tcPr>
            <w:tcW w:type="dxa" w:w="1474"/>
          </w:tcPr>
          <w:p>
            <w:pPr>
              <w:spacing w:after="20"/>
              <w:jc w:val="right"/>
            </w:pPr>
            <w:r/>
            <w:r>
              <w:rPr>
                <w:sz w:val="16"/>
              </w:rPr>
              <w:t>0.66 (48)</w:t>
            </w:r>
          </w:p>
        </w:tc>
        <w:tc>
          <w:tcPr>
            <w:tcW w:type="dxa" w:w="1474"/>
          </w:tcPr>
          <w:p>
            <w:pPr>
              <w:spacing w:after="20"/>
              <w:jc w:val="right"/>
            </w:pPr>
            <w:r/>
            <w:r>
              <w:rPr>
                <w:sz w:val="16"/>
              </w:rPr>
              <w:t>0.44 (26)</w:t>
            </w:r>
          </w:p>
        </w:tc>
        <w:tc>
          <w:tcPr>
            <w:tcW w:type="dxa" w:w="1417"/>
          </w:tcPr>
          <w:p>
            <w:pPr>
              <w:spacing w:after="20"/>
              <w:jc w:val="right"/>
            </w:pPr>
            <w:r/>
            <w:r>
              <w:rPr>
                <w:sz w:val="16"/>
              </w:rPr>
              <w:t>study area, 0.59</w:t>
            </w:r>
          </w:p>
        </w:tc>
      </w:tr>
      <w:tr>
        <w:tc>
          <w:tcPr>
            <w:tcW w:type="dxa" w:w="1247"/>
          </w:tcPr>
          <w:p>
            <w:pPr>
              <w:spacing w:after="20"/>
            </w:pPr>
            <w:r/>
            <w:r>
              <w:rPr>
                <w:sz w:val="16"/>
              </w:rPr>
              <w:t>Taxi-type</w:t>
            </w:r>
          </w:p>
        </w:tc>
        <w:tc>
          <w:tcPr>
            <w:tcW w:type="dxa" w:w="1247"/>
          </w:tcPr>
          <w:p>
            <w:pPr>
              <w:spacing w:after="20"/>
              <w:jc w:val="right"/>
            </w:pPr>
            <w:r/>
            <w:r>
              <w:rPr>
                <w:sz w:val="16"/>
              </w:rPr>
              <w:t>07:00–08:00</w:t>
            </w:r>
          </w:p>
        </w:tc>
        <w:tc>
          <w:tcPr>
            <w:tcW w:type="dxa" w:w="1361"/>
          </w:tcPr>
          <w:p>
            <w:pPr>
              <w:spacing w:after="20"/>
              <w:jc w:val="right"/>
            </w:pPr>
            <w:r/>
            <w:r>
              <w:rPr>
                <w:sz w:val="16"/>
              </w:rPr>
              <w:t>0.58</w:t>
            </w:r>
          </w:p>
        </w:tc>
        <w:tc>
          <w:tcPr>
            <w:tcW w:type="dxa" w:w="1134"/>
          </w:tcPr>
          <w:p>
            <w:pPr>
              <w:spacing w:after="20"/>
              <w:jc w:val="right"/>
            </w:pPr>
            <w:r/>
            <w:r>
              <w:rPr>
                <w:sz w:val="16"/>
              </w:rPr>
              <w:t>0.68</w:t>
            </w:r>
          </w:p>
        </w:tc>
        <w:tc>
          <w:tcPr>
            <w:tcW w:type="dxa" w:w="1474"/>
          </w:tcPr>
          <w:p>
            <w:pPr>
              <w:spacing w:after="20"/>
              <w:jc w:val="right"/>
            </w:pPr>
            <w:r/>
            <w:r>
              <w:rPr>
                <w:sz w:val="16"/>
              </w:rPr>
              <w:t>0.78 (35)</w:t>
            </w:r>
          </w:p>
        </w:tc>
        <w:tc>
          <w:tcPr>
            <w:tcW w:type="dxa" w:w="1474"/>
          </w:tcPr>
          <w:p>
            <w:pPr>
              <w:spacing w:after="20"/>
              <w:jc w:val="right"/>
            </w:pPr>
            <w:r/>
            <w:r>
              <w:rPr>
                <w:sz w:val="16"/>
              </w:rPr>
              <w:t>0.84 (25)</w:t>
            </w:r>
          </w:p>
        </w:tc>
        <w:tc>
          <w:tcPr>
            <w:tcW w:type="dxa" w:w="1417"/>
          </w:tcPr>
          <w:p>
            <w:pPr>
              <w:spacing w:after="20"/>
              <w:jc w:val="right"/>
            </w:pPr>
            <w:r/>
            <w:r>
              <w:rPr>
                <w:sz w:val="16"/>
              </w:rPr>
              <w:t>study area, 0.58</w:t>
            </w:r>
          </w:p>
        </w:tc>
      </w:tr>
      <w:tr>
        <w:tc>
          <w:tcPr>
            <w:tcW w:type="dxa" w:w="1247"/>
          </w:tcPr>
          <w:p>
            <w:pPr>
              <w:spacing w:after="20"/>
            </w:pPr>
            <w:r/>
            <w:r>
              <w:rPr>
                <w:sz w:val="16"/>
              </w:rPr>
              <w:t>Walk / other</w:t>
            </w:r>
          </w:p>
        </w:tc>
        <w:tc>
          <w:tcPr>
            <w:tcW w:type="dxa" w:w="1247"/>
          </w:tcPr>
          <w:p>
            <w:pPr>
              <w:spacing w:after="20"/>
              <w:jc w:val="right"/>
            </w:pPr>
            <w:r/>
            <w:r>
              <w:rPr>
                <w:sz w:val="16"/>
              </w:rPr>
              <w:t>07:00–08:00</w:t>
            </w:r>
          </w:p>
        </w:tc>
        <w:tc>
          <w:tcPr>
            <w:tcW w:type="dxa" w:w="1361"/>
          </w:tcPr>
          <w:p>
            <w:pPr>
              <w:spacing w:after="20"/>
              <w:jc w:val="right"/>
            </w:pPr>
            <w:r/>
            <w:r>
              <w:rPr>
                <w:sz w:val="16"/>
              </w:rPr>
              <w:t>0.79</w:t>
            </w:r>
          </w:p>
        </w:tc>
        <w:tc>
          <w:tcPr>
            <w:tcW w:type="dxa" w:w="1134"/>
          </w:tcPr>
          <w:p>
            <w:pPr>
              <w:spacing w:after="20"/>
              <w:jc w:val="right"/>
            </w:pPr>
            <w:r/>
            <w:r>
              <w:rPr>
                <w:sz w:val="16"/>
              </w:rPr>
              <w:t>0.64</w:t>
            </w:r>
          </w:p>
        </w:tc>
        <w:tc>
          <w:tcPr>
            <w:tcW w:type="dxa" w:w="1474"/>
          </w:tcPr>
          <w:p>
            <w:pPr>
              <w:spacing w:after="20"/>
              <w:jc w:val="right"/>
            </w:pPr>
            <w:r/>
            <w:r>
              <w:rPr>
                <w:sz w:val="16"/>
              </w:rPr>
              <w:t>—</w:t>
            </w:r>
          </w:p>
        </w:tc>
        <w:tc>
          <w:tcPr>
            <w:tcW w:type="dxa" w:w="1474"/>
          </w:tcPr>
          <w:p>
            <w:pPr>
              <w:spacing w:after="20"/>
              <w:jc w:val="right"/>
            </w:pPr>
            <w:r/>
            <w:r>
              <w:rPr>
                <w:sz w:val="16"/>
              </w:rPr>
              <w:t>—</w:t>
            </w:r>
          </w:p>
        </w:tc>
        <w:tc>
          <w:tcPr>
            <w:tcW w:type="dxa" w:w="1417"/>
          </w:tcPr>
          <w:p>
            <w:pPr>
              <w:spacing w:after="20"/>
              <w:jc w:val="right"/>
            </w:pPr>
            <w:r/>
            <w:r>
              <w:rPr>
                <w:sz w:val="16"/>
              </w:rPr>
              <w:t>not in the profile</w:t>
            </w:r>
          </w:p>
        </w:tc>
      </w:tr>
    </w:tbl>
    <w:p>
      <w:pPr>
        <w:spacing w:after="40"/>
      </w:pPr>
    </w:p>
    <w:p>
      <w:r>
        <w:rPr>
          <w:i/>
          <w:color w:val="52514E"/>
          <w:sz w:val="18"/>
        </w:rPr>
        <w:t>Peak-hour factors from survey departure times. Household-bootstrap ranges (5th–95th percentile) for the corridor car factors are 0.51–0.81 and 0.47–0.75; for the corridor bus factors 0.54–0.84 and 0.43–0.79.</w:t>
      </w:r>
    </w:p>
    <w:p>
      <w:r>
        <w:rPr>
          <w:i w:val="0"/>
        </w:rPr>
        <w:t>The peak hour is the same everywhere: 07:00–08:00, with corridor car trips towards Nazareth a quarter-hour later (07:15–08:15) and a third of them still departing after 08:00. It carries about 1.8 times an average hour, and inside it the 07:30–07:45 quarter alone holds a fifth of car departures. Bus departures are slightly less peaked than car, taxi-type less again.</w:t>
      </w:r>
    </w:p>
    <w:p>
      <w:r>
        <w:rPr>
          <w:i w:val="0"/>
        </w:rPr>
        <w:t>Which factor to apply is a question of sample size. The corridor car trips are numerous enough (about 200 per direction) for a factor per direction. The corridor bus trips are not: 48 and 26 sampled trips give factors of 0.66 and 0.44 whose bootstrap ranges overlap almost entirely, so the bus and taxi-type layers take the study-area factors (0.59 and 0.58, on 1,636 and 253 trips) and rail takes the bus factor. A finer split, one factor per link, is not supported either: only 19 link-directions, all car, reach 30 sampled trips, and on them the per-link factor scatters from 0.12 below to 0.19 above the direction factor. One factor per direction and layer is what the survey can carry.</w:t>
      </w:r>
    </w:p>
    <w:tbl>
      <w:tblPr>
        <w:tblStyle w:val="TableGrid"/>
        <w:tblW w:type="auto" w:w="0"/>
        <w:jc w:val="center"/>
        <w:tblLook w:firstColumn="1" w:firstRow="1" w:lastColumn="0" w:lastRow="0" w:noHBand="0" w:noVBand="1" w:val="04A0"/>
      </w:tblPr>
      <w:tblGrid>
        <w:gridCol w:w="3009"/>
        <w:gridCol w:w="3009"/>
        <w:gridCol w:w="3009"/>
      </w:tblGrid>
      <w:tr>
        <w:tc>
          <w:tcPr>
            <w:tcW w:type="dxa" w:w="4252"/>
            <w:shd w:val="clear" w:color="auto" w:fill="E8EEF6"/>
          </w:tcPr>
          <w:p>
            <w:pPr>
              <w:spacing w:after="20"/>
            </w:pPr>
            <w:r/>
            <w:r>
              <w:rPr>
                <w:b/>
                <w:sz w:val="18"/>
              </w:rPr>
              <w:t>Busiest link, peak hour</w:t>
            </w:r>
          </w:p>
        </w:tc>
        <w:tc>
          <w:tcPr>
            <w:tcW w:type="dxa" w:w="2268"/>
            <w:shd w:val="clear" w:color="auto" w:fill="E8EEF6"/>
          </w:tcPr>
          <w:p>
            <w:pPr>
              <w:spacing w:after="20"/>
            </w:pPr>
            <w:r/>
            <w:r>
              <w:rPr>
                <w:b/>
                <w:sz w:val="18"/>
              </w:rPr>
              <w:t>Towards Nazareth</w:t>
            </w:r>
          </w:p>
        </w:tc>
        <w:tc>
          <w:tcPr>
            <w:tcW w:type="dxa" w:w="2268"/>
            <w:shd w:val="clear" w:color="auto" w:fill="E8EEF6"/>
          </w:tcPr>
          <w:p>
            <w:pPr>
              <w:spacing w:after="20"/>
            </w:pPr>
            <w:r/>
            <w:r>
              <w:rPr>
                <w:b/>
                <w:sz w:val="18"/>
              </w:rPr>
              <w:t>Towards Tirat Carmel</w:t>
            </w:r>
          </w:p>
        </w:tc>
      </w:tr>
      <w:tr>
        <w:tc>
          <w:tcPr>
            <w:tcW w:type="dxa" w:w="4252"/>
          </w:tcPr>
          <w:p>
            <w:pPr>
              <w:spacing w:after="20"/>
            </w:pPr>
            <w:r/>
            <w:r>
              <w:rPr>
                <w:sz w:val="18"/>
              </w:rPr>
              <w:t>Transit (bus + rail): link</w:t>
            </w:r>
          </w:p>
        </w:tc>
        <w:tc>
          <w:tcPr>
            <w:tcW w:type="dxa" w:w="2268"/>
          </w:tcPr>
          <w:p>
            <w:pPr>
              <w:spacing w:after="20"/>
              <w:jc w:val="right"/>
            </w:pPr>
            <w:r/>
            <w:r>
              <w:rPr>
                <w:sz w:val="18"/>
              </w:rPr>
              <w:t>Ein Hayam – Bat Galim</w:t>
            </w:r>
          </w:p>
        </w:tc>
        <w:tc>
          <w:tcPr>
            <w:tcW w:type="dxa" w:w="2268"/>
          </w:tcPr>
          <w:p>
            <w:pPr>
              <w:spacing w:after="20"/>
              <w:jc w:val="right"/>
            </w:pPr>
            <w:r/>
            <w:r>
              <w:rPr>
                <w:sz w:val="18"/>
              </w:rPr>
              <w:t>Neot Peres – Neve David</w:t>
            </w:r>
          </w:p>
        </w:tc>
      </w:tr>
      <w:tr>
        <w:tc>
          <w:tcPr>
            <w:tcW w:type="dxa" w:w="4252"/>
          </w:tcPr>
          <w:p>
            <w:pPr>
              <w:spacing w:after="20"/>
            </w:pPr>
            <w:r/>
            <w:r>
              <w:rPr>
                <w:sz w:val="18"/>
              </w:rPr>
              <w:t>Transit: three-hour / average hour / peak hour</w:t>
            </w:r>
          </w:p>
        </w:tc>
        <w:tc>
          <w:tcPr>
            <w:tcW w:type="dxa" w:w="2268"/>
          </w:tcPr>
          <w:p>
            <w:pPr>
              <w:spacing w:after="20"/>
              <w:jc w:val="right"/>
            </w:pPr>
            <w:r/>
            <w:r>
              <w:rPr>
                <w:sz w:val="18"/>
              </w:rPr>
              <w:t>1,661 / 554 / 981</w:t>
            </w:r>
          </w:p>
        </w:tc>
        <w:tc>
          <w:tcPr>
            <w:tcW w:type="dxa" w:w="2268"/>
          </w:tcPr>
          <w:p>
            <w:pPr>
              <w:spacing w:after="20"/>
              <w:jc w:val="right"/>
            </w:pPr>
            <w:r/>
            <w:r>
              <w:rPr>
                <w:sz w:val="18"/>
              </w:rPr>
              <w:t>1,650 / 550 / 974</w:t>
            </w:r>
          </w:p>
        </w:tc>
      </w:tr>
      <w:tr>
        <w:tc>
          <w:tcPr>
            <w:tcW w:type="dxa" w:w="4252"/>
          </w:tcPr>
          <w:p>
            <w:pPr>
              <w:spacing w:after="20"/>
            </w:pPr>
            <w:r/>
            <w:r>
              <w:rPr>
                <w:sz w:val="18"/>
              </w:rPr>
              <w:t>Transit peak hour if the bus factor were the corridor pooled / corridor direction value</w:t>
            </w:r>
          </w:p>
        </w:tc>
        <w:tc>
          <w:tcPr>
            <w:tcW w:type="dxa" w:w="2268"/>
          </w:tcPr>
          <w:p>
            <w:pPr>
              <w:spacing w:after="20"/>
              <w:jc w:val="right"/>
            </w:pPr>
            <w:r/>
            <w:r>
              <w:rPr>
                <w:sz w:val="18"/>
              </w:rPr>
              <w:t>835 / 1,089</w:t>
            </w:r>
          </w:p>
        </w:tc>
        <w:tc>
          <w:tcPr>
            <w:tcW w:type="dxa" w:w="2268"/>
          </w:tcPr>
          <w:p>
            <w:pPr>
              <w:spacing w:after="20"/>
              <w:jc w:val="right"/>
            </w:pPr>
            <w:r/>
            <w:r>
              <w:rPr>
                <w:sz w:val="18"/>
              </w:rPr>
              <w:t>829 / 718</w:t>
            </w:r>
          </w:p>
        </w:tc>
      </w:tr>
      <w:tr>
        <w:tc>
          <w:tcPr>
            <w:tcW w:type="dxa" w:w="4252"/>
          </w:tcPr>
          <w:p>
            <w:pPr>
              <w:spacing w:after="20"/>
            </w:pPr>
            <w:r/>
            <w:r>
              <w:rPr>
                <w:sz w:val="18"/>
              </w:rPr>
              <w:t>All layers: link</w:t>
            </w:r>
          </w:p>
        </w:tc>
        <w:tc>
          <w:tcPr>
            <w:tcW w:type="dxa" w:w="2268"/>
          </w:tcPr>
          <w:p>
            <w:pPr>
              <w:spacing w:after="20"/>
              <w:jc w:val="right"/>
            </w:pPr>
            <w:r/>
            <w:r>
              <w:rPr>
                <w:sz w:val="18"/>
              </w:rPr>
              <w:t>Ein Hayam – Bat Galim</w:t>
            </w:r>
          </w:p>
        </w:tc>
        <w:tc>
          <w:tcPr>
            <w:tcW w:type="dxa" w:w="2268"/>
          </w:tcPr>
          <w:p>
            <w:pPr>
              <w:spacing w:after="20"/>
              <w:jc w:val="right"/>
            </w:pPr>
            <w:r/>
            <w:r>
              <w:rPr>
                <w:sz w:val="18"/>
              </w:rPr>
              <w:t>Bat Galim – Kiryat Eliezer</w:t>
            </w:r>
          </w:p>
        </w:tc>
      </w:tr>
      <w:tr>
        <w:tc>
          <w:tcPr>
            <w:tcW w:type="dxa" w:w="4252"/>
          </w:tcPr>
          <w:p>
            <w:pPr>
              <w:spacing w:after="20"/>
            </w:pPr>
            <w:r/>
            <w:r>
              <w:rPr>
                <w:sz w:val="18"/>
              </w:rPr>
              <w:t>All layers: three-hour / peak hour</w:t>
            </w:r>
          </w:p>
        </w:tc>
        <w:tc>
          <w:tcPr>
            <w:tcW w:type="dxa" w:w="2268"/>
          </w:tcPr>
          <w:p>
            <w:pPr>
              <w:spacing w:after="20"/>
              <w:jc w:val="right"/>
            </w:pPr>
            <w:r/>
            <w:r>
              <w:rPr>
                <w:sz w:val="18"/>
              </w:rPr>
              <w:t>7,326 / 4,609</w:t>
            </w:r>
          </w:p>
        </w:tc>
        <w:tc>
          <w:tcPr>
            <w:tcW w:type="dxa" w:w="2268"/>
          </w:tcPr>
          <w:p>
            <w:pPr>
              <w:spacing w:after="20"/>
              <w:jc w:val="right"/>
            </w:pPr>
            <w:r/>
            <w:r>
              <w:rPr>
                <w:sz w:val="18"/>
              </w:rPr>
              <w:t>6,847 / 4,205</w:t>
            </w:r>
          </w:p>
        </w:tc>
      </w:tr>
    </w:tbl>
    <w:p>
      <w:pPr>
        <w:spacing w:after="40"/>
      </w:pPr>
    </w:p>
    <w:p>
      <w:r>
        <w:rPr>
          <w:i/>
          <w:color w:val="52514E"/>
          <w:sz w:val="18"/>
        </w:rPr>
        <w:t>Peak-hour potential movements on the busiest links, 2022 layers. Full link tables in corridor_link_flows_peak_hour_2022.csv.</w:t>
      </w:r>
    </w:p>
    <w:p>
      <w:pPr>
        <w:jc w:val="center"/>
      </w:pPr>
      <w:r>
        <w:drawing>
          <wp:inline xmlns:a="http://schemas.openxmlformats.org/drawingml/2006/main" xmlns:pic="http://schemas.openxmlformats.org/drawingml/2006/picture">
            <wp:extent cx="5724000" cy="4171772"/>
            <wp:docPr id="12" name="Picture 12"/>
            <wp:cNvGraphicFramePr>
              <a:graphicFrameLocks noChangeAspect="1"/>
            </wp:cNvGraphicFramePr>
            <a:graphic>
              <a:graphicData uri="http://schemas.openxmlformats.org/drawingml/2006/picture">
                <pic:pic>
                  <pic:nvPicPr>
                    <pic:cNvPr id="0" name="corridor_flow_profile_peak_hour_2022.png"/>
                    <pic:cNvPicPr/>
                  </pic:nvPicPr>
                  <pic:blipFill>
                    <a:blip r:embed="rId20"/>
                    <a:stretch>
                      <a:fillRect/>
                    </a:stretch>
                  </pic:blipFill>
                  <pic:spPr>
                    <a:xfrm>
                      <a:off x="0" y="0"/>
                      <a:ext cx="5724000" cy="4171772"/>
                    </a:xfrm>
                    <a:prstGeom prst="rect"/>
                  </pic:spPr>
                </pic:pic>
              </a:graphicData>
            </a:graphic>
          </wp:inline>
        </w:drawing>
      </w:r>
    </w:p>
    <w:p>
      <w:r>
        <w:rPr>
          <w:i/>
          <w:color w:val="52514E"/>
          <w:sz w:val="18"/>
        </w:rPr>
        <w:t>Figure 10. Top: departure-time profiles of the line-area trips by direction and layer (applied profiles bold; shaded, the bus peak hour). Bottom: peak-hour transit potential movements along the line, with the average hour dashed.</w:t>
      </w:r>
    </w:p>
    <w:p>
      <w:r>
        <w:rPr>
          <w:i w:val="0"/>
        </w:rPr>
        <w:t>What to conclude. First, an average-hour reading of the three-hour profiles understates the design hour by 45 %; any capacity or frequency reasoning should start from the peak-hour values. Second, the peak-hour transit figures on the Haifa segment, roughly 1,000 potential movements per direction in the busiest hour, are the size of the market between line areas, not a load: they still contain travellers who cannot reach a station conveniently, who would keep a parallel bus, or whose trip crosses the link outside the departure hour. Third, the timing uncertainty is modest next to the volume uncertainty: the bus factor basis moves the busiest link by about 15 %, while the coverage threshold and the frame question of Part C move the bus volumes themselves by similar or larger amounts. Fourth, an independent check exists and should be run when the ticketing files are at hand: RavKav records the boarding hour, so the bus peak factor can be measured directly rather than taken from 1,636 survey trips.</w:t>
      </w:r>
    </w:p>
    <w:p>
      <w:pPr>
        <w:pStyle w:val="Heading1"/>
      </w:pPr>
      <w:r>
        <w:t>8. What to keep in mind</w:t>
      </w:r>
    </w:p>
    <w:p>
      <w:pPr>
        <w:pStyle w:val="ListBullet"/>
      </w:pPr>
      <w:r>
        <w:rPr>
          <w:b/>
        </w:rPr>
        <w:t xml:space="preserve">Two frames. </w:t>
      </w:r>
      <w:r>
        <w:rPr>
          <w:i w:val="0"/>
        </w:rPr>
        <w:t>Ticketing journeys start at the boarding stop and include non-residents; survey trips start at the front door and cover residents. The calibrated volumes lean towards boardings at transfer hubs and towards doorsteps elsewhere. The units of the on-board survey rows and the overlap between bus journeys ending at a station and the station rail matrix are still to be checked.</w:t>
      </w:r>
    </w:p>
    <w:p>
      <w:pPr>
        <w:pStyle w:val="ListBullet"/>
      </w:pPr>
      <w:r>
        <w:rPr>
          <w:b/>
        </w:rPr>
        <w:t xml:space="preserve">Ticketing coverage. </w:t>
      </w:r>
      <w:r>
        <w:rPr>
          <w:i w:val="0"/>
        </w:rPr>
        <w:t>The extract under-records local bus travel in many superzones, most of all in the Arab-sector and peripheral ones. The segmented rule protects that market while taking ticketing volumes on the intercity market. Its threshold is an assumption, its total is above both sources, and the cause of the gap is with the data provider. Four variants are published.</w:t>
      </w:r>
    </w:p>
    <w:p>
      <w:pPr>
        <w:pStyle w:val="ListBullet"/>
      </w:pPr>
      <w:r>
        <w:rPr>
          <w:b/>
        </w:rPr>
        <w:t xml:space="preserve">Taxi-type. </w:t>
      </w:r>
      <w:r>
        <w:rPr>
          <w:i w:val="0"/>
        </w:rPr>
        <w:t>Codes 5 and 8 are a separate layer until the codebook confirms what they are. Do not add them to an LRT market by default.</w:t>
      </w:r>
    </w:p>
    <w:p>
      <w:pPr>
        <w:pStyle w:val="ListBullet"/>
      </w:pPr>
      <w:r>
        <w:rPr>
          <w:b/>
        </w:rPr>
        <w:t xml:space="preserve">Trip rates are frozen. </w:t>
      </w:r>
      <w:r>
        <w:rPr>
          <w:i w:val="0"/>
        </w:rPr>
        <w:t>Growth to 2022 keeps 2018 trip rates and uses a forecast trend, not observed 2022 data. Changes in age structure, car ownership or working from home are not represented.</w:t>
      </w:r>
    </w:p>
    <w:p>
      <w:pPr>
        <w:pStyle w:val="ListBullet"/>
      </w:pPr>
      <w:r>
        <w:rPr>
          <w:b/>
        </w:rPr>
        <w:t xml:space="preserve">TAZ detail is synthetic and purpose-blind. </w:t>
      </w:r>
      <w:r>
        <w:rPr>
          <w:i w:val="0"/>
        </w:rPr>
        <w:t>Below the 1,250-zone level the survey's TAZ detail is a population / employment split. Superzones and sub-areas are the fair level. A purpose split (work, education, other) is on the task list.</w:t>
      </w:r>
    </w:p>
    <w:p>
      <w:pPr>
        <w:pStyle w:val="ListBullet"/>
      </w:pPr>
      <w:r>
        <w:rPr>
          <w:b/>
        </w:rPr>
        <w:t xml:space="preserve">Corridor profiles are potential movements. </w:t>
      </w:r>
      <w:r>
        <w:rPr>
          <w:i w:val="0"/>
        </w:rPr>
        <w:t>Three-hour totals and peak-departure-hour values between line areas, without station access, route choice or off-line trips. Peak loads and capacity need a service-response model; the peak-hour factors come from survey departure times, with the bus factor taken study-area-wide for lack of corridor sample.</w:t>
      </w:r>
    </w:p>
    <w:p>
      <w:pPr>
        <w:pStyle w:val="ListBullet"/>
      </w:pPr>
      <w:r>
        <w:rPr>
          <w:b/>
        </w:rPr>
        <w:t xml:space="preserve">The hybrid is historical. </w:t>
      </w:r>
      <w:r>
        <w:rPr>
          <w:i w:val="0"/>
        </w:rPr>
        <w:t>It does not reproduce its superzone totals and its TAZ detail rests on a replicated cellular mapping. The rebalanced version exists for reference only.</w:t>
      </w:r>
    </w:p>
    <w:p>
      <w:pPr>
        <w:pStyle w:val="ListBullet"/>
      </w:pPr>
      <w:r>
        <w:rPr>
          <w:b/>
        </w:rPr>
        <w:t xml:space="preserve">External checks are missing. </w:t>
      </w:r>
      <w:r>
        <w:rPr>
          <w:i w:val="0"/>
        </w:rPr>
        <w:t>No road counts, bus loads or station boardings have been used. The most valuable ones would be directional bus loads on the Haifa segment, Nazareth local versus Haifa-bound services counted separately, and transfers at Hamifrats.</w:t>
      </w:r>
    </w:p>
    <w:p>
      <w:pPr>
        <w:pStyle w:val="ListBullet"/>
      </w:pPr>
      <w:r>
        <w:rPr>
          <w:b/>
        </w:rPr>
        <w:t xml:space="preserve">The forecasts do not yet rest on this base. </w:t>
      </w:r>
      <w:r>
        <w:rPr>
          <w:i w:val="0"/>
        </w:rPr>
        <w:t>The 2040 / 2050 matrices and LRT-market tables in the repository were built on an earlier 25-area composite. They are a demographic reference until rebuilt from the layers described here.</w:t>
      </w:r>
    </w:p>
    <w:p>
      <w:pPr>
        <w:pStyle w:val="Heading1"/>
      </w:pPr>
      <w:r>
        <w:t>9. Files</w:t>
      </w:r>
    </w:p>
    <w:tbl>
      <w:tblPr>
        <w:tblStyle w:val="TableGrid"/>
        <w:tblW w:type="auto" w:w="0"/>
        <w:jc w:val="center"/>
        <w:tblLook w:firstColumn="1" w:firstRow="1" w:lastColumn="0" w:lastRow="0" w:noHBand="0" w:noVBand="1" w:val="04A0"/>
      </w:tblPr>
      <w:tblGrid>
        <w:gridCol w:w="3009"/>
        <w:gridCol w:w="3009"/>
        <w:gridCol w:w="3009"/>
      </w:tblGrid>
      <w:tr>
        <w:tc>
          <w:tcPr>
            <w:tcW w:type="dxa" w:w="2608"/>
            <w:shd w:val="clear" w:color="auto" w:fill="E8EEF6"/>
          </w:tcPr>
          <w:p>
            <w:pPr>
              <w:spacing w:after="20"/>
            </w:pPr>
            <w:r/>
            <w:r>
              <w:rPr>
                <w:b/>
                <w:sz w:val="17"/>
              </w:rPr>
              <w:t>Notebook</w:t>
            </w:r>
          </w:p>
        </w:tc>
        <w:tc>
          <w:tcPr>
            <w:tcW w:type="dxa" w:w="2948"/>
            <w:shd w:val="clear" w:color="auto" w:fill="E8EEF6"/>
          </w:tcPr>
          <w:p>
            <w:pPr>
              <w:spacing w:after="20"/>
            </w:pPr>
            <w:r/>
            <w:r>
              <w:rPr>
                <w:b/>
                <w:sz w:val="17"/>
              </w:rPr>
              <w:t>What it does</w:t>
            </w:r>
          </w:p>
        </w:tc>
        <w:tc>
          <w:tcPr>
            <w:tcW w:type="dxa" w:w="3458"/>
            <w:shd w:val="clear" w:color="auto" w:fill="E8EEF6"/>
          </w:tcPr>
          <w:p>
            <w:pPr>
              <w:spacing w:after="20"/>
            </w:pPr>
            <w:r/>
            <w:r>
              <w:rPr>
                <w:b/>
                <w:sz w:val="17"/>
              </w:rPr>
              <w:t>Main outputs</w:t>
            </w:r>
          </w:p>
        </w:tc>
      </w:tr>
      <w:tr>
        <w:tc>
          <w:tcPr>
            <w:tcW w:type="dxa" w:w="2608"/>
          </w:tcPr>
          <w:p>
            <w:pPr>
              <w:spacing w:after="20"/>
            </w:pPr>
            <w:r/>
            <w:r>
              <w:rPr>
                <w:sz w:val="17"/>
              </w:rPr>
              <w:t>THS_2017_cosine_GEH_tests.ipynb</w:t>
            </w:r>
          </w:p>
        </w:tc>
        <w:tc>
          <w:tcPr>
            <w:tcW w:type="dxa" w:w="2948"/>
          </w:tcPr>
          <w:p>
            <w:pPr>
              <w:spacing w:after="20"/>
            </w:pPr>
            <w:r/>
            <w:r>
              <w:rPr>
                <w:sz w:val="17"/>
              </w:rPr>
              <w:t>Cosine and GEH tests, scale audit, corridor classes</w:t>
            </w:r>
          </w:p>
        </w:tc>
        <w:tc>
          <w:tcPr>
            <w:tcW w:type="dxa" w:w="3458"/>
          </w:tcPr>
          <w:p>
            <w:pPr>
              <w:spacing w:after="20"/>
            </w:pPr>
            <w:r/>
            <w:r>
              <w:rPr>
                <w:sz w:val="17"/>
              </w:rPr>
              <w:t>Output/ths2017/tests/cosine_geh_summary.csv and detail tables</w:t>
            </w:r>
          </w:p>
        </w:tc>
      </w:tr>
      <w:tr>
        <w:tc>
          <w:tcPr>
            <w:tcW w:type="dxa" w:w="2608"/>
          </w:tcPr>
          <w:p>
            <w:pPr>
              <w:spacing w:after="20"/>
            </w:pPr>
            <w:r/>
            <w:r>
              <w:rPr>
                <w:sz w:val="17"/>
              </w:rPr>
              <w:t>THS_2017_KS_tests.ipynb</w:t>
            </w:r>
          </w:p>
        </w:tc>
        <w:tc>
          <w:tcPr>
            <w:tcW w:type="dxa" w:w="2948"/>
          </w:tcPr>
          <w:p>
            <w:pPr>
              <w:spacing w:after="20"/>
            </w:pPr>
            <w:r/>
            <w:r>
              <w:rPr>
                <w:sz w:val="17"/>
              </w:rPr>
              <w:t>Trip-length and concentration KS tests with bootstrap</w:t>
            </w:r>
          </w:p>
        </w:tc>
        <w:tc>
          <w:tcPr>
            <w:tcW w:type="dxa" w:w="3458"/>
          </w:tcPr>
          <w:p>
            <w:pPr>
              <w:spacing w:after="20"/>
            </w:pPr>
            <w:r/>
            <w:r>
              <w:rPr>
                <w:sz w:val="17"/>
              </w:rPr>
              <w:t>Output/ths2017/tests/ks_summary.csv and detail tables</w:t>
            </w:r>
          </w:p>
        </w:tc>
      </w:tr>
      <w:tr>
        <w:tc>
          <w:tcPr>
            <w:tcW w:type="dxa" w:w="2608"/>
          </w:tcPr>
          <w:p>
            <w:pPr>
              <w:spacing w:after="20"/>
            </w:pPr>
            <w:r/>
            <w:r>
              <w:rPr>
                <w:sz w:val="17"/>
              </w:rPr>
              <w:t>THS_2017_MSSIM_tests.ipynb</w:t>
            </w:r>
          </w:p>
        </w:tc>
        <w:tc>
          <w:tcPr>
            <w:tcW w:type="dxa" w:w="2948"/>
          </w:tcPr>
          <w:p>
            <w:pPr>
              <w:spacing w:after="20"/>
            </w:pPr>
            <w:r/>
            <w:r>
              <w:rPr>
                <w:sz w:val="17"/>
              </w:rPr>
              <w:t>Structural similarity by window, scale and ordering</w:t>
            </w:r>
          </w:p>
        </w:tc>
        <w:tc>
          <w:tcPr>
            <w:tcW w:type="dxa" w:w="3458"/>
          </w:tcPr>
          <w:p>
            <w:pPr>
              <w:spacing w:after="20"/>
            </w:pPr>
            <w:r/>
            <w:r>
              <w:rPr>
                <w:sz w:val="17"/>
              </w:rPr>
              <w:t>Output/ths2017/tests/mssim_headline.csv, mssim_summary.csv</w:t>
            </w:r>
          </w:p>
        </w:tc>
      </w:tr>
      <w:tr>
        <w:tc>
          <w:tcPr>
            <w:tcW w:type="dxa" w:w="2608"/>
          </w:tcPr>
          <w:p>
            <w:pPr>
              <w:spacing w:after="20"/>
            </w:pPr>
            <w:r/>
            <w:r>
              <w:rPr>
                <w:sz w:val="17"/>
              </w:rPr>
              <w:t>Hybrid_superzone_conservation_test.ipynb</w:t>
            </w:r>
          </w:p>
        </w:tc>
        <w:tc>
          <w:tcPr>
            <w:tcW w:type="dxa" w:w="2948"/>
          </w:tcPr>
          <w:p>
            <w:pPr>
              <w:spacing w:after="20"/>
            </w:pPr>
            <w:r/>
            <w:r>
              <w:rPr>
                <w:sz w:val="17"/>
              </w:rPr>
              <w:t>Superzone conservation test of the TAZ hybrids; rebalanced hybrid</w:t>
            </w:r>
          </w:p>
        </w:tc>
        <w:tc>
          <w:tcPr>
            <w:tcW w:type="dxa" w:w="3458"/>
          </w:tcPr>
          <w:p>
            <w:pPr>
              <w:spacing w:after="20"/>
            </w:pPr>
            <w:r/>
            <w:r>
              <w:rPr>
                <w:sz w:val="17"/>
              </w:rPr>
              <w:t>Output/ths2017/tests/hybrid_sz_conservation_*.csv; study_taz/hybrid_taz_trips_balanced.csv</w:t>
            </w:r>
          </w:p>
        </w:tc>
      </w:tr>
      <w:tr>
        <w:tc>
          <w:tcPr>
            <w:tcW w:type="dxa" w:w="2608"/>
          </w:tcPr>
          <w:p>
            <w:pPr>
              <w:spacing w:after="20"/>
            </w:pPr>
            <w:r/>
            <w:r>
              <w:rPr>
                <w:sz w:val="17"/>
              </w:rPr>
              <w:t>THS_2017_two_mode_matrix.ipynb</w:t>
            </w:r>
          </w:p>
        </w:tc>
        <w:tc>
          <w:tcPr>
            <w:tcW w:type="dxa" w:w="2948"/>
          </w:tcPr>
          <w:p>
            <w:pPr>
              <w:spacing w:after="20"/>
            </w:pPr>
            <w:r/>
            <w:r>
              <w:rPr>
                <w:sz w:val="17"/>
              </w:rPr>
              <w:t>Survey-only car / transit matrix; bus calibrated per origin × segment; variants and threshold sweep</w:t>
            </w:r>
          </w:p>
        </w:tc>
        <w:tc>
          <w:tcPr>
            <w:tcW w:type="dxa" w:w="3458"/>
          </w:tcPr>
          <w:p>
            <w:pPr>
              <w:spacing w:after="20"/>
            </w:pPr>
            <w:r/>
            <w:r>
              <w:rPr>
                <w:sz w:val="17"/>
              </w:rPr>
              <w:t>Output/ths2017/two_mode/: car_taz.csv, transit_taz.csv, bus_calibrated_taz.csv, bus_calibration_factors_segments.csv, …</w:t>
            </w:r>
          </w:p>
        </w:tc>
      </w:tr>
      <w:tr>
        <w:tc>
          <w:tcPr>
            <w:tcW w:type="dxa" w:w="2608"/>
          </w:tcPr>
          <w:p>
            <w:pPr>
              <w:spacing w:after="20"/>
            </w:pPr>
            <w:r/>
            <w:r>
              <w:rPr>
                <w:sz w:val="17"/>
              </w:rPr>
              <w:t>THS_2017_three_mode_2022.ipynb</w:t>
            </w:r>
          </w:p>
        </w:tc>
        <w:tc>
          <w:tcPr>
            <w:tcW w:type="dxa" w:w="2948"/>
          </w:tcPr>
          <w:p>
            <w:pPr>
              <w:spacing w:after="20"/>
            </w:pPr>
            <w:r/>
            <w:r>
              <w:rPr>
                <w:sz w:val="17"/>
              </w:rPr>
              <w:t>Move to 2022; split into car, bus, taxi-type, rail</w:t>
            </w:r>
          </w:p>
        </w:tc>
        <w:tc>
          <w:tcPr>
            <w:tcW w:type="dxa" w:w="3458"/>
          </w:tcPr>
          <w:p>
            <w:pPr>
              <w:spacing w:after="20"/>
            </w:pPr>
            <w:r/>
            <w:r>
              <w:rPr>
                <w:sz w:val="17"/>
              </w:rPr>
              <w:t>Output/ths2017/three_mode_2022/: {car,bus,taxi,rail}_2022_{taz,sz,area}.csv, all_modes_2022_taz.csv</w:t>
            </w:r>
          </w:p>
        </w:tc>
      </w:tr>
      <w:tr>
        <w:tc>
          <w:tcPr>
            <w:tcW w:type="dxa" w:w="2608"/>
          </w:tcPr>
          <w:p>
            <w:pPr>
              <w:spacing w:after="20"/>
            </w:pPr>
            <w:r/>
            <w:r>
              <w:rPr>
                <w:sz w:val="17"/>
              </w:rPr>
              <w:t>Corridor_flow_profile_survey_2022.ipynb</w:t>
            </w:r>
          </w:p>
        </w:tc>
        <w:tc>
          <w:tcPr>
            <w:tcW w:type="dxa" w:w="2948"/>
          </w:tcPr>
          <w:p>
            <w:pPr>
              <w:spacing w:after="20"/>
            </w:pPr>
            <w:r/>
            <w:r>
              <w:rPr>
                <w:sz w:val="17"/>
              </w:rPr>
              <w:t>Potential movements along the line: total, transit, taxi-type</w:t>
            </w:r>
          </w:p>
        </w:tc>
        <w:tc>
          <w:tcPr>
            <w:tcW w:type="dxa" w:w="3458"/>
          </w:tcPr>
          <w:p>
            <w:pPr>
              <w:spacing w:after="20"/>
            </w:pPr>
            <w:r/>
            <w:r>
              <w:rPr>
                <w:sz w:val="17"/>
              </w:rPr>
              <w:t>corridor_link_flows_{total,transit,taxi}_2022.csv</w:t>
            </w:r>
          </w:p>
        </w:tc>
      </w:tr>
      <w:tr>
        <w:tc>
          <w:tcPr>
            <w:tcW w:type="dxa" w:w="2608"/>
          </w:tcPr>
          <w:p>
            <w:pPr>
              <w:spacing w:after="20"/>
            </w:pPr>
            <w:r/>
            <w:r>
              <w:rPr>
                <w:sz w:val="17"/>
              </w:rPr>
              <w:t>Corridor_profile_hybrid_vs_ticketing.ipynb</w:t>
            </w:r>
          </w:p>
        </w:tc>
        <w:tc>
          <w:tcPr>
            <w:tcW w:type="dxa" w:w="2948"/>
          </w:tcPr>
          <w:p>
            <w:pPr>
              <w:spacing w:after="20"/>
            </w:pPr>
            <w:r/>
            <w:r>
              <w:rPr>
                <w:sz w:val="17"/>
              </w:rPr>
              <w:t>Calibrated survey vs ticketing profile, components, pair contributions, coverage split</w:t>
            </w:r>
          </w:p>
        </w:tc>
        <w:tc>
          <w:tcPr>
            <w:tcW w:type="dxa" w:w="3458"/>
          </w:tcPr>
          <w:p>
            <w:pPr>
              <w:spacing w:after="20"/>
            </w:pPr>
            <w:r/>
            <w:r>
              <w:rPr>
                <w:sz w:val="17"/>
              </w:rPr>
              <w:t>corridor_profile_hybrid_vs_ticketing.csv, corridor_profile_coverage_local_vs_intercity.csv</w:t>
            </w:r>
          </w:p>
        </w:tc>
      </w:tr>
      <w:tr>
        <w:tc>
          <w:tcPr>
            <w:tcW w:type="dxa" w:w="2608"/>
          </w:tcPr>
          <w:p>
            <w:pPr>
              <w:spacing w:after="20"/>
            </w:pPr>
            <w:r/>
            <w:r>
              <w:rPr>
                <w:sz w:val="17"/>
              </w:rPr>
              <w:t>Corridor_peak_hour_2022.ipynb</w:t>
            </w:r>
          </w:p>
        </w:tc>
        <w:tc>
          <w:tcPr>
            <w:tcW w:type="dxa" w:w="2948"/>
          </w:tcPr>
          <w:p>
            <w:pPr>
              <w:spacing w:after="20"/>
            </w:pPr>
            <w:r/>
            <w:r>
              <w:rPr>
                <w:sz w:val="17"/>
              </w:rPr>
              <w:t>Peak-hour factors from survey departure times; peak-hour link profiles; bootstrap and sensitivity</w:t>
            </w:r>
          </w:p>
        </w:tc>
        <w:tc>
          <w:tcPr>
            <w:tcW w:type="dxa" w:w="3458"/>
          </w:tcPr>
          <w:p>
            <w:pPr>
              <w:spacing w:after="20"/>
            </w:pPr>
            <w:r/>
            <w:r>
              <w:rPr>
                <w:sz w:val="17"/>
              </w:rPr>
              <w:t>peak_hour_factors*.csv, corridor_link_flows_peak_hour_2022.csv, peak_hour_sensitivity.csv</w:t>
            </w:r>
          </w:p>
        </w:tc>
      </w:tr>
      <w:tr>
        <w:tc>
          <w:tcPr>
            <w:tcW w:type="dxa" w:w="2608"/>
          </w:tcPr>
          <w:p>
            <w:pPr>
              <w:spacing w:after="20"/>
            </w:pPr>
            <w:r/>
            <w:r>
              <w:rPr>
                <w:sz w:val="17"/>
              </w:rPr>
              <w:t>THS_2017_PCA_car_vs_transit.ipynb</w:t>
            </w:r>
          </w:p>
        </w:tc>
        <w:tc>
          <w:tcPr>
            <w:tcW w:type="dxa" w:w="2948"/>
          </w:tcPr>
          <w:p>
            <w:pPr>
              <w:spacing w:after="20"/>
            </w:pPr>
            <w:r/>
            <w:r>
              <w:rPr>
                <w:sz w:val="17"/>
              </w:rPr>
              <w:t>PCA within the survey, car vs transit: overlap, cross-projection, component matching, divergence</w:t>
            </w:r>
          </w:p>
        </w:tc>
        <w:tc>
          <w:tcPr>
            <w:tcW w:type="dxa" w:w="3458"/>
          </w:tcPr>
          <w:p>
            <w:pPr>
              <w:spacing w:after="20"/>
            </w:pPr>
            <w:r/>
            <w:r>
              <w:rPr>
                <w:sz w:val="17"/>
              </w:rPr>
              <w:t>Output/ths2017/tests/pca_car_vs_transit_*.csv (superzone, corridor areas, TAZ)</w:t>
            </w:r>
          </w:p>
        </w:tc>
      </w:tr>
    </w:tbl>
    <w:p>
      <w:pPr>
        <w:spacing w:after="40"/>
      </w:pPr>
    </w:p>
    <w:p>
      <w:r>
        <w:rPr>
          <w:i w:val="0"/>
        </w:rPr>
        <w:t>Full method details, with every number, are in METHODOLOGY.md sections 6j to 6s of the repository; section 0 there lists every published file with its base, geography, modes, vintage and status.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cs="Calibri"/>
      <w:b/>
      <w:bCs/>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cs="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cs="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the Car, Bus, Taxi-type and Rail Demand Matrices from the Travel Habits Survey — revision 2.1</dc:title>
  <dc:subject/>
  <dc:creator>Nofit LRT Extension study</dc:creator>
  <cp:keywords/>
  <dc:description>generated by python-docx</dc:description>
  <cp:lastModifiedBy/>
  <cp:revision>1</cp:revision>
  <dcterms:created xsi:type="dcterms:W3CDTF">2013-12-23T23:15:00Z</dcterms:created>
  <dcterms:modified xsi:type="dcterms:W3CDTF">2013-12-23T23:15:00Z</dcterms:modified>
  <cp:category/>
</cp:coreProperties>
</file>