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760000" cy="4680000"/>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760000" cy="4680000"/>
                    </a:xfrm>
                    <a:prstGeom prst="rect"/>
                  </pic:spPr>
                </pic:pic>
              </a:graphicData>
            </a:graphic>
          </wp:inline>
        </w:drawing>
      </w:r>
    </w:p>
    <w:p>
      <w:r>
        <w:rPr>
          <w:i/>
          <w:sz w:val="16"/>
        </w:rPr>
        <w:t>Figure 3.8 — LRT line loads and station boardings in the peak hour, 2022 AM, main route + extension, Prioritized (step 45).</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and the forecast carries no road or car-ownership change.</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4.5.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Shift to the LRT and total demand by mode</w:t>
      </w:r>
    </w:p>
    <w:p>
      <w:pPr>
        <w:sectPr>
          <w:pgSz w:w="12240" w:h="15840"/>
          <w:pgMar w:top="1440" w:right="1134" w:bottom="1440" w:left="1134" w:header="720" w:footer="720" w:gutter="0"/>
          <w:cols w:space="720"/>
          <w:docGrid w:linePitch="360"/>
        </w:sectPr>
      </w:pPr>
    </w:p>
    <w:p>
      <w:r>
        <w:rPr>
          <w:b/>
        </w:rPr>
        <w:t>Table 4.1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c>
          <w:tcPr>
            <w:tcW w:type="dxa" w:w="1010"/>
          </w:tcPr>
          <w:p>
            <w:r>
              <w:rPr>
                <w:sz w:val="14"/>
              </w:rPr>
              <w:t>33.8 %</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c>
          <w:tcPr>
            <w:tcW w:type="dxa" w:w="1010"/>
          </w:tcPr>
          <w:p>
            <w:r>
              <w:rPr>
                <w:sz w:val="14"/>
              </w:rPr>
              <w:t>35.1 %</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c>
          <w:tcPr>
            <w:tcW w:type="dxa" w:w="1010"/>
          </w:tcPr>
          <w:p>
            <w:r>
              <w:rPr>
                <w:sz w:val="14"/>
              </w:rPr>
              <w:t>37.7 %</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c>
          <w:tcPr>
            <w:tcW w:type="dxa" w:w="1010"/>
          </w:tcPr>
          <w:p>
            <w:r>
              <w:rPr>
                <w:sz w:val="14"/>
              </w:rPr>
              <w:t>41.0 %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4.2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c>
          <w:tcPr>
            <w:tcW w:type="dxa" w:w="1010"/>
          </w:tcPr>
          <w:p>
            <w:r>
              <w:rPr>
                <w:sz w:val="14"/>
              </w:rPr>
              <w:t>33.6 %</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c>
          <w:tcPr>
            <w:tcW w:type="dxa" w:w="1010"/>
          </w:tcPr>
          <w:p>
            <w:r>
              <w:rPr>
                <w:sz w:val="14"/>
              </w:rPr>
              <w:t>34.4 %</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c>
          <w:tcPr>
            <w:tcW w:type="dxa" w:w="1010"/>
          </w:tcPr>
          <w:p>
            <w:r>
              <w:rPr>
                <w:sz w:val="14"/>
              </w:rPr>
              <w:t>34.5 %</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c>
          <w:tcPr>
            <w:tcW w:type="dxa" w:w="1010"/>
          </w:tcPr>
          <w:p>
            <w:r>
              <w:rPr>
                <w:sz w:val="14"/>
              </w:rPr>
              <w:t>35.7 %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 The last two columns of the demand table are the bus-slowdown sensitivity of 4.6 (mixed-traffic buses 10 % slower in 2040 and 20 % in 2050, Metronit and LRT unchanged); the 2022 row has no such case.</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5760000" cy="2215385"/>
            <wp:docPr id="10" name="Picture 10"/>
            <wp:cNvGraphicFramePr>
              <a:graphicFrameLocks noChangeAspect="1"/>
            </wp:cNvGraphicFramePr>
            <a:graphic>
              <a:graphicData uri="http://schemas.openxmlformats.org/drawingml/2006/picture">
                <pic:pic>
                  <pic:nvPicPr>
                    <pic:cNvPr id="0" name="demand_by_scenario.png"/>
                    <pic:cNvPicPr/>
                  </pic:nvPicPr>
                  <pic:blipFill>
                    <a:blip r:embed="rId18"/>
                    <a:stretch>
                      <a:fillRect/>
                    </a:stretch>
                  </pic:blipFill>
                  <pic:spPr>
                    <a:xfrm>
                      <a:off x="0" y="0"/>
                      <a:ext cx="5760000" cy="2215385"/>
                    </a:xfrm>
                    <a:prstGeom prst="rect"/>
                  </pic:spPr>
                </pic:pic>
              </a:graphicData>
            </a:graphic>
          </wp:inline>
        </w:drawing>
      </w:r>
    </w:p>
    <w:p>
      <w:r>
        <w:rPr>
          <w:i/>
          <w:sz w:val="16"/>
        </w:rPr>
        <w:t>Figure 4.1 — Transit demand on the corridor by scenario, peak hour: no-build transit, total transit after the LRT, LRT trips, and the LRT trips using the extension (AM and PM).</w:t>
      </w:r>
    </w:p>
    <w:p>
      <w:r>
        <w:drawing>
          <wp:inline xmlns:a="http://schemas.openxmlformats.org/drawingml/2006/main" xmlns:pic="http://schemas.openxmlformats.org/drawingml/2006/picture">
            <wp:extent cx="5760000" cy="2215385"/>
            <wp:docPr id="11" name="Picture 11"/>
            <wp:cNvGraphicFramePr>
              <a:graphicFrameLocks noChangeAspect="1"/>
            </wp:cNvGraphicFramePr>
            <a:graphic>
              <a:graphicData uri="http://schemas.openxmlformats.org/drawingml/2006/picture">
                <pic:pic>
                  <pic:nvPicPr>
                    <pic:cNvPr id="0" name="shift_sources.png"/>
                    <pic:cNvPicPr/>
                  </pic:nvPicPr>
                  <pic:blipFill>
                    <a:blip r:embed="rId19"/>
                    <a:stretch>
                      <a:fillRect/>
                    </a:stretch>
                  </pic:blipFill>
                  <pic:spPr>
                    <a:xfrm>
                      <a:off x="0" y="0"/>
                      <a:ext cx="5760000" cy="2215385"/>
                    </a:xfrm>
                    <a:prstGeom prst="rect"/>
                  </pic:spPr>
                </pic:pic>
              </a:graphicData>
            </a:graphic>
          </wp:inline>
        </w:drawing>
      </w:r>
    </w:p>
    <w:p>
      <w:r>
        <w:rPr>
          <w:i/>
          <w:sz w:val="16"/>
        </w:rPr>
        <w:t>Figure 4.2 — Where the LRT trips come from (car, Metronit, bus), whole line and the part using the extension, by scenario, peak hour.</w:t>
      </w:r>
    </w:p>
    <w:p>
      <w:pPr>
        <w:pStyle w:val="Heading2"/>
      </w:pPr>
      <w:r>
        <w:t>4.2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drawing>
          <wp:inline xmlns:a="http://schemas.openxmlformats.org/drawingml/2006/main" xmlns:pic="http://schemas.openxmlformats.org/drawingml/2006/picture">
            <wp:extent cx="9000000" cy="4846154"/>
            <wp:docPr id="12" name="Picture 12"/>
            <wp:cNvGraphicFramePr>
              <a:graphicFrameLocks noChangeAspect="1"/>
            </wp:cNvGraphicFramePr>
            <a:graphic>
              <a:graphicData uri="http://schemas.openxmlformats.org/drawingml/2006/picture">
                <pic:pic>
                  <pic:nvPicPr>
                    <pic:cNvPr id="0" name="flow_lrt_scenarios_AM.png"/>
                    <pic:cNvPicPr/>
                  </pic:nvPicPr>
                  <pic:blipFill>
                    <a:blip r:embed="rId20"/>
                    <a:stretch>
                      <a:fillRect/>
                    </a:stretch>
                  </pic:blipFill>
                  <pic:spPr>
                    <a:xfrm>
                      <a:off x="0" y="0"/>
                      <a:ext cx="9000000" cy="4846154"/>
                    </a:xfrm>
                    <a:prstGeom prst="rect"/>
                  </pic:spPr>
                </pic:pic>
              </a:graphicData>
            </a:graphic>
          </wp:inline>
        </w:drawing>
      </w:r>
    </w:p>
    <w:p>
      <w:r>
        <w:rPr>
          <w:i/>
          <w:sz w:val="16"/>
        </w:rPr>
        <w:t>Figure 4.3 — LRT flow by segment and direction, the four scenarios, AM.</w:t>
      </w:r>
    </w:p>
    <w:p>
      <w:r>
        <w:drawing>
          <wp:inline xmlns:a="http://schemas.openxmlformats.org/drawingml/2006/main" xmlns:pic="http://schemas.openxmlformats.org/drawingml/2006/picture">
            <wp:extent cx="9000000" cy="4846154"/>
            <wp:docPr id="13" name="Picture 13"/>
            <wp:cNvGraphicFramePr>
              <a:graphicFrameLocks noChangeAspect="1"/>
            </wp:cNvGraphicFramePr>
            <a:graphic>
              <a:graphicData uri="http://schemas.openxmlformats.org/drawingml/2006/picture">
                <pic:pic>
                  <pic:nvPicPr>
                    <pic:cNvPr id="0" name="flow_lrt_scenarios_PM.png"/>
                    <pic:cNvPicPr/>
                  </pic:nvPicPr>
                  <pic:blipFill>
                    <a:blip r:embed="rId21"/>
                    <a:stretch>
                      <a:fillRect/>
                    </a:stretch>
                  </pic:blipFill>
                  <pic:spPr>
                    <a:xfrm>
                      <a:off x="0" y="0"/>
                      <a:ext cx="9000000" cy="4846154"/>
                    </a:xfrm>
                    <a:prstGeom prst="rect"/>
                  </pic:spPr>
                </pic:pic>
              </a:graphicData>
            </a:graphic>
          </wp:inline>
        </w:drawing>
      </w:r>
    </w:p>
    <w:p>
      <w:r>
        <w:rPr>
          <w:i/>
          <w:sz w:val="16"/>
        </w:rPr>
        <w:t>Figure 4.4 — LRT flow by segment and direction, the four scenarios, PM.</w:t>
      </w:r>
    </w:p>
    <w:p>
      <w:r>
        <w:drawing>
          <wp:inline xmlns:a="http://schemas.openxmlformats.org/drawingml/2006/main" xmlns:pic="http://schemas.openxmlformats.org/drawingml/2006/picture">
            <wp:extent cx="9000000" cy="9000000"/>
            <wp:docPr id="14" name="Picture 14"/>
            <wp:cNvGraphicFramePr>
              <a:graphicFrameLocks noChangeAspect="1"/>
            </wp:cNvGraphicFramePr>
            <a:graphic>
              <a:graphicData uri="http://schemas.openxmlformats.org/drawingml/2006/picture">
                <pic:pic>
                  <pic:nvPicPr>
                    <pic:cNvPr id="0" name="flow_lrt_AM.png"/>
                    <pic:cNvPicPr/>
                  </pic:nvPicPr>
                  <pic:blipFill>
                    <a:blip r:embed="rId22"/>
                    <a:stretch>
                      <a:fillRect/>
                    </a:stretch>
                  </pic:blipFill>
                  <pic:spPr>
                    <a:xfrm>
                      <a:off x="0" y="0"/>
                      <a:ext cx="9000000" cy="9000000"/>
                    </a:xfrm>
                    <a:prstGeom prst="rect"/>
                  </pic:spPr>
                </pic:pic>
              </a:graphicData>
            </a:graphic>
          </wp:inline>
        </w:drawing>
      </w:r>
    </w:p>
    <w:p>
      <w:r>
        <w:rPr>
          <w:i/>
          <w:sz w:val="16"/>
        </w:rPr>
        <w:t>Figure 4.5 — LRT flow per scenario, both directions on one panel, AM (2022 and the four scenarios).</w:t>
      </w:r>
    </w:p>
    <w:p>
      <w:r>
        <w:drawing>
          <wp:inline xmlns:a="http://schemas.openxmlformats.org/drawingml/2006/main" xmlns:pic="http://schemas.openxmlformats.org/drawingml/2006/picture">
            <wp:extent cx="9000000" cy="9000000"/>
            <wp:docPr id="15" name="Picture 15"/>
            <wp:cNvGraphicFramePr>
              <a:graphicFrameLocks noChangeAspect="1"/>
            </wp:cNvGraphicFramePr>
            <a:graphic>
              <a:graphicData uri="http://schemas.openxmlformats.org/drawingml/2006/picture">
                <pic:pic>
                  <pic:nvPicPr>
                    <pic:cNvPr id="0" name="flow_lrt_PM.png"/>
                    <pic:cNvPicPr/>
                  </pic:nvPicPr>
                  <pic:blipFill>
                    <a:blip r:embed="rId23"/>
                    <a:stretch>
                      <a:fillRect/>
                    </a:stretch>
                  </pic:blipFill>
                  <pic:spPr>
                    <a:xfrm>
                      <a:off x="0" y="0"/>
                      <a:ext cx="9000000" cy="9000000"/>
                    </a:xfrm>
                    <a:prstGeom prst="rect"/>
                  </pic:spPr>
                </pic:pic>
              </a:graphicData>
            </a:graphic>
          </wp:inline>
        </w:drawing>
      </w:r>
    </w:p>
    <w:p>
      <w:r>
        <w:rPr>
          <w:i/>
          <w:sz w:val="16"/>
        </w:rPr>
        <w:t>Figure 4.6 — LRT flow per scenario, both directions on one panel, PM.</w:t>
      </w:r>
    </w:p>
    <w:p>
      <w:pPr>
        <w:pStyle w:val="Heading2"/>
      </w:pPr>
      <w:r>
        <w:t>4.3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4.1. Source: transit_line_loads.csv in each run folder, scaled to the peak hour as above.</w:t>
      </w:r>
    </w:p>
    <w:p>
      <w:r>
        <w:drawing>
          <wp:inline xmlns:a="http://schemas.openxmlformats.org/drawingml/2006/main" xmlns:pic="http://schemas.openxmlformats.org/drawingml/2006/picture">
            <wp:extent cx="9000000" cy="4846154"/>
            <wp:docPr id="16" name="Picture 16"/>
            <wp:cNvGraphicFramePr>
              <a:graphicFrameLocks noChangeAspect="1"/>
            </wp:cNvGraphicFramePr>
            <a:graphic>
              <a:graphicData uri="http://schemas.openxmlformats.org/drawingml/2006/picture">
                <pic:pic>
                  <pic:nvPicPr>
                    <pic:cNvPr id="0" name="flow_transit_scenarios_AM.png"/>
                    <pic:cNvPicPr/>
                  </pic:nvPicPr>
                  <pic:blipFill>
                    <a:blip r:embed="rId24"/>
                    <a:stretch>
                      <a:fillRect/>
                    </a:stretch>
                  </pic:blipFill>
                  <pic:spPr>
                    <a:xfrm>
                      <a:off x="0" y="0"/>
                      <a:ext cx="9000000" cy="4846154"/>
                    </a:xfrm>
                    <a:prstGeom prst="rect"/>
                  </pic:spPr>
                </pic:pic>
              </a:graphicData>
            </a:graphic>
          </wp:inline>
        </w:drawing>
      </w:r>
    </w:p>
    <w:p>
      <w:r>
        <w:rPr>
          <w:i/>
          <w:sz w:val="16"/>
        </w:rPr>
        <w:t>Figure 4.7 — Total transit flow by segment and direction, the four scenarios, AM.</w:t>
      </w:r>
    </w:p>
    <w:p>
      <w:r>
        <w:drawing>
          <wp:inline xmlns:a="http://schemas.openxmlformats.org/drawingml/2006/main" xmlns:pic="http://schemas.openxmlformats.org/drawingml/2006/picture">
            <wp:extent cx="9000000" cy="4846154"/>
            <wp:docPr id="17" name="Picture 17"/>
            <wp:cNvGraphicFramePr>
              <a:graphicFrameLocks noChangeAspect="1"/>
            </wp:cNvGraphicFramePr>
            <a:graphic>
              <a:graphicData uri="http://schemas.openxmlformats.org/drawingml/2006/picture">
                <pic:pic>
                  <pic:nvPicPr>
                    <pic:cNvPr id="0" name="flow_transit_scenarios_PM.png"/>
                    <pic:cNvPicPr/>
                  </pic:nvPicPr>
                  <pic:blipFill>
                    <a:blip r:embed="rId25"/>
                    <a:stretch>
                      <a:fillRect/>
                    </a:stretch>
                  </pic:blipFill>
                  <pic:spPr>
                    <a:xfrm>
                      <a:off x="0" y="0"/>
                      <a:ext cx="9000000" cy="4846154"/>
                    </a:xfrm>
                    <a:prstGeom prst="rect"/>
                  </pic:spPr>
                </pic:pic>
              </a:graphicData>
            </a:graphic>
          </wp:inline>
        </w:drawing>
      </w:r>
    </w:p>
    <w:p>
      <w:r>
        <w:rPr>
          <w:i/>
          <w:sz w:val="16"/>
        </w:rPr>
        <w:t>Figure 4.8 — Total transit flow by segment and direction, the four scenarios, PM.</w:t>
      </w:r>
    </w:p>
    <w:p>
      <w:r>
        <w:drawing>
          <wp:inline xmlns:a="http://schemas.openxmlformats.org/drawingml/2006/main" xmlns:pic="http://schemas.openxmlformats.org/drawingml/2006/picture">
            <wp:extent cx="9000000" cy="9000000"/>
            <wp:docPr id="18" name="Picture 18"/>
            <wp:cNvGraphicFramePr>
              <a:graphicFrameLocks noChangeAspect="1"/>
            </wp:cNvGraphicFramePr>
            <a:graphic>
              <a:graphicData uri="http://schemas.openxmlformats.org/drawingml/2006/picture">
                <pic:pic>
                  <pic:nvPicPr>
                    <pic:cNvPr id="0" name="flow_transit_AM.png"/>
                    <pic:cNvPicPr/>
                  </pic:nvPicPr>
                  <pic:blipFill>
                    <a:blip r:embed="rId26"/>
                    <a:stretch>
                      <a:fillRect/>
                    </a:stretch>
                  </pic:blipFill>
                  <pic:spPr>
                    <a:xfrm>
                      <a:off x="0" y="0"/>
                      <a:ext cx="9000000" cy="9000000"/>
                    </a:xfrm>
                    <a:prstGeom prst="rect"/>
                  </pic:spPr>
                </pic:pic>
              </a:graphicData>
            </a:graphic>
          </wp:inline>
        </w:drawing>
      </w:r>
    </w:p>
    <w:p>
      <w:r>
        <w:rPr>
          <w:i/>
          <w:sz w:val="16"/>
        </w:rPr>
        <w:t>Figure 4.9 — Total transit flow per scenario, both directions, AM.</w:t>
      </w:r>
    </w:p>
    <w:p>
      <w:r>
        <w:drawing>
          <wp:inline xmlns:a="http://schemas.openxmlformats.org/drawingml/2006/main" xmlns:pic="http://schemas.openxmlformats.org/drawingml/2006/picture">
            <wp:extent cx="9000000" cy="9000000"/>
            <wp:docPr id="19" name="Picture 19"/>
            <wp:cNvGraphicFramePr>
              <a:graphicFrameLocks noChangeAspect="1"/>
            </wp:cNvGraphicFramePr>
            <a:graphic>
              <a:graphicData uri="http://schemas.openxmlformats.org/drawingml/2006/picture">
                <pic:pic>
                  <pic:nvPicPr>
                    <pic:cNvPr id="0" name="flow_transit_PM.png"/>
                    <pic:cNvPicPr/>
                  </pic:nvPicPr>
                  <pic:blipFill>
                    <a:blip r:embed="rId27"/>
                    <a:stretch>
                      <a:fillRect/>
                    </a:stretch>
                  </pic:blipFill>
                  <pic:spPr>
                    <a:xfrm>
                      <a:off x="0" y="0"/>
                      <a:ext cx="9000000" cy="9000000"/>
                    </a:xfrm>
                    <a:prstGeom prst="rect"/>
                  </pic:spPr>
                </pic:pic>
              </a:graphicData>
            </a:graphic>
          </wp:inline>
        </w:drawing>
      </w:r>
    </w:p>
    <w:p>
      <w:r>
        <w:rPr>
          <w:i/>
          <w:sz w:val="16"/>
        </w:rPr>
        <w:t>Figure 4.10 — Total transit flow per scenario, both directions, PM.</w:t>
      </w:r>
    </w:p>
    <w:p>
      <w:pPr>
        <w:sectPr>
          <w:pgSz w:w="15840" w:h="12240" w:orient="landscape"/>
          <w:pgMar w:top="1440" w:right="850" w:bottom="1440" w:left="850" w:header="720" w:footer="720" w:gutter="0"/>
          <w:cols w:space="720"/>
          <w:docGrid w:linePitch="360"/>
        </w:sectPr>
      </w:pPr>
    </w:p>
    <w:p>
      <w:pPr>
        <w:pStyle w:val="Heading2"/>
      </w:pPr>
      <w:r>
        <w:t>4.4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5760000" cy="2215385"/>
            <wp:docPr id="20" name="Picture 20"/>
            <wp:cNvGraphicFramePr>
              <a:graphicFrameLocks noChangeAspect="1"/>
            </wp:cNvGraphicFramePr>
            <a:graphic>
              <a:graphicData uri="http://schemas.openxmlformats.org/drawingml/2006/picture">
                <pic:pic>
                  <pic:nvPicPr>
                    <pic:cNvPr id="0" name="mode_split.png"/>
                    <pic:cNvPicPr/>
                  </pic:nvPicPr>
                  <pic:blipFill>
                    <a:blip r:embed="rId28"/>
                    <a:stretch>
                      <a:fillRect/>
                    </a:stretch>
                  </pic:blipFill>
                  <pic:spPr>
                    <a:xfrm>
                      <a:off x="0" y="0"/>
                      <a:ext cx="5760000" cy="2215385"/>
                    </a:xfrm>
                    <a:prstGeom prst="rect"/>
                  </pic:spPr>
                </pic:pic>
              </a:graphicData>
            </a:graphic>
          </wp:inline>
        </w:drawing>
      </w:r>
    </w:p>
    <w:p>
      <w:r>
        <w:rPr>
          <w:i/>
          <w:sz w:val="16"/>
        </w:rPr>
        <w:t>Figure 4.11 — Mode split on the corridor after the LRT: car, bus, Metronit and LRT, AM and PM.</w:t>
      </w:r>
    </w:p>
    <w:p>
      <w:pPr>
        <w:pStyle w:val="Heading2"/>
      </w:pPr>
      <w:r>
        <w:t>4.5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4.3 — LRT trips in the two regimes of the extension. The Unprioritized regime (at-grade running, 65.8 min end to end on the extension against 40.7) loses about a fifth of the LRT trips, most of it on the extension itself.</w:t>
      </w:r>
    </w:p>
    <w:p>
      <w:pPr>
        <w:pStyle w:val="Heading2"/>
      </w:pPr>
      <w:r>
        <w:t>4.6 Sensitivity: slower buses in 2040 and 2050</w:t>
      </w:r>
    </w:p>
    <w:p>
      <w:r>
        <w:t>Every scenario year runs on the May 2026 level of service: the car and the buses are as fast in 2050 as today while the corridor demand grows by 30–60 %. This is the "do-minimum network" convention, kept because the 2040 road and transit network of the regional model is not available and degrading today's network with tomorrow's demand while leaving out every planned scheme would be the worse assumption. Two things follow. First, a slower car would change nothing in this model: the pivot moves trips on the change of the transit bundle only, and the car's level enters through the observed 2022 shares (caveat 25); making the car count needs a no-build mode-choice step (handover item D-11). Second, slower buses do count: a bus in mixed traffic that slows with the road raises the bus generalized cost, while the Metronit on its lanes and a Prioritized LRT keep their times, so both the LRT share within transit and the draw from the car rise. The central assumption is therefore conservative for the LRT.</w:t>
      </w:r>
    </w:p>
    <w:p>
      <w:r>
        <w:t>The sensitivity: step 45 rerun with the running time of every bus ride that is not the Metronit multiplied by 1.10 in 2040 and 1.20 in 2050 (both BU and HS), the Metronit and the LRT unchanged, the bus feeder legs of the LRT paths slowed with the buses. The factors are a reading of a standard volume–delay curve for a road demand growing by 1.3–1.6 × from about 80 % of capacity, not a calibrated value: the May 2026 car speeds hardly move by hour (caveat 24) and cannot calibrate one. Source: Output/alternatives_bus_slow/demand_summary.csv.</w:t>
      </w:r>
    </w:p>
    <w:tbl>
      <w:tblPr>
        <w:tblStyle w:val="LightGrid-Accent1"/>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712"/>
          </w:tcPr>
          <w:p>
            <w:r>
              <w:rPr>
                <w:b/>
                <w:sz w:val="14"/>
              </w:rPr>
              <w:t>period</w:t>
            </w:r>
          </w:p>
        </w:tc>
        <w:tc>
          <w:tcPr>
            <w:tcW w:type="dxa" w:w="712"/>
          </w:tcPr>
          <w:p>
            <w:r>
              <w:rPr>
                <w:b/>
                <w:sz w:val="14"/>
              </w:rPr>
              <w:t>scenario</w:t>
            </w:r>
          </w:p>
        </w:tc>
        <w:tc>
          <w:tcPr>
            <w:tcW w:type="dxa" w:w="712"/>
          </w:tcPr>
          <w:p>
            <w:r>
              <w:rPr>
                <w:b/>
                <w:sz w:val="14"/>
              </w:rPr>
              <w:t>bus factor</w:t>
            </w:r>
          </w:p>
        </w:tc>
        <w:tc>
          <w:tcPr>
            <w:tcW w:type="dxa" w:w="712"/>
          </w:tcPr>
          <w:p>
            <w:r>
              <w:rPr>
                <w:b/>
                <w:sz w:val="14"/>
              </w:rPr>
              <w:t>LRT central</w:t>
            </w:r>
          </w:p>
        </w:tc>
        <w:tc>
          <w:tcPr>
            <w:tcW w:type="dxa" w:w="712"/>
          </w:tcPr>
          <w:p>
            <w:r>
              <w:rPr>
                <w:b/>
                <w:sz w:val="14"/>
              </w:rPr>
              <w:t>LRT, buses slower</w:t>
            </w:r>
          </w:p>
        </w:tc>
        <w:tc>
          <w:tcPr>
            <w:tcW w:type="dxa" w:w="712"/>
          </w:tcPr>
          <w:p>
            <w:r>
              <w:rPr>
                <w:b/>
                <w:sz w:val="14"/>
              </w:rPr>
              <w:t>ratio</w:t>
            </w:r>
          </w:p>
        </w:tc>
        <w:tc>
          <w:tcPr>
            <w:tcW w:type="dxa" w:w="712"/>
          </w:tcPr>
          <w:p>
            <w:r>
              <w:rPr>
                <w:b/>
                <w:sz w:val="14"/>
              </w:rPr>
              <w:t>from car, central</w:t>
            </w:r>
          </w:p>
        </w:tc>
        <w:tc>
          <w:tcPr>
            <w:tcW w:type="dxa" w:w="712"/>
          </w:tcPr>
          <w:p>
            <w:r>
              <w:rPr>
                <w:b/>
                <w:sz w:val="14"/>
              </w:rPr>
              <w:t>from car, buses slower</w:t>
            </w:r>
          </w:p>
        </w:tc>
        <w:tc>
          <w:tcPr>
            <w:tcW w:type="dxa" w:w="712"/>
          </w:tcPr>
          <w:p>
            <w:r>
              <w:rPr>
                <w:b/>
                <w:sz w:val="14"/>
              </w:rPr>
              <w:t>from bus/BRT, central</w:t>
            </w:r>
          </w:p>
        </w:tc>
        <w:tc>
          <w:tcPr>
            <w:tcW w:type="dxa" w:w="712"/>
          </w:tcPr>
          <w:p>
            <w:r>
              <w:rPr>
                <w:b/>
                <w:sz w:val="14"/>
              </w:rPr>
              <w:t>from bus/BRT, buses slower</w:t>
            </w:r>
          </w:p>
        </w:tc>
        <w:tc>
          <w:tcPr>
            <w:tcW w:type="dxa" w:w="712"/>
          </w:tcPr>
          <w:p>
            <w:r>
              <w:rPr>
                <w:b/>
                <w:sz w:val="14"/>
              </w:rPr>
              <w:t>using the extension, central</w:t>
            </w:r>
          </w:p>
        </w:tc>
        <w:tc>
          <w:tcPr>
            <w:tcW w:type="dxa" w:w="712"/>
          </w:tcPr>
          <w:p>
            <w:r>
              <w:rPr>
                <w:b/>
                <w:sz w:val="14"/>
              </w:rPr>
              <w:t>using the extension, buses slower</w:t>
            </w:r>
          </w:p>
        </w:tc>
        <w:tc>
          <w:tcPr>
            <w:tcW w:type="dxa" w:w="712"/>
          </w:tcPr>
          <w:p>
            <w:r>
              <w:rPr>
                <w:b/>
                <w:sz w:val="14"/>
              </w:rPr>
              <w:t>transit share after, central</w:t>
            </w:r>
          </w:p>
        </w:tc>
        <w:tc>
          <w:tcPr>
            <w:tcW w:type="dxa" w:w="712"/>
          </w:tcPr>
          <w:p>
            <w:r>
              <w:rPr>
                <w:b/>
                <w:sz w:val="14"/>
              </w:rPr>
              <w:t>transit share after, buses slower</w:t>
            </w:r>
          </w:p>
        </w:tc>
      </w:tr>
      <w:tr>
        <w:tc>
          <w:tcPr>
            <w:tcW w:type="dxa" w:w="712"/>
          </w:tcPr>
          <w:p>
            <w:r>
              <w:rPr>
                <w:sz w:val="14"/>
              </w:rPr>
              <w:t>AM</w:t>
            </w:r>
          </w:p>
        </w:tc>
        <w:tc>
          <w:tcPr>
            <w:tcW w:type="dxa" w:w="712"/>
          </w:tcPr>
          <w:p>
            <w:r>
              <w:rPr>
                <w:sz w:val="14"/>
              </w:rPr>
              <w:t>2040 BU</w:t>
            </w:r>
          </w:p>
        </w:tc>
        <w:tc>
          <w:tcPr>
            <w:tcW w:type="dxa" w:w="712"/>
          </w:tcPr>
          <w:p>
            <w:r>
              <w:rPr>
                <w:sz w:val="14"/>
              </w:rPr>
              <w:t>1.10</w:t>
            </w:r>
          </w:p>
        </w:tc>
        <w:tc>
          <w:tcPr>
            <w:tcW w:type="dxa" w:w="712"/>
          </w:tcPr>
          <w:p>
            <w:r>
              <w:rPr>
                <w:sz w:val="14"/>
              </w:rPr>
              <w:t>6,309</w:t>
            </w:r>
          </w:p>
        </w:tc>
        <w:tc>
          <w:tcPr>
            <w:tcW w:type="dxa" w:w="712"/>
          </w:tcPr>
          <w:p>
            <w:r>
              <w:rPr>
                <w:sz w:val="14"/>
              </w:rPr>
              <w:t>6,442</w:t>
            </w:r>
          </w:p>
        </w:tc>
        <w:tc>
          <w:tcPr>
            <w:tcW w:type="dxa" w:w="712"/>
          </w:tcPr>
          <w:p>
            <w:r>
              <w:rPr>
                <w:sz w:val="14"/>
              </w:rPr>
              <w:t>1.02</w:t>
            </w:r>
          </w:p>
        </w:tc>
        <w:tc>
          <w:tcPr>
            <w:tcW w:type="dxa" w:w="712"/>
          </w:tcPr>
          <w:p>
            <w:r>
              <w:rPr>
                <w:sz w:val="14"/>
              </w:rPr>
              <w:t>353</w:t>
            </w:r>
          </w:p>
        </w:tc>
        <w:tc>
          <w:tcPr>
            <w:tcW w:type="dxa" w:w="712"/>
          </w:tcPr>
          <w:p>
            <w:r>
              <w:rPr>
                <w:sz w:val="14"/>
              </w:rPr>
              <w:t>376</w:t>
            </w:r>
          </w:p>
        </w:tc>
        <w:tc>
          <w:tcPr>
            <w:tcW w:type="dxa" w:w="712"/>
          </w:tcPr>
          <w:p>
            <w:r>
              <w:rPr>
                <w:sz w:val="14"/>
              </w:rPr>
              <w:t>5,956</w:t>
            </w:r>
          </w:p>
        </w:tc>
        <w:tc>
          <w:tcPr>
            <w:tcW w:type="dxa" w:w="712"/>
          </w:tcPr>
          <w:p>
            <w:r>
              <w:rPr>
                <w:sz w:val="14"/>
              </w:rPr>
              <w:t>6,066</w:t>
            </w:r>
          </w:p>
        </w:tc>
        <w:tc>
          <w:tcPr>
            <w:tcW w:type="dxa" w:w="712"/>
          </w:tcPr>
          <w:p>
            <w:r>
              <w:rPr>
                <w:sz w:val="14"/>
              </w:rPr>
              <w:t>4,950</w:t>
            </w:r>
          </w:p>
        </w:tc>
        <w:tc>
          <w:tcPr>
            <w:tcW w:type="dxa" w:w="712"/>
          </w:tcPr>
          <w:p>
            <w:r>
              <w:rPr>
                <w:sz w:val="14"/>
              </w:rPr>
              <w:t>5,037</w:t>
            </w:r>
          </w:p>
        </w:tc>
        <w:tc>
          <w:tcPr>
            <w:tcW w:type="dxa" w:w="712"/>
          </w:tcPr>
          <w:p>
            <w:r>
              <w:rPr>
                <w:sz w:val="14"/>
              </w:rPr>
              <w:t>20.4 %</w:t>
            </w:r>
          </w:p>
        </w:tc>
        <w:tc>
          <w:tcPr>
            <w:tcW w:type="dxa" w:w="712"/>
          </w:tcPr>
          <w:p>
            <w:r>
              <w:rPr>
                <w:sz w:val="14"/>
              </w:rPr>
              <w:t>20.5 %</w:t>
            </w:r>
          </w:p>
        </w:tc>
      </w:tr>
      <w:tr>
        <w:tc>
          <w:tcPr>
            <w:tcW w:type="dxa" w:w="712"/>
          </w:tcPr>
          <w:p>
            <w:r>
              <w:rPr>
                <w:sz w:val="14"/>
              </w:rPr>
              <w:t>AM</w:t>
            </w:r>
          </w:p>
        </w:tc>
        <w:tc>
          <w:tcPr>
            <w:tcW w:type="dxa" w:w="712"/>
          </w:tcPr>
          <w:p>
            <w:r>
              <w:rPr>
                <w:sz w:val="14"/>
              </w:rPr>
              <w:t>2050 BU</w:t>
            </w:r>
          </w:p>
        </w:tc>
        <w:tc>
          <w:tcPr>
            <w:tcW w:type="dxa" w:w="712"/>
          </w:tcPr>
          <w:p>
            <w:r>
              <w:rPr>
                <w:sz w:val="14"/>
              </w:rPr>
              <w:t>1.20</w:t>
            </w:r>
          </w:p>
        </w:tc>
        <w:tc>
          <w:tcPr>
            <w:tcW w:type="dxa" w:w="712"/>
          </w:tcPr>
          <w:p>
            <w:r>
              <w:rPr>
                <w:sz w:val="14"/>
              </w:rPr>
              <w:t>7,433</w:t>
            </w:r>
          </w:p>
        </w:tc>
        <w:tc>
          <w:tcPr>
            <w:tcW w:type="dxa" w:w="712"/>
          </w:tcPr>
          <w:p>
            <w:r>
              <w:rPr>
                <w:sz w:val="14"/>
              </w:rPr>
              <w:t>7,804</w:t>
            </w:r>
          </w:p>
        </w:tc>
        <w:tc>
          <w:tcPr>
            <w:tcW w:type="dxa" w:w="712"/>
          </w:tcPr>
          <w:p>
            <w:r>
              <w:rPr>
                <w:sz w:val="14"/>
              </w:rPr>
              <w:t>1.05</w:t>
            </w:r>
          </w:p>
        </w:tc>
        <w:tc>
          <w:tcPr>
            <w:tcW w:type="dxa" w:w="712"/>
          </w:tcPr>
          <w:p>
            <w:r>
              <w:rPr>
                <w:sz w:val="14"/>
              </w:rPr>
              <w:t>818</w:t>
            </w:r>
          </w:p>
        </w:tc>
        <w:tc>
          <w:tcPr>
            <w:tcW w:type="dxa" w:w="712"/>
          </w:tcPr>
          <w:p>
            <w:r>
              <w:rPr>
                <w:sz w:val="14"/>
              </w:rPr>
              <w:t>948</w:t>
            </w:r>
          </w:p>
        </w:tc>
        <w:tc>
          <w:tcPr>
            <w:tcW w:type="dxa" w:w="712"/>
          </w:tcPr>
          <w:p>
            <w:r>
              <w:rPr>
                <w:sz w:val="14"/>
              </w:rPr>
              <w:t>6,614</w:t>
            </w:r>
          </w:p>
        </w:tc>
        <w:tc>
          <w:tcPr>
            <w:tcW w:type="dxa" w:w="712"/>
          </w:tcPr>
          <w:p>
            <w:r>
              <w:rPr>
                <w:sz w:val="14"/>
              </w:rPr>
              <w:t>6,856</w:t>
            </w:r>
          </w:p>
        </w:tc>
        <w:tc>
          <w:tcPr>
            <w:tcW w:type="dxa" w:w="712"/>
          </w:tcPr>
          <w:p>
            <w:r>
              <w:rPr>
                <w:sz w:val="14"/>
              </w:rPr>
              <w:t>6,003</w:t>
            </w:r>
          </w:p>
        </w:tc>
        <w:tc>
          <w:tcPr>
            <w:tcW w:type="dxa" w:w="712"/>
          </w:tcPr>
          <w:p>
            <w:r>
              <w:rPr>
                <w:sz w:val="14"/>
              </w:rPr>
              <w:t>6,283</w:t>
            </w:r>
          </w:p>
        </w:tc>
        <w:tc>
          <w:tcPr>
            <w:tcW w:type="dxa" w:w="712"/>
          </w:tcPr>
          <w:p>
            <w:r>
              <w:rPr>
                <w:sz w:val="14"/>
              </w:rPr>
              <w:t>20.6 %</w:t>
            </w:r>
          </w:p>
        </w:tc>
        <w:tc>
          <w:tcPr>
            <w:tcW w:type="dxa" w:w="712"/>
          </w:tcPr>
          <w:p>
            <w:r>
              <w:rPr>
                <w:sz w:val="14"/>
              </w:rPr>
              <w:t>20.7 %</w:t>
            </w:r>
          </w:p>
        </w:tc>
      </w:tr>
      <w:tr>
        <w:tc>
          <w:tcPr>
            <w:tcW w:type="dxa" w:w="712"/>
          </w:tcPr>
          <w:p>
            <w:r>
              <w:rPr>
                <w:sz w:val="14"/>
              </w:rPr>
              <w:t>AM</w:t>
            </w:r>
          </w:p>
        </w:tc>
        <w:tc>
          <w:tcPr>
            <w:tcW w:type="dxa" w:w="712"/>
          </w:tcPr>
          <w:p>
            <w:r>
              <w:rPr>
                <w:sz w:val="14"/>
              </w:rPr>
              <w:t>2040 HS</w:t>
            </w:r>
          </w:p>
        </w:tc>
        <w:tc>
          <w:tcPr>
            <w:tcW w:type="dxa" w:w="712"/>
          </w:tcPr>
          <w:p>
            <w:r>
              <w:rPr>
                <w:sz w:val="14"/>
              </w:rPr>
              <w:t>1.10</w:t>
            </w:r>
          </w:p>
        </w:tc>
        <w:tc>
          <w:tcPr>
            <w:tcW w:type="dxa" w:w="712"/>
          </w:tcPr>
          <w:p>
            <w:r>
              <w:rPr>
                <w:sz w:val="14"/>
              </w:rPr>
              <w:t>7,476</w:t>
            </w:r>
          </w:p>
        </w:tc>
        <w:tc>
          <w:tcPr>
            <w:tcW w:type="dxa" w:w="712"/>
          </w:tcPr>
          <w:p>
            <w:r>
              <w:rPr>
                <w:sz w:val="14"/>
              </w:rPr>
              <w:t>7,624</w:t>
            </w:r>
          </w:p>
        </w:tc>
        <w:tc>
          <w:tcPr>
            <w:tcW w:type="dxa" w:w="712"/>
          </w:tcPr>
          <w:p>
            <w:r>
              <w:rPr>
                <w:sz w:val="14"/>
              </w:rPr>
              <w:t>1.02</w:t>
            </w:r>
          </w:p>
        </w:tc>
        <w:tc>
          <w:tcPr>
            <w:tcW w:type="dxa" w:w="712"/>
          </w:tcPr>
          <w:p>
            <w:r>
              <w:rPr>
                <w:sz w:val="14"/>
              </w:rPr>
              <w:t>870</w:t>
            </w:r>
          </w:p>
        </w:tc>
        <w:tc>
          <w:tcPr>
            <w:tcW w:type="dxa" w:w="712"/>
          </w:tcPr>
          <w:p>
            <w:r>
              <w:rPr>
                <w:sz w:val="14"/>
              </w:rPr>
              <w:t>916</w:t>
            </w:r>
          </w:p>
        </w:tc>
        <w:tc>
          <w:tcPr>
            <w:tcW w:type="dxa" w:w="712"/>
          </w:tcPr>
          <w:p>
            <w:r>
              <w:rPr>
                <w:sz w:val="14"/>
              </w:rPr>
              <w:t>6,606</w:t>
            </w:r>
          </w:p>
        </w:tc>
        <w:tc>
          <w:tcPr>
            <w:tcW w:type="dxa" w:w="712"/>
          </w:tcPr>
          <w:p>
            <w:r>
              <w:rPr>
                <w:sz w:val="14"/>
              </w:rPr>
              <w:t>6,708</w:t>
            </w:r>
          </w:p>
        </w:tc>
        <w:tc>
          <w:tcPr>
            <w:tcW w:type="dxa" w:w="712"/>
          </w:tcPr>
          <w:p>
            <w:r>
              <w:rPr>
                <w:sz w:val="14"/>
              </w:rPr>
              <w:t>5,651</w:t>
            </w:r>
          </w:p>
        </w:tc>
        <w:tc>
          <w:tcPr>
            <w:tcW w:type="dxa" w:w="712"/>
          </w:tcPr>
          <w:p>
            <w:r>
              <w:rPr>
                <w:sz w:val="14"/>
              </w:rPr>
              <w:t>5,735</w:t>
            </w:r>
          </w:p>
        </w:tc>
        <w:tc>
          <w:tcPr>
            <w:tcW w:type="dxa" w:w="712"/>
          </w:tcPr>
          <w:p>
            <w:r>
              <w:rPr>
                <w:sz w:val="14"/>
              </w:rPr>
              <w:t>20.8 %</w:t>
            </w:r>
          </w:p>
        </w:tc>
        <w:tc>
          <w:tcPr>
            <w:tcW w:type="dxa" w:w="712"/>
          </w:tcPr>
          <w:p>
            <w:r>
              <w:rPr>
                <w:sz w:val="14"/>
              </w:rPr>
              <w:t>20.9 %</w:t>
            </w:r>
          </w:p>
        </w:tc>
      </w:tr>
      <w:tr>
        <w:tc>
          <w:tcPr>
            <w:tcW w:type="dxa" w:w="712"/>
          </w:tcPr>
          <w:p>
            <w:r>
              <w:rPr>
                <w:sz w:val="14"/>
              </w:rPr>
              <w:t>AM</w:t>
            </w:r>
          </w:p>
        </w:tc>
        <w:tc>
          <w:tcPr>
            <w:tcW w:type="dxa" w:w="712"/>
          </w:tcPr>
          <w:p>
            <w:r>
              <w:rPr>
                <w:sz w:val="14"/>
              </w:rPr>
              <w:t>2050 HS</w:t>
            </w:r>
          </w:p>
        </w:tc>
        <w:tc>
          <w:tcPr>
            <w:tcW w:type="dxa" w:w="712"/>
          </w:tcPr>
          <w:p>
            <w:r>
              <w:rPr>
                <w:sz w:val="14"/>
              </w:rPr>
              <w:t>1.20</w:t>
            </w:r>
          </w:p>
        </w:tc>
        <w:tc>
          <w:tcPr>
            <w:tcW w:type="dxa" w:w="712"/>
          </w:tcPr>
          <w:p>
            <w:r>
              <w:rPr>
                <w:sz w:val="14"/>
              </w:rPr>
              <w:t>9,225</w:t>
            </w:r>
          </w:p>
        </w:tc>
        <w:tc>
          <w:tcPr>
            <w:tcW w:type="dxa" w:w="712"/>
          </w:tcPr>
          <w:p>
            <w:r>
              <w:rPr>
                <w:sz w:val="14"/>
              </w:rPr>
              <w:t>9,590</w:t>
            </w:r>
          </w:p>
        </w:tc>
        <w:tc>
          <w:tcPr>
            <w:tcW w:type="dxa" w:w="712"/>
          </w:tcPr>
          <w:p>
            <w:r>
              <w:rPr>
                <w:sz w:val="14"/>
              </w:rPr>
              <w:t>1.04</w:t>
            </w:r>
          </w:p>
        </w:tc>
        <w:tc>
          <w:tcPr>
            <w:tcW w:type="dxa" w:w="712"/>
          </w:tcPr>
          <w:p>
            <w:r>
              <w:rPr>
                <w:sz w:val="14"/>
              </w:rPr>
              <w:t>1,311</w:t>
            </w:r>
          </w:p>
        </w:tc>
        <w:tc>
          <w:tcPr>
            <w:tcW w:type="dxa" w:w="712"/>
          </w:tcPr>
          <w:p>
            <w:r>
              <w:rPr>
                <w:sz w:val="14"/>
              </w:rPr>
              <w:t>1,446</w:t>
            </w:r>
          </w:p>
        </w:tc>
        <w:tc>
          <w:tcPr>
            <w:tcW w:type="dxa" w:w="712"/>
          </w:tcPr>
          <w:p>
            <w:r>
              <w:rPr>
                <w:sz w:val="14"/>
              </w:rPr>
              <w:t>7,914</w:t>
            </w:r>
          </w:p>
        </w:tc>
        <w:tc>
          <w:tcPr>
            <w:tcW w:type="dxa" w:w="712"/>
          </w:tcPr>
          <w:p>
            <w:r>
              <w:rPr>
                <w:sz w:val="14"/>
              </w:rPr>
              <w:t>8,144</w:t>
            </w:r>
          </w:p>
        </w:tc>
        <w:tc>
          <w:tcPr>
            <w:tcW w:type="dxa" w:w="712"/>
          </w:tcPr>
          <w:p>
            <w:r>
              <w:rPr>
                <w:sz w:val="14"/>
              </w:rPr>
              <w:t>7,010</w:t>
            </w:r>
          </w:p>
        </w:tc>
        <w:tc>
          <w:tcPr>
            <w:tcW w:type="dxa" w:w="712"/>
          </w:tcPr>
          <w:p>
            <w:r>
              <w:rPr>
                <w:sz w:val="14"/>
              </w:rPr>
              <w:t>7,226</w:t>
            </w:r>
          </w:p>
        </w:tc>
        <w:tc>
          <w:tcPr>
            <w:tcW w:type="dxa" w:w="712"/>
          </w:tcPr>
          <w:p>
            <w:r>
              <w:rPr>
                <w:sz w:val="14"/>
              </w:rPr>
              <w:t>21.0 %</w:t>
            </w:r>
          </w:p>
        </w:tc>
        <w:tc>
          <w:tcPr>
            <w:tcW w:type="dxa" w:w="712"/>
          </w:tcPr>
          <w:p>
            <w:r>
              <w:rPr>
                <w:sz w:val="14"/>
              </w:rPr>
              <w:t>21.1 %</w:t>
            </w:r>
          </w:p>
        </w:tc>
      </w:tr>
      <w:tr>
        <w:tc>
          <w:tcPr>
            <w:tcW w:type="dxa" w:w="712"/>
          </w:tcPr>
          <w:p>
            <w:r>
              <w:rPr>
                <w:sz w:val="14"/>
              </w:rPr>
              <w:t>PM</w:t>
            </w:r>
          </w:p>
        </w:tc>
        <w:tc>
          <w:tcPr>
            <w:tcW w:type="dxa" w:w="712"/>
          </w:tcPr>
          <w:p>
            <w:r>
              <w:rPr>
                <w:sz w:val="14"/>
              </w:rPr>
              <w:t>2040 BU</w:t>
            </w:r>
          </w:p>
        </w:tc>
        <w:tc>
          <w:tcPr>
            <w:tcW w:type="dxa" w:w="712"/>
          </w:tcPr>
          <w:p>
            <w:r>
              <w:rPr>
                <w:sz w:val="14"/>
              </w:rPr>
              <w:t>1.10</w:t>
            </w:r>
          </w:p>
        </w:tc>
        <w:tc>
          <w:tcPr>
            <w:tcW w:type="dxa" w:w="712"/>
          </w:tcPr>
          <w:p>
            <w:r>
              <w:rPr>
                <w:sz w:val="14"/>
              </w:rPr>
              <w:t>5,358</w:t>
            </w:r>
          </w:p>
        </w:tc>
        <w:tc>
          <w:tcPr>
            <w:tcW w:type="dxa" w:w="712"/>
          </w:tcPr>
          <w:p>
            <w:r>
              <w:rPr>
                <w:sz w:val="14"/>
              </w:rPr>
              <w:t>5,477</w:t>
            </w:r>
          </w:p>
        </w:tc>
        <w:tc>
          <w:tcPr>
            <w:tcW w:type="dxa" w:w="712"/>
          </w:tcPr>
          <w:p>
            <w:r>
              <w:rPr>
                <w:sz w:val="14"/>
              </w:rPr>
              <w:t>1.02</w:t>
            </w:r>
          </w:p>
        </w:tc>
        <w:tc>
          <w:tcPr>
            <w:tcW w:type="dxa" w:w="712"/>
          </w:tcPr>
          <w:p>
            <w:r>
              <w:rPr>
                <w:sz w:val="14"/>
              </w:rPr>
              <w:t>327</w:t>
            </w:r>
          </w:p>
        </w:tc>
        <w:tc>
          <w:tcPr>
            <w:tcW w:type="dxa" w:w="712"/>
          </w:tcPr>
          <w:p>
            <w:r>
              <w:rPr>
                <w:sz w:val="14"/>
              </w:rPr>
              <w:t>346</w:t>
            </w:r>
          </w:p>
        </w:tc>
        <w:tc>
          <w:tcPr>
            <w:tcW w:type="dxa" w:w="712"/>
          </w:tcPr>
          <w:p>
            <w:r>
              <w:rPr>
                <w:sz w:val="14"/>
              </w:rPr>
              <w:t>5,031</w:t>
            </w:r>
          </w:p>
        </w:tc>
        <w:tc>
          <w:tcPr>
            <w:tcW w:type="dxa" w:w="712"/>
          </w:tcPr>
          <w:p>
            <w:r>
              <w:rPr>
                <w:sz w:val="14"/>
              </w:rPr>
              <w:t>5,132</w:t>
            </w:r>
          </w:p>
        </w:tc>
        <w:tc>
          <w:tcPr>
            <w:tcW w:type="dxa" w:w="712"/>
          </w:tcPr>
          <w:p>
            <w:r>
              <w:rPr>
                <w:sz w:val="14"/>
              </w:rPr>
              <w:t>4,300</w:t>
            </w:r>
          </w:p>
        </w:tc>
        <w:tc>
          <w:tcPr>
            <w:tcW w:type="dxa" w:w="712"/>
          </w:tcPr>
          <w:p>
            <w:r>
              <w:rPr>
                <w:sz w:val="14"/>
              </w:rPr>
              <w:t>4,395</w:t>
            </w:r>
          </w:p>
        </w:tc>
        <w:tc>
          <w:tcPr>
            <w:tcW w:type="dxa" w:w="712"/>
          </w:tcPr>
          <w:p>
            <w:r>
              <w:rPr>
                <w:sz w:val="14"/>
              </w:rPr>
              <w:t>15.9 %</w:t>
            </w:r>
          </w:p>
        </w:tc>
        <w:tc>
          <w:tcPr>
            <w:tcW w:type="dxa" w:w="712"/>
          </w:tcPr>
          <w:p>
            <w:r>
              <w:rPr>
                <w:sz w:val="14"/>
              </w:rPr>
              <w:t>16.0 %</w:t>
            </w:r>
          </w:p>
        </w:tc>
      </w:tr>
      <w:tr>
        <w:tc>
          <w:tcPr>
            <w:tcW w:type="dxa" w:w="712"/>
          </w:tcPr>
          <w:p>
            <w:r>
              <w:rPr>
                <w:sz w:val="14"/>
              </w:rPr>
              <w:t>PM</w:t>
            </w:r>
          </w:p>
        </w:tc>
        <w:tc>
          <w:tcPr>
            <w:tcW w:type="dxa" w:w="712"/>
          </w:tcPr>
          <w:p>
            <w:r>
              <w:rPr>
                <w:sz w:val="14"/>
              </w:rPr>
              <w:t>2050 BU</w:t>
            </w:r>
          </w:p>
        </w:tc>
        <w:tc>
          <w:tcPr>
            <w:tcW w:type="dxa" w:w="712"/>
          </w:tcPr>
          <w:p>
            <w:r>
              <w:rPr>
                <w:sz w:val="14"/>
              </w:rPr>
              <w:t>1.20</w:t>
            </w:r>
          </w:p>
        </w:tc>
        <w:tc>
          <w:tcPr>
            <w:tcW w:type="dxa" w:w="712"/>
          </w:tcPr>
          <w:p>
            <w:r>
              <w:rPr>
                <w:sz w:val="14"/>
              </w:rPr>
              <w:t>6,135</w:t>
            </w:r>
          </w:p>
        </w:tc>
        <w:tc>
          <w:tcPr>
            <w:tcW w:type="dxa" w:w="712"/>
          </w:tcPr>
          <w:p>
            <w:r>
              <w:rPr>
                <w:sz w:val="14"/>
              </w:rPr>
              <w:t>6,399</w:t>
            </w:r>
          </w:p>
        </w:tc>
        <w:tc>
          <w:tcPr>
            <w:tcW w:type="dxa" w:w="712"/>
          </w:tcPr>
          <w:p>
            <w:r>
              <w:rPr>
                <w:sz w:val="14"/>
              </w:rPr>
              <w:t>1.04</w:t>
            </w:r>
          </w:p>
        </w:tc>
        <w:tc>
          <w:tcPr>
            <w:tcW w:type="dxa" w:w="712"/>
          </w:tcPr>
          <w:p>
            <w:r>
              <w:rPr>
                <w:sz w:val="14"/>
              </w:rPr>
              <w:t>368</w:t>
            </w:r>
          </w:p>
        </w:tc>
        <w:tc>
          <w:tcPr>
            <w:tcW w:type="dxa" w:w="712"/>
          </w:tcPr>
          <w:p>
            <w:r>
              <w:rPr>
                <w:sz w:val="14"/>
              </w:rPr>
              <w:t>411</w:t>
            </w:r>
          </w:p>
        </w:tc>
        <w:tc>
          <w:tcPr>
            <w:tcW w:type="dxa" w:w="712"/>
          </w:tcPr>
          <w:p>
            <w:r>
              <w:rPr>
                <w:sz w:val="14"/>
              </w:rPr>
              <w:t>5,766</w:t>
            </w:r>
          </w:p>
        </w:tc>
        <w:tc>
          <w:tcPr>
            <w:tcW w:type="dxa" w:w="712"/>
          </w:tcPr>
          <w:p>
            <w:r>
              <w:rPr>
                <w:sz w:val="14"/>
              </w:rPr>
              <w:t>5,988</w:t>
            </w:r>
          </w:p>
        </w:tc>
        <w:tc>
          <w:tcPr>
            <w:tcW w:type="dxa" w:w="712"/>
          </w:tcPr>
          <w:p>
            <w:r>
              <w:rPr>
                <w:sz w:val="14"/>
              </w:rPr>
              <w:t>4,998</w:t>
            </w:r>
          </w:p>
        </w:tc>
        <w:tc>
          <w:tcPr>
            <w:tcW w:type="dxa" w:w="712"/>
          </w:tcPr>
          <w:p>
            <w:r>
              <w:rPr>
                <w:sz w:val="14"/>
              </w:rPr>
              <w:t>5,212</w:t>
            </w:r>
          </w:p>
        </w:tc>
        <w:tc>
          <w:tcPr>
            <w:tcW w:type="dxa" w:w="712"/>
          </w:tcPr>
          <w:p>
            <w:r>
              <w:rPr>
                <w:sz w:val="14"/>
              </w:rPr>
              <w:t>15.7 %</w:t>
            </w:r>
          </w:p>
        </w:tc>
        <w:tc>
          <w:tcPr>
            <w:tcW w:type="dxa" w:w="712"/>
          </w:tcPr>
          <w:p>
            <w:r>
              <w:rPr>
                <w:sz w:val="14"/>
              </w:rPr>
              <w:t>15.7 %</w:t>
            </w:r>
          </w:p>
        </w:tc>
      </w:tr>
      <w:tr>
        <w:tc>
          <w:tcPr>
            <w:tcW w:type="dxa" w:w="712"/>
          </w:tcPr>
          <w:p>
            <w:r>
              <w:rPr>
                <w:sz w:val="14"/>
              </w:rPr>
              <w:t>PM</w:t>
            </w:r>
          </w:p>
        </w:tc>
        <w:tc>
          <w:tcPr>
            <w:tcW w:type="dxa" w:w="712"/>
          </w:tcPr>
          <w:p>
            <w:r>
              <w:rPr>
                <w:sz w:val="14"/>
              </w:rPr>
              <w:t>2040 HS</w:t>
            </w:r>
          </w:p>
        </w:tc>
        <w:tc>
          <w:tcPr>
            <w:tcW w:type="dxa" w:w="712"/>
          </w:tcPr>
          <w:p>
            <w:r>
              <w:rPr>
                <w:sz w:val="14"/>
              </w:rPr>
              <w:t>1.10</w:t>
            </w:r>
          </w:p>
        </w:tc>
        <w:tc>
          <w:tcPr>
            <w:tcW w:type="dxa" w:w="712"/>
          </w:tcPr>
          <w:p>
            <w:r>
              <w:rPr>
                <w:sz w:val="14"/>
              </w:rPr>
              <w:t>5,620</w:t>
            </w:r>
          </w:p>
        </w:tc>
        <w:tc>
          <w:tcPr>
            <w:tcW w:type="dxa" w:w="712"/>
          </w:tcPr>
          <w:p>
            <w:r>
              <w:rPr>
                <w:sz w:val="14"/>
              </w:rPr>
              <w:t>5,723</w:t>
            </w:r>
          </w:p>
        </w:tc>
        <w:tc>
          <w:tcPr>
            <w:tcW w:type="dxa" w:w="712"/>
          </w:tcPr>
          <w:p>
            <w:r>
              <w:rPr>
                <w:sz w:val="14"/>
              </w:rPr>
              <w:t>1.02</w:t>
            </w:r>
          </w:p>
        </w:tc>
        <w:tc>
          <w:tcPr>
            <w:tcW w:type="dxa" w:w="712"/>
          </w:tcPr>
          <w:p>
            <w:r>
              <w:rPr>
                <w:sz w:val="14"/>
              </w:rPr>
              <w:t>425</w:t>
            </w:r>
          </w:p>
        </w:tc>
        <w:tc>
          <w:tcPr>
            <w:tcW w:type="dxa" w:w="712"/>
          </w:tcPr>
          <w:p>
            <w:r>
              <w:rPr>
                <w:sz w:val="14"/>
              </w:rPr>
              <w:t>446</w:t>
            </w:r>
          </w:p>
        </w:tc>
        <w:tc>
          <w:tcPr>
            <w:tcW w:type="dxa" w:w="712"/>
          </w:tcPr>
          <w:p>
            <w:r>
              <w:rPr>
                <w:sz w:val="14"/>
              </w:rPr>
              <w:t>5,195</w:t>
            </w:r>
          </w:p>
        </w:tc>
        <w:tc>
          <w:tcPr>
            <w:tcW w:type="dxa" w:w="712"/>
          </w:tcPr>
          <w:p>
            <w:r>
              <w:rPr>
                <w:sz w:val="14"/>
              </w:rPr>
              <w:t>5,277</w:t>
            </w:r>
          </w:p>
        </w:tc>
        <w:tc>
          <w:tcPr>
            <w:tcW w:type="dxa" w:w="712"/>
          </w:tcPr>
          <w:p>
            <w:r>
              <w:rPr>
                <w:sz w:val="14"/>
              </w:rPr>
              <w:t>4,595</w:t>
            </w:r>
          </w:p>
        </w:tc>
        <w:tc>
          <w:tcPr>
            <w:tcW w:type="dxa" w:w="712"/>
          </w:tcPr>
          <w:p>
            <w:r>
              <w:rPr>
                <w:sz w:val="14"/>
              </w:rPr>
              <w:t>4,676</w:t>
            </w:r>
          </w:p>
        </w:tc>
        <w:tc>
          <w:tcPr>
            <w:tcW w:type="dxa" w:w="712"/>
          </w:tcPr>
          <w:p>
            <w:r>
              <w:rPr>
                <w:sz w:val="14"/>
              </w:rPr>
              <w:t>15.8 %</w:t>
            </w:r>
          </w:p>
        </w:tc>
        <w:tc>
          <w:tcPr>
            <w:tcW w:type="dxa" w:w="712"/>
          </w:tcPr>
          <w:p>
            <w:r>
              <w:rPr>
                <w:sz w:val="14"/>
              </w:rPr>
              <w:t>15.9 %</w:t>
            </w:r>
          </w:p>
        </w:tc>
      </w:tr>
      <w:tr>
        <w:tc>
          <w:tcPr>
            <w:tcW w:type="dxa" w:w="712"/>
          </w:tcPr>
          <w:p>
            <w:r>
              <w:rPr>
                <w:sz w:val="14"/>
              </w:rPr>
              <w:t>PM</w:t>
            </w:r>
          </w:p>
        </w:tc>
        <w:tc>
          <w:tcPr>
            <w:tcW w:type="dxa" w:w="712"/>
          </w:tcPr>
          <w:p>
            <w:r>
              <w:rPr>
                <w:sz w:val="14"/>
              </w:rPr>
              <w:t>2050 HS</w:t>
            </w:r>
          </w:p>
        </w:tc>
        <w:tc>
          <w:tcPr>
            <w:tcW w:type="dxa" w:w="712"/>
          </w:tcPr>
          <w:p>
            <w:r>
              <w:rPr>
                <w:sz w:val="14"/>
              </w:rPr>
              <w:t>1.20</w:t>
            </w:r>
          </w:p>
        </w:tc>
        <w:tc>
          <w:tcPr>
            <w:tcW w:type="dxa" w:w="712"/>
          </w:tcPr>
          <w:p>
            <w:r>
              <w:rPr>
                <w:sz w:val="14"/>
              </w:rPr>
              <w:t>5,956</w:t>
            </w:r>
          </w:p>
        </w:tc>
        <w:tc>
          <w:tcPr>
            <w:tcW w:type="dxa" w:w="712"/>
          </w:tcPr>
          <w:p>
            <w:r>
              <w:rPr>
                <w:sz w:val="14"/>
              </w:rPr>
              <w:t>6,155</w:t>
            </w:r>
          </w:p>
        </w:tc>
        <w:tc>
          <w:tcPr>
            <w:tcW w:type="dxa" w:w="712"/>
          </w:tcPr>
          <w:p>
            <w:r>
              <w:rPr>
                <w:sz w:val="14"/>
              </w:rPr>
              <w:t>1.03</w:t>
            </w:r>
          </w:p>
        </w:tc>
        <w:tc>
          <w:tcPr>
            <w:tcW w:type="dxa" w:w="712"/>
          </w:tcPr>
          <w:p>
            <w:r>
              <w:rPr>
                <w:sz w:val="14"/>
              </w:rPr>
              <w:t>466</w:t>
            </w:r>
          </w:p>
        </w:tc>
        <w:tc>
          <w:tcPr>
            <w:tcW w:type="dxa" w:w="712"/>
          </w:tcPr>
          <w:p>
            <w:r>
              <w:rPr>
                <w:sz w:val="14"/>
              </w:rPr>
              <w:t>509</w:t>
            </w:r>
          </w:p>
        </w:tc>
        <w:tc>
          <w:tcPr>
            <w:tcW w:type="dxa" w:w="712"/>
          </w:tcPr>
          <w:p>
            <w:r>
              <w:rPr>
                <w:sz w:val="14"/>
              </w:rPr>
              <w:t>5,490</w:t>
            </w:r>
          </w:p>
        </w:tc>
        <w:tc>
          <w:tcPr>
            <w:tcW w:type="dxa" w:w="712"/>
          </w:tcPr>
          <w:p>
            <w:r>
              <w:rPr>
                <w:sz w:val="14"/>
              </w:rPr>
              <w:t>5,646</w:t>
            </w:r>
          </w:p>
        </w:tc>
        <w:tc>
          <w:tcPr>
            <w:tcW w:type="dxa" w:w="712"/>
          </w:tcPr>
          <w:p>
            <w:r>
              <w:rPr>
                <w:sz w:val="14"/>
              </w:rPr>
              <w:t>4,918</w:t>
            </w:r>
          </w:p>
        </w:tc>
        <w:tc>
          <w:tcPr>
            <w:tcW w:type="dxa" w:w="712"/>
          </w:tcPr>
          <w:p>
            <w:r>
              <w:rPr>
                <w:sz w:val="14"/>
              </w:rPr>
              <w:t>5,074</w:t>
            </w:r>
          </w:p>
        </w:tc>
        <w:tc>
          <w:tcPr>
            <w:tcW w:type="dxa" w:w="712"/>
          </w:tcPr>
          <w:p>
            <w:r>
              <w:rPr>
                <w:sz w:val="14"/>
              </w:rPr>
              <w:t>15.2 %</w:t>
            </w:r>
          </w:p>
        </w:tc>
        <w:tc>
          <w:tcPr>
            <w:tcW w:type="dxa" w:w="712"/>
          </w:tcPr>
          <w:p>
            <w:r>
              <w:rPr>
                <w:sz w:val="14"/>
              </w:rPr>
              <w:t>15.3 %</w:t>
            </w:r>
          </w:p>
        </w:tc>
      </w:tr>
    </w:tbl>
    <w:p>
      <w:r>
        <w:rPr>
          <w:sz w:val="16"/>
        </w:rPr>
        <w:t>Table 4.4 — LRT trips with slower buses against the central case, main route + extension, Prioritized (three hours). AM: the LRT gains +2 % to +5 %, from 6,309–9,225 to 6,442–9,590.</w:t>
      </w:r>
    </w:p>
    <w:p>
      <w:pPr>
        <w:pStyle w:val="Heading2"/>
      </w:pPr>
      <w:r>
        <w:t>4.7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4.5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4.8 Maps</w:t>
      </w:r>
    </w:p>
    <w:p>
      <w:r>
        <w:t>The map set of the alternatives report (Output/figures/alternatives/, 41 maps: line loads, origins and destinations of the LRT trips, LRT share, growth, shift sources and rates, travel-time maps) applies to these runs; four are reproduced here.</w:t>
      </w:r>
    </w:p>
    <w:p>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map_line_loads_AM_HS_2050.png"/>
                    <pic:cNvPicPr/>
                  </pic:nvPicPr>
                  <pic:blipFill>
                    <a:blip r:embed="rId29"/>
                    <a:stretch>
                      <a:fillRect/>
                    </a:stretch>
                  </pic:blipFill>
                  <pic:spPr>
                    <a:xfrm>
                      <a:off x="0" y="0"/>
                      <a:ext cx="5760000" cy="4680000"/>
                    </a:xfrm>
                    <a:prstGeom prst="rect"/>
                  </pic:spPr>
                </pic:pic>
              </a:graphicData>
            </a:graphic>
          </wp:inline>
        </w:drawing>
      </w:r>
    </w:p>
    <w:p>
      <w:r>
        <w:rPr>
          <w:i/>
          <w:sz w:val="16"/>
        </w:rPr>
        <w:t>Figure 4.12 — LRT line loads and station boardings in the peak hour, HS 2050 AM.</w:t>
      </w:r>
    </w:p>
    <w:p>
      <w:r>
        <w:drawing>
          <wp:inline xmlns:a="http://schemas.openxmlformats.org/drawingml/2006/main" xmlns:pic="http://schemas.openxmlformats.org/drawingml/2006/picture">
            <wp:extent cx="5760000" cy="468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5760000" cy="4680000"/>
                    </a:xfrm>
                    <a:prstGeom prst="rect"/>
                  </pic:spPr>
                </pic:pic>
              </a:graphicData>
            </a:graphic>
          </wp:inline>
        </w:drawing>
      </w:r>
    </w:p>
    <w:p>
      <w:r>
        <w:rPr>
          <w:i/>
          <w:sz w:val="16"/>
        </w:rPr>
        <w:t>Figure 4.13 — Growth of the LRT trips by TAZ, 2022 → each scenario, AM peak hour.</w:t>
      </w:r>
    </w:p>
    <w:p>
      <w:r>
        <w:drawing>
          <wp:inline xmlns:a="http://schemas.openxmlformats.org/drawingml/2006/main" xmlns:pic="http://schemas.openxmlformats.org/drawingml/2006/picture">
            <wp:extent cx="5760000" cy="1832727"/>
            <wp:docPr id="23" name="Picture 23"/>
            <wp:cNvGraphicFramePr>
              <a:graphicFrameLocks noChangeAspect="1"/>
            </wp:cNvGraphicFramePr>
            <a:graphic>
              <a:graphicData uri="http://schemas.openxmlformats.org/drawingml/2006/picture">
                <pic:pic>
                  <pic:nvPicPr>
                    <pic:cNvPr id="0" name="map_shift_sources_AM_BU_2040.png"/>
                    <pic:cNvPicPr/>
                  </pic:nvPicPr>
                  <pic:blipFill>
                    <a:blip r:embed="rId31"/>
                    <a:stretch>
                      <a:fillRect/>
                    </a:stretch>
                  </pic:blipFill>
                  <pic:spPr>
                    <a:xfrm>
                      <a:off x="0" y="0"/>
                      <a:ext cx="5760000" cy="1832727"/>
                    </a:xfrm>
                    <a:prstGeom prst="rect"/>
                  </pic:spPr>
                </pic:pic>
              </a:graphicData>
            </a:graphic>
          </wp:inline>
        </w:drawing>
      </w:r>
    </w:p>
    <w:p>
      <w:r>
        <w:rPr>
          <w:i/>
          <w:sz w:val="16"/>
        </w:rPr>
        <w:t>Figure 4.14 — Sources of the LRT trips by TAZ (car, Metronit, bus), BU 2040 AM peak hour.</w:t>
      </w:r>
    </w:p>
    <w:p>
      <w:r>
        <w:drawing>
          <wp:inline xmlns:a="http://schemas.openxmlformats.org/drawingml/2006/main" xmlns:pic="http://schemas.openxmlformats.org/drawingml/2006/picture">
            <wp:extent cx="5760000" cy="1832727"/>
            <wp:docPr id="24" name="Picture 24"/>
            <wp:cNvGraphicFramePr>
              <a:graphicFrameLocks noChangeAspect="1"/>
            </wp:cNvGraphicFramePr>
            <a:graphic>
              <a:graphicData uri="http://schemas.openxmlformats.org/drawingml/2006/picture">
                <pic:pic>
                  <pic:nvPicPr>
                    <pic:cNvPr id="0" name="map_time_lrt_vs_bus_AM.png"/>
                    <pic:cNvPicPr/>
                  </pic:nvPicPr>
                  <pic:blipFill>
                    <a:blip r:embed="rId32"/>
                    <a:stretch>
                      <a:fillRect/>
                    </a:stretch>
                  </pic:blipFill>
                  <pic:spPr>
                    <a:xfrm>
                      <a:off x="0" y="0"/>
                      <a:ext cx="5760000" cy="1832727"/>
                    </a:xfrm>
                    <a:prstGeom prst="rect"/>
                  </pic:spPr>
                </pic:pic>
              </a:graphicData>
            </a:graphic>
          </wp:inline>
        </w:drawing>
      </w:r>
    </w:p>
    <w:p>
      <w:r>
        <w:rPr>
          <w:i/>
          <w:sz w:val="16"/>
        </w:rPr>
        <w:t>Figure 4.15 — LRT against bus generalized cost by TAZ, AM.</w:t>
      </w:r>
    </w:p>
    <w:p>
      <w:pPr>
        <w:pStyle w:val="Heading1"/>
      </w:pPr>
      <w:r>
        <w:t>5. Conclusions</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level of service is held at May 2026 in every year, and if the buses slow with the road (10 % in 2040, 20 % in 2050) the LRT gains 2–5 % in the AM (section 4.6), so the constant-LOS central case is conservative for the LRT;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