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00"/>
        <w:jc w:val="right"/>
      </w:pPr>
      <w:r>
        <w:rPr>
          <w:rFonts w:ascii="Arial" w:hAnsi="Arial" w:cs="Arial"/>
          <w:b/>
          <w:color w:val="1F3864"/>
          <w:sz w:val="34"/>
          <w:rtl/>
          <w:szCs w:val="34"/>
          <w:bCs/>
        </w:rPr>
        <w:t>סעיף 8 – מגבלות ידועות ושאלות פתוחות (תרגום ופישוט)</w:t>
      </w:r>
    </w:p>
    <w:tbl>
      <w:tblPr>
        <w:tblW w:type="auto" w:w="0"/>
        <w:jc w:val="right"/>
        <w:tblLook w:firstColumn="1" w:firstRow="1" w:lastColumn="0" w:lastRow="0" w:noHBand="0" w:noVBand="1" w:val="04A0"/>
      </w:tblPr>
      <w:tblGrid>
        <w:gridCol w:w="9746"/>
      </w:tblGrid>
      <w:tr>
        <w:tc>
          <w:tcPr>
            <w:tcW w:type="dxa" w:w="9746"/>
            <w:shd w:val="clear" w:fill="EAF1FB"/>
          </w:tcPr>
          <w:p>
            <w:pPr>
              <w:bidi/>
              <w:spacing w:after="60"/>
              <w:jc w:val="right"/>
            </w:pPr>
            <w:r>
              <w:rPr>
                <w:rFonts w:ascii="Arial" w:hAnsi="Arial" w:cs="Arial"/>
                <w:b/>
                <w:sz w:val="21"/>
                <w:rtl/>
                <w:szCs w:val="21"/>
                <w:bCs/>
              </w:rPr>
              <w:t>במילים פשוטות.</w:t>
            </w:r>
            <w:r>
              <w:rPr>
                <w:rFonts w:ascii="Arial" w:hAnsi="Arial" w:cs="Arial"/>
                <w:sz w:val="21"/>
                <w:rtl/>
                <w:szCs w:val="21"/>
              </w:rPr>
              <w:t xml:space="preserve"> זו רשימת המגבלות של התוצרים, ממוספרת כדי שאפשר יהיה להפנות אליהן מתוך התוצאות.</w:t>
            </w:r>
          </w:p>
          <w:p>
            <w:pPr>
              <w:bidi/>
              <w:spacing w:after="60"/>
              <w:jc w:val="right"/>
            </w:pPr>
            <w:r>
              <w:rPr>
                <w:rFonts w:ascii="Arial" w:hAnsi="Arial" w:cs="Arial"/>
                <w:sz w:val="21"/>
                <w:rtl/>
                <w:szCs w:val="21"/>
              </w:rPr>
              <w:t>• מגבלות ‎1‎–‎5:‎ מטריצות "ההיברידיות" ההיסטוריות (שילוב של סקר וסלולר).</w:t>
            </w:r>
          </w:p>
          <w:p>
            <w:pPr>
              <w:bidi/>
              <w:spacing w:after="60"/>
              <w:jc w:val="right"/>
            </w:pPr>
            <w:r>
              <w:rPr>
                <w:rFonts w:ascii="Arial" w:hAnsi="Arial" w:cs="Arial"/>
                <w:sz w:val="21"/>
                <w:rtl/>
                <w:szCs w:val="21"/>
              </w:rPr>
              <w:t>• מגבלות ‎6‎–‎13:‎ עלו בביקורת החיצונית.</w:t>
            </w:r>
          </w:p>
          <w:p>
            <w:pPr>
              <w:bidi/>
              <w:spacing w:after="60"/>
              <w:jc w:val="right"/>
            </w:pPr>
            <w:r>
              <w:rPr>
                <w:rFonts w:ascii="Arial" w:hAnsi="Arial" w:cs="Arial"/>
                <w:sz w:val="21"/>
                <w:rtl/>
                <w:szCs w:val="21"/>
              </w:rPr>
              <w:t>• מגבלות ‎14‎–‎18:‎ תיקונים וממצאים מ-23 בספטמבר (קודי אמצעי תחבורה, פרמטר λ, כרטיסי רב-קו 2025, דפוס ה-OnBoard, שעת שיא שטוחה יותר מהצפוי).</w:t>
            </w:r>
          </w:p>
          <w:p>
            <w:pPr>
              <w:bidi/>
              <w:spacing w:after="60"/>
              <w:jc w:val="right"/>
            </w:pPr>
            <w:r>
              <w:rPr>
                <w:rFonts w:ascii="Arial" w:hAnsi="Arial" w:cs="Arial"/>
                <w:sz w:val="21"/>
                <w:rtl/>
                <w:szCs w:val="21"/>
              </w:rPr>
              <w:t>• מגבלות ‎19‎–‎23:‎ ממצאי תוכנית האימות.</w:t>
            </w:r>
          </w:p>
          <w:p>
            <w:pPr>
              <w:bidi/>
              <w:spacing w:after="60"/>
              <w:jc w:val="right"/>
            </w:pPr>
            <w:r>
              <w:rPr>
                <w:rFonts w:ascii="Arial" w:hAnsi="Arial" w:cs="Arial"/>
                <w:sz w:val="21"/>
                <w:rtl/>
                <w:szCs w:val="21"/>
              </w:rPr>
              <w:t>• מגבלות ‎24‎–‎29:‎ מהירויות הרכב, התנהגות מודל ה"לכידה" והחלופות.</w:t>
            </w:r>
          </w:p>
          <w:p>
            <w:pPr>
              <w:bidi/>
              <w:spacing w:after="60"/>
              <w:jc w:val="right"/>
            </w:pPr>
            <w:r>
              <w:rPr>
                <w:rFonts w:ascii="Arial" w:hAnsi="Arial" w:cs="Arial"/>
                <w:sz w:val="21"/>
                <w:rtl/>
                <w:szCs w:val="21"/>
              </w:rPr>
              <w:t xml:space="preserve">למי שמשתמש במספרי הקו הקל (LRT), החשובות ביותר: </w:t>
            </w:r>
            <w:r>
              <w:rPr>
                <w:rFonts w:ascii="Arial" w:hAnsi="Arial" w:cs="Arial"/>
                <w:b/>
                <w:sz w:val="21"/>
                <w:rtl/>
                <w:szCs w:val="21"/>
                <w:bCs/>
              </w:rPr>
              <w:t>15</w:t>
            </w:r>
            <w:r>
              <w:rPr>
                <w:rFonts w:ascii="Arial" w:hAnsi="Arial" w:cs="Arial"/>
                <w:sz w:val="21"/>
                <w:rtl/>
                <w:szCs w:val="21"/>
              </w:rPr>
              <w:t xml:space="preserve"> (λ), </w:t>
            </w:r>
            <w:r>
              <w:rPr>
                <w:rFonts w:ascii="Arial" w:hAnsi="Arial" w:cs="Arial"/>
                <w:b/>
                <w:sz w:val="21"/>
                <w:rtl/>
                <w:szCs w:val="21"/>
                <w:bCs/>
              </w:rPr>
              <w:t>18</w:t>
            </w:r>
            <w:r>
              <w:rPr>
                <w:rFonts w:ascii="Arial" w:hAnsi="Arial" w:cs="Arial"/>
                <w:sz w:val="21"/>
                <w:rtl/>
                <w:szCs w:val="21"/>
              </w:rPr>
              <w:t xml:space="preserve"> (שעת שיא), </w:t>
            </w:r>
            <w:r>
              <w:rPr>
                <w:rFonts w:ascii="Arial" w:hAnsi="Arial" w:cs="Arial"/>
                <w:b/>
                <w:sz w:val="21"/>
                <w:rtl/>
                <w:szCs w:val="21"/>
                <w:bCs/>
              </w:rPr>
              <w:t>‎25‎–‎27‎</w:t>
            </w:r>
            <w:r>
              <w:rPr>
                <w:rFonts w:ascii="Arial" w:hAnsi="Arial" w:cs="Arial"/>
                <w:sz w:val="21"/>
                <w:rtl/>
                <w:szCs w:val="21"/>
              </w:rPr>
              <w:t xml:space="preserve"> (מה שיטת ה"פיבוט" יכולה ולא יכולה להזיז) ו-</w:t>
            </w:r>
            <w:r>
              <w:rPr>
                <w:rFonts w:ascii="Arial" w:hAnsi="Arial" w:cs="Arial"/>
                <w:b/>
                <w:sz w:val="21"/>
                <w:rtl/>
                <w:szCs w:val="21"/>
                <w:bCs/>
              </w:rPr>
              <w:t>‎28‎–‎29‎</w:t>
            </w:r>
            <w:r>
              <w:rPr>
                <w:rFonts w:ascii="Arial" w:hAnsi="Arial" w:cs="Arial"/>
                <w:sz w:val="21"/>
                <w:rtl/>
                <w:szCs w:val="21"/>
              </w:rPr>
              <w:t xml:space="preserve"> (ההנחות של שלב 45).</w:t>
            </w:r>
          </w:p>
        </w:tc>
      </w:tr>
    </w:tbl>
    <w:p>
      <w:pPr>
        <w:spacing w:after="40"/>
      </w:pPr>
    </w:p>
    <w:p>
      <w:pPr>
        <w:keepNext/>
        <w:bidi/>
        <w:spacing w:after="120" w:before="240"/>
        <w:jc w:val="right"/>
      </w:pPr>
      <w:r>
        <w:rPr>
          <w:rFonts w:ascii="Arial" w:hAnsi="Arial" w:cs="Arial"/>
          <w:b/>
          <w:color w:val="1F3864"/>
          <w:sz w:val="27"/>
          <w:rtl/>
          <w:szCs w:val="27"/>
          <w:bCs/>
        </w:rPr>
        <w:t>מילון קצר למונחים שחוזרים</w:t>
      </w:r>
    </w:p>
    <w:tbl>
      <w:tblPr>
        <w:tblStyle w:val="TableGrid"/>
        <w:tblW w:type="auto" w:w="0"/>
        <w:jc w:val="right"/>
        <w:tblLook w:firstColumn="1" w:firstRow="1" w:lastColumn="0" w:lastRow="0" w:noHBand="0" w:noVBand="1" w:val="04A0"/>
        <w:bidiVisual/>
      </w:tblPr>
      <w:tblGrid>
        <w:gridCol w:w="4873"/>
        <w:gridCol w:w="4873"/>
      </w:tblGrid>
      <w:tr>
        <w:tc>
          <w:tcPr>
            <w:tcW w:type="dxa" w:w="2948"/>
            <w:shd w:val="clear" w:fill="1F3864"/>
          </w:tcPr>
          <w:p>
            <w:pPr>
              <w:bidi/>
              <w:spacing w:after="40"/>
              <w:jc w:val="right"/>
            </w:pPr>
            <w:r>
              <w:rPr>
                <w:rFonts w:ascii="Arial" w:hAnsi="Arial" w:cs="Arial"/>
                <w:b/>
                <w:color w:val="FFFFFF"/>
                <w:sz w:val="20"/>
                <w:rtl/>
                <w:szCs w:val="20"/>
                <w:bCs/>
              </w:rPr>
              <w:t>מונח</w:t>
            </w:r>
          </w:p>
        </w:tc>
        <w:tc>
          <w:tcPr>
            <w:tcW w:type="dxa" w:w="6350"/>
            <w:shd w:val="clear" w:fill="1F3864"/>
          </w:tcPr>
          <w:p>
            <w:pPr>
              <w:bidi/>
              <w:spacing w:after="40"/>
              <w:jc w:val="right"/>
            </w:pPr>
            <w:r>
              <w:rPr>
                <w:rFonts w:ascii="Arial" w:hAnsi="Arial" w:cs="Arial"/>
                <w:b/>
                <w:color w:val="FFFFFF"/>
                <w:sz w:val="20"/>
                <w:rtl/>
                <w:szCs w:val="20"/>
                <w:bCs/>
              </w:rPr>
              <w:t>משמעות פשוטה</w:t>
            </w:r>
          </w:p>
        </w:tc>
      </w:tr>
      <w:tr>
        <w:tc>
          <w:tcPr>
            <w:tcW w:type="dxa" w:w="2948"/>
          </w:tcPr>
          <w:p>
            <w:pPr>
              <w:bidi/>
              <w:spacing w:after="40"/>
              <w:jc w:val="right"/>
            </w:pPr>
            <w:r>
              <w:rPr>
                <w:rFonts w:ascii="Arial" w:hAnsi="Arial" w:cs="Arial"/>
                <w:b/>
                <w:sz w:val="20"/>
                <w:rtl/>
                <w:szCs w:val="20"/>
                <w:bCs/>
              </w:rPr>
              <w:t>סקר (THS)</w:t>
            </w:r>
          </w:p>
        </w:tc>
        <w:tc>
          <w:tcPr>
            <w:tcW w:type="dxa" w:w="6350"/>
          </w:tcPr>
          <w:p>
            <w:pPr>
              <w:bidi/>
              <w:spacing w:after="40"/>
              <w:jc w:val="right"/>
            </w:pPr>
            <w:r>
              <w:rPr>
                <w:rFonts w:ascii="Arial" w:hAnsi="Arial" w:cs="Arial"/>
                <w:sz w:val="20"/>
                <w:rtl/>
                <w:szCs w:val="20"/>
              </w:rPr>
              <w:t>סקר הרגלי נסיעה בקרב משקי בית. מדגם, מוגדל לאוכלוסייה.</w:t>
            </w:r>
          </w:p>
        </w:tc>
      </w:tr>
      <w:tr>
        <w:tc>
          <w:tcPr>
            <w:tcW w:type="dxa" w:w="2948"/>
          </w:tcPr>
          <w:p>
            <w:pPr>
              <w:bidi/>
              <w:spacing w:after="40"/>
              <w:jc w:val="right"/>
            </w:pPr>
            <w:r>
              <w:rPr>
                <w:rFonts w:ascii="Arial" w:hAnsi="Arial" w:cs="Arial"/>
                <w:b/>
                <w:sz w:val="20"/>
                <w:rtl/>
                <w:szCs w:val="20"/>
                <w:bCs/>
              </w:rPr>
              <w:t>סלולר</w:t>
            </w:r>
          </w:p>
        </w:tc>
        <w:tc>
          <w:tcPr>
            <w:tcW w:type="dxa" w:w="6350"/>
          </w:tcPr>
          <w:p>
            <w:pPr>
              <w:bidi/>
              <w:spacing w:after="40"/>
              <w:jc w:val="right"/>
            </w:pPr>
            <w:r>
              <w:rPr>
                <w:rFonts w:ascii="Arial" w:hAnsi="Arial" w:cs="Arial"/>
                <w:sz w:val="20"/>
                <w:rtl/>
                <w:szCs w:val="20"/>
              </w:rPr>
              <w:t>מטריצת נסיעות שנגזרת מנתוני טלפונים סלולריים. רואה היטב נסיעות ארוכות, מפספסת נסיעות קצרות.</w:t>
            </w:r>
          </w:p>
        </w:tc>
      </w:tr>
      <w:tr>
        <w:tc>
          <w:tcPr>
            <w:tcW w:type="dxa" w:w="2948"/>
          </w:tcPr>
          <w:p>
            <w:pPr>
              <w:bidi/>
              <w:spacing w:after="40"/>
              <w:jc w:val="right"/>
            </w:pPr>
            <w:r>
              <w:rPr>
                <w:rFonts w:ascii="Arial" w:hAnsi="Arial" w:cs="Arial"/>
                <w:b/>
                <w:sz w:val="20"/>
                <w:rtl/>
                <w:szCs w:val="20"/>
                <w:bCs/>
              </w:rPr>
              <w:t>היברידי</w:t>
            </w:r>
          </w:p>
        </w:tc>
        <w:tc>
          <w:tcPr>
            <w:tcW w:type="dxa" w:w="6350"/>
          </w:tcPr>
          <w:p>
            <w:pPr>
              <w:bidi/>
              <w:spacing w:after="40"/>
              <w:jc w:val="right"/>
            </w:pPr>
            <w:r>
              <w:rPr>
                <w:rFonts w:ascii="Arial" w:hAnsi="Arial" w:cs="Arial"/>
                <w:sz w:val="20"/>
                <w:rtl/>
                <w:szCs w:val="20"/>
              </w:rPr>
              <w:t>מטריצה שמשלבת את הסקר והסלולר.</w:t>
            </w:r>
          </w:p>
        </w:tc>
      </w:tr>
      <w:tr>
        <w:tc>
          <w:tcPr>
            <w:tcW w:type="dxa" w:w="2948"/>
          </w:tcPr>
          <w:p>
            <w:pPr>
              <w:bidi/>
              <w:spacing w:after="40"/>
              <w:jc w:val="right"/>
            </w:pPr>
            <w:r>
              <w:rPr>
                <w:rFonts w:ascii="Arial" w:hAnsi="Arial" w:cs="Arial"/>
                <w:b/>
                <w:sz w:val="20"/>
                <w:rtl/>
                <w:szCs w:val="20"/>
                <w:bCs/>
              </w:rPr>
              <w:t>TAZ / אזור תנועה</w:t>
            </w:r>
          </w:p>
        </w:tc>
        <w:tc>
          <w:tcPr>
            <w:tcW w:type="dxa" w:w="6350"/>
          </w:tcPr>
          <w:p>
            <w:pPr>
              <w:bidi/>
              <w:spacing w:after="40"/>
              <w:jc w:val="right"/>
            </w:pPr>
            <w:r>
              <w:rPr>
                <w:rFonts w:ascii="Arial" w:hAnsi="Arial" w:cs="Arial"/>
                <w:sz w:val="20"/>
                <w:rtl/>
                <w:szCs w:val="20"/>
              </w:rPr>
              <w:t>היחידה הגיאוגרפית הקטנה של המודל (778 באזור המחקר).</w:t>
            </w:r>
          </w:p>
        </w:tc>
      </w:tr>
      <w:tr>
        <w:tc>
          <w:tcPr>
            <w:tcW w:type="dxa" w:w="2948"/>
          </w:tcPr>
          <w:p>
            <w:pPr>
              <w:bidi/>
              <w:spacing w:after="40"/>
              <w:jc w:val="right"/>
            </w:pPr>
            <w:r>
              <w:rPr>
                <w:rFonts w:ascii="Arial" w:hAnsi="Arial" w:cs="Arial"/>
                <w:b/>
                <w:sz w:val="20"/>
                <w:rtl/>
                <w:szCs w:val="20"/>
                <w:bCs/>
              </w:rPr>
              <w:t>אזור-על (superzone)</w:t>
            </w:r>
          </w:p>
        </w:tc>
        <w:tc>
          <w:tcPr>
            <w:tcW w:type="dxa" w:w="6350"/>
          </w:tcPr>
          <w:p>
            <w:pPr>
              <w:bidi/>
              <w:spacing w:after="40"/>
              <w:jc w:val="right"/>
            </w:pPr>
            <w:r>
              <w:rPr>
                <w:rFonts w:ascii="Arial" w:hAnsi="Arial" w:cs="Arial"/>
                <w:sz w:val="20"/>
                <w:rtl/>
                <w:szCs w:val="20"/>
              </w:rPr>
              <w:t>קיבוץ של כמה אזורי תנועה (36 באזור המחקר).</w:t>
            </w:r>
          </w:p>
        </w:tc>
      </w:tr>
      <w:tr>
        <w:tc>
          <w:tcPr>
            <w:tcW w:type="dxa" w:w="2948"/>
          </w:tcPr>
          <w:p>
            <w:pPr>
              <w:bidi/>
              <w:spacing w:after="40"/>
              <w:jc w:val="right"/>
            </w:pPr>
            <w:r>
              <w:rPr>
                <w:rFonts w:ascii="Arial" w:hAnsi="Arial" w:cs="Arial"/>
                <w:b/>
                <w:sz w:val="20"/>
                <w:rtl/>
                <w:szCs w:val="20"/>
                <w:bCs/>
              </w:rPr>
              <w:t>מטריצת מוצא–יעד (OD)</w:t>
            </w:r>
          </w:p>
        </w:tc>
        <w:tc>
          <w:tcPr>
            <w:tcW w:type="dxa" w:w="6350"/>
          </w:tcPr>
          <w:p>
            <w:pPr>
              <w:bidi/>
              <w:spacing w:after="40"/>
              <w:jc w:val="right"/>
            </w:pPr>
            <w:r>
              <w:rPr>
                <w:rFonts w:ascii="Arial" w:hAnsi="Arial" w:cs="Arial"/>
                <w:sz w:val="20"/>
                <w:rtl/>
                <w:szCs w:val="20"/>
              </w:rPr>
              <w:t>טבלה: כמה נסיעות יוצאות מכל אזור לכל אזור.</w:t>
            </w:r>
          </w:p>
        </w:tc>
      </w:tr>
      <w:tr>
        <w:tc>
          <w:tcPr>
            <w:tcW w:type="dxa" w:w="2948"/>
          </w:tcPr>
          <w:p>
            <w:pPr>
              <w:bidi/>
              <w:spacing w:after="40"/>
              <w:jc w:val="right"/>
            </w:pPr>
            <w:r>
              <w:rPr>
                <w:rFonts w:ascii="Arial" w:hAnsi="Arial" w:cs="Arial"/>
                <w:b/>
                <w:sz w:val="20"/>
                <w:rtl/>
                <w:szCs w:val="20"/>
                <w:bCs/>
              </w:rPr>
              <w:t>רב-קו (RavKav)</w:t>
            </w:r>
          </w:p>
        </w:tc>
        <w:tc>
          <w:tcPr>
            <w:tcW w:type="dxa" w:w="6350"/>
          </w:tcPr>
          <w:p>
            <w:pPr>
              <w:bidi/>
              <w:spacing w:after="40"/>
              <w:jc w:val="right"/>
            </w:pPr>
            <w:r>
              <w:rPr>
                <w:rFonts w:ascii="Arial" w:hAnsi="Arial" w:cs="Arial"/>
                <w:sz w:val="20"/>
                <w:rtl/>
                <w:szCs w:val="20"/>
              </w:rPr>
              <w:t xml:space="preserve">נתוני כרטיס התשלום – מתעדים </w:t>
            </w:r>
            <w:r>
              <w:rPr>
                <w:rFonts w:ascii="Arial" w:hAnsi="Arial" w:cs="Arial"/>
                <w:i/>
                <w:sz w:val="20"/>
                <w:rtl/>
                <w:szCs w:val="20"/>
              </w:rPr>
              <w:t>עלייה</w:t>
            </w:r>
            <w:r>
              <w:rPr>
                <w:rFonts w:ascii="Arial" w:hAnsi="Arial" w:cs="Arial"/>
                <w:sz w:val="20"/>
                <w:rtl/>
                <w:szCs w:val="20"/>
              </w:rPr>
              <w:t xml:space="preserve"> לרכב, בדרך כלל לא את הירידה.</w:t>
            </w:r>
          </w:p>
        </w:tc>
      </w:tr>
      <w:tr>
        <w:tc>
          <w:tcPr>
            <w:tcW w:type="dxa" w:w="2948"/>
          </w:tcPr>
          <w:p>
            <w:pPr>
              <w:bidi/>
              <w:spacing w:after="40"/>
              <w:jc w:val="right"/>
            </w:pPr>
            <w:r>
              <w:rPr>
                <w:rFonts w:ascii="Arial" w:hAnsi="Arial" w:cs="Arial"/>
                <w:b/>
                <w:sz w:val="20"/>
                <w:rtl/>
                <w:szCs w:val="20"/>
                <w:bCs/>
              </w:rPr>
              <w:t>OnBoard</w:t>
            </w:r>
          </w:p>
        </w:tc>
        <w:tc>
          <w:tcPr>
            <w:tcW w:type="dxa" w:w="6350"/>
          </w:tcPr>
          <w:p>
            <w:pPr>
              <w:bidi/>
              <w:spacing w:after="40"/>
              <w:jc w:val="right"/>
            </w:pPr>
            <w:r>
              <w:rPr>
                <w:rFonts w:ascii="Arial" w:hAnsi="Arial" w:cs="Arial"/>
                <w:sz w:val="20"/>
                <w:rtl/>
                <w:szCs w:val="20"/>
              </w:rPr>
              <w:t>סקר נוסעים על הרכב, ממנו נלקח "דפוס" הסתברות לירידה בכל תחנה.</w:t>
            </w:r>
          </w:p>
        </w:tc>
      </w:tr>
      <w:tr>
        <w:tc>
          <w:tcPr>
            <w:tcW w:type="dxa" w:w="2948"/>
          </w:tcPr>
          <w:p>
            <w:pPr>
              <w:bidi/>
              <w:spacing w:after="40"/>
              <w:jc w:val="right"/>
            </w:pPr>
            <w:r>
              <w:rPr>
                <w:rFonts w:ascii="Arial" w:hAnsi="Arial" w:cs="Arial"/>
                <w:b/>
                <w:sz w:val="20"/>
                <w:rtl/>
                <w:szCs w:val="20"/>
                <w:bCs/>
              </w:rPr>
              <w:t>λ (למדא)</w:t>
            </w:r>
          </w:p>
        </w:tc>
        <w:tc>
          <w:tcPr>
            <w:tcW w:type="dxa" w:w="6350"/>
          </w:tcPr>
          <w:p>
            <w:pPr>
              <w:bidi/>
              <w:spacing w:after="40"/>
              <w:jc w:val="right"/>
            </w:pPr>
            <w:r>
              <w:rPr>
                <w:rFonts w:ascii="Arial" w:hAnsi="Arial" w:cs="Arial"/>
                <w:sz w:val="20"/>
                <w:rtl/>
                <w:szCs w:val="20"/>
              </w:rPr>
              <w:t>פרמטר שמודד עד כמה נוסע מגיב לשינוי בעלות הנסיעה (זמן, המתנה, העברות). גדול יותר = רגיש יותר.</w:t>
            </w:r>
          </w:p>
        </w:tc>
      </w:tr>
      <w:tr>
        <w:tc>
          <w:tcPr>
            <w:tcW w:type="dxa" w:w="2948"/>
          </w:tcPr>
          <w:p>
            <w:pPr>
              <w:bidi/>
              <w:spacing w:after="40"/>
              <w:jc w:val="right"/>
            </w:pPr>
            <w:r>
              <w:rPr>
                <w:rFonts w:ascii="Arial" w:hAnsi="Arial" w:cs="Arial"/>
                <w:b/>
                <w:sz w:val="20"/>
                <w:rtl/>
                <w:szCs w:val="20"/>
                <w:bCs/>
              </w:rPr>
              <w:t>פיבוט (pivot / incremental logit)</w:t>
            </w:r>
          </w:p>
        </w:tc>
        <w:tc>
          <w:tcPr>
            <w:tcW w:type="dxa" w:w="6350"/>
          </w:tcPr>
          <w:p>
            <w:pPr>
              <w:bidi/>
              <w:spacing w:after="40"/>
              <w:jc w:val="right"/>
            </w:pPr>
            <w:r>
              <w:rPr>
                <w:rFonts w:ascii="Arial" w:hAnsi="Arial" w:cs="Arial"/>
                <w:sz w:val="20"/>
                <w:rtl/>
                <w:szCs w:val="20"/>
              </w:rPr>
              <w:t xml:space="preserve">שיטה שלוקחת את נתח התחבורה הציבורית הנצפה בכל זוג אזורים ומזיזה אותו לפי </w:t>
            </w:r>
            <w:r>
              <w:rPr>
                <w:rFonts w:ascii="Arial" w:hAnsi="Arial" w:cs="Arial"/>
                <w:i/>
                <w:sz w:val="20"/>
                <w:rtl/>
                <w:szCs w:val="20"/>
              </w:rPr>
              <w:t>השינוי</w:t>
            </w:r>
            <w:r>
              <w:rPr>
                <w:rFonts w:ascii="Arial" w:hAnsi="Arial" w:cs="Arial"/>
                <w:sz w:val="20"/>
                <w:rtl/>
                <w:szCs w:val="20"/>
              </w:rPr>
              <w:t xml:space="preserve"> בעלות הנסיעה כשמוסיפים את הקו הקל.</w:t>
            </w:r>
          </w:p>
        </w:tc>
      </w:tr>
      <w:tr>
        <w:tc>
          <w:tcPr>
            <w:tcW w:type="dxa" w:w="2948"/>
          </w:tcPr>
          <w:p>
            <w:pPr>
              <w:bidi/>
              <w:spacing w:after="40"/>
              <w:jc w:val="right"/>
            </w:pPr>
            <w:r>
              <w:rPr>
                <w:rFonts w:ascii="Arial" w:hAnsi="Arial" w:cs="Arial"/>
                <w:b/>
                <w:sz w:val="20"/>
                <w:rtl/>
                <w:szCs w:val="20"/>
                <w:bCs/>
              </w:rPr>
              <w:t>לכידה (capture)</w:t>
            </w:r>
          </w:p>
        </w:tc>
        <w:tc>
          <w:tcPr>
            <w:tcW w:type="dxa" w:w="6350"/>
          </w:tcPr>
          <w:p>
            <w:pPr>
              <w:bidi/>
              <w:spacing w:after="40"/>
              <w:jc w:val="right"/>
            </w:pPr>
            <w:r>
              <w:rPr>
                <w:rFonts w:ascii="Arial" w:hAnsi="Arial" w:cs="Arial"/>
                <w:sz w:val="20"/>
                <w:rtl/>
                <w:szCs w:val="20"/>
              </w:rPr>
              <w:t>כמות הנוסעים שהקו הקל "לוכד" (ממשיכים קיימים ומעבר מהרכב).</w:t>
            </w:r>
          </w:p>
        </w:tc>
      </w:tr>
      <w:tr>
        <w:tc>
          <w:tcPr>
            <w:tcW w:type="dxa" w:w="2948"/>
          </w:tcPr>
          <w:p>
            <w:pPr>
              <w:bidi/>
              <w:spacing w:after="40"/>
              <w:jc w:val="right"/>
            </w:pPr>
            <w:r>
              <w:rPr>
                <w:rFonts w:ascii="Arial" w:hAnsi="Arial" w:cs="Arial"/>
                <w:b/>
                <w:sz w:val="20"/>
                <w:rtl/>
                <w:szCs w:val="20"/>
                <w:bCs/>
              </w:rPr>
              <w:t>עלות מוכללת (GC)</w:t>
            </w:r>
          </w:p>
        </w:tc>
        <w:tc>
          <w:tcPr>
            <w:tcW w:type="dxa" w:w="6350"/>
          </w:tcPr>
          <w:p>
            <w:pPr>
              <w:bidi/>
              <w:spacing w:after="40"/>
              <w:jc w:val="right"/>
            </w:pPr>
            <w:r>
              <w:rPr>
                <w:rFonts w:ascii="Arial" w:hAnsi="Arial" w:cs="Arial"/>
                <w:sz w:val="20"/>
                <w:rtl/>
                <w:szCs w:val="20"/>
              </w:rPr>
              <w:t>זמן נסיעה + משקלים לזמן המתנה, הליכה והעברות – הכול בדקות שקולות.</w:t>
            </w:r>
          </w:p>
        </w:tc>
      </w:tr>
      <w:tr>
        <w:tc>
          <w:tcPr>
            <w:tcW w:type="dxa" w:w="2948"/>
          </w:tcPr>
          <w:p>
            <w:pPr>
              <w:bidi/>
              <w:spacing w:after="40"/>
              <w:jc w:val="right"/>
            </w:pPr>
            <w:r>
              <w:rPr>
                <w:rFonts w:ascii="Arial" w:hAnsi="Arial" w:cs="Arial"/>
                <w:b/>
                <w:sz w:val="20"/>
                <w:rtl/>
                <w:szCs w:val="20"/>
                <w:bCs/>
              </w:rPr>
              <w:t>סקים (skim)</w:t>
            </w:r>
          </w:p>
        </w:tc>
        <w:tc>
          <w:tcPr>
            <w:tcW w:type="dxa" w:w="6350"/>
          </w:tcPr>
          <w:p>
            <w:pPr>
              <w:bidi/>
              <w:spacing w:after="40"/>
              <w:jc w:val="right"/>
            </w:pPr>
            <w:r>
              <w:rPr>
                <w:rFonts w:ascii="Arial" w:hAnsi="Arial" w:cs="Arial"/>
                <w:sz w:val="20"/>
                <w:rtl/>
                <w:szCs w:val="20"/>
              </w:rPr>
              <w:t>טבלת זמנים/עלויות בין כל זוג אזורים.</w:t>
            </w:r>
          </w:p>
        </w:tc>
      </w:tr>
    </w:tbl>
    <w:p>
      <w:pPr>
        <w:spacing w:after="80"/>
      </w:pPr>
    </w:p>
    <w:p>
      <w:pPr>
        <w:keepNext/>
        <w:bidi/>
        <w:spacing w:after="120" w:before="240"/>
        <w:jc w:val="right"/>
      </w:pPr>
      <w:r>
        <w:rPr>
          <w:rFonts w:ascii="Arial" w:hAnsi="Arial" w:cs="Arial"/>
          <w:b/>
          <w:color w:val="1F3864"/>
          <w:sz w:val="27"/>
          <w:rtl/>
          <w:szCs w:val="27"/>
          <w:bCs/>
        </w:rPr>
        <w:t>א. מגבלות על נתוני הבסיס (‎1‎–‎5‎)</w:t>
      </w:r>
    </w:p>
    <w:p>
      <w:pPr>
        <w:bidi/>
        <w:spacing w:after="140"/>
        <w:jc w:val="right"/>
      </w:pPr>
      <w:r>
        <w:rPr>
          <w:rFonts w:ascii="Arial" w:hAnsi="Arial" w:cs="Arial"/>
          <w:sz w:val="21"/>
          <w:rtl/>
          <w:szCs w:val="21"/>
        </w:rPr>
        <w:t xml:space="preserve">1. </w:t>
      </w:r>
      <w:r>
        <w:rPr>
          <w:rFonts w:ascii="Arial" w:hAnsi="Arial" w:cs="Arial"/>
          <w:b/>
          <w:sz w:val="21"/>
          <w:rtl/>
          <w:szCs w:val="21"/>
          <w:bCs/>
        </w:rPr>
        <w:t>גרסת נתוני הקלט.</w:t>
      </w:r>
      <w:r>
        <w:rPr>
          <w:rFonts w:ascii="Arial" w:hAnsi="Arial" w:cs="Arial"/>
          <w:sz w:val="21"/>
          <w:rtl/>
          <w:szCs w:val="21"/>
        </w:rPr>
        <w:t xml:space="preserve"> קובץ הפעילויות חדש יותר מזה שהיה בהרצה המקורית ב-Colab. התוצאות עקביות בינן לבין עצמן, אך אי אפשר להשוות אותן למספרים השמורים ב-</w:t>
      </w:r>
      <w:r>
        <w:rPr>
          <w:rFonts w:ascii="Consolas" w:hAnsi="Consolas" w:cs="Consolas"/>
          <w:sz w:val="21"/>
          <w:rtl/>
          <w:szCs w:val="21"/>
        </w:rPr>
        <w:t>THS_2018_MTX.ipynb</w:t>
      </w:r>
      <w:r>
        <w:rPr>
          <w:rFonts w:ascii="Arial" w:hAnsi="Arial" w:cs="Arial"/>
          <w:sz w:val="21"/>
          <w:rtl/>
          <w:szCs w:val="21"/>
        </w:rPr>
        <w:t>.</w:t>
      </w:r>
    </w:p>
    <w:p>
      <w:pPr>
        <w:bidi/>
        <w:spacing w:after="140"/>
        <w:jc w:val="right"/>
      </w:pPr>
      <w:r>
        <w:rPr>
          <w:rFonts w:ascii="Arial" w:hAnsi="Arial" w:cs="Arial"/>
          <w:sz w:val="21"/>
          <w:rtl/>
          <w:szCs w:val="21"/>
        </w:rPr>
        <w:t xml:space="preserve">2. </w:t>
      </w:r>
      <w:r>
        <w:rPr>
          <w:rFonts w:ascii="Arial" w:hAnsi="Arial" w:cs="Arial"/>
          <w:b/>
          <w:sz w:val="21"/>
          <w:rtl/>
          <w:szCs w:val="21"/>
          <w:bCs/>
        </w:rPr>
        <w:t>מיפוי הסלולר גס.</w:t>
      </w:r>
      <w:r>
        <w:rPr>
          <w:rFonts w:ascii="Arial" w:hAnsi="Arial" w:cs="Arial"/>
          <w:sz w:val="21"/>
          <w:rtl/>
          <w:szCs w:val="21"/>
        </w:rPr>
        <w:t xml:space="preserve"> זרמים ארציים גסים משוכפלים במלואם לזוגות אזורי תנועה "בנים", והחלוקה הפנימית בתוך אזור-על בשלב 3 יורשת זאת.</w:t>
      </w:r>
    </w:p>
    <w:p>
      <w:pPr>
        <w:bidi/>
        <w:spacing w:after="140"/>
        <w:jc w:val="right"/>
      </w:pPr>
      <w:r>
        <w:rPr>
          <w:rFonts w:ascii="Arial" w:hAnsi="Arial" w:cs="Arial"/>
          <w:sz w:val="21"/>
          <w:rtl/>
          <w:szCs w:val="21"/>
        </w:rPr>
        <w:t xml:space="preserve">3. </w:t>
      </w:r>
      <w:r>
        <w:rPr>
          <w:rFonts w:ascii="Arial" w:hAnsi="Arial" w:cs="Arial"/>
          <w:b/>
          <w:sz w:val="21"/>
          <w:rtl/>
          <w:szCs w:val="21"/>
          <w:bCs/>
        </w:rPr>
        <w:t>פער בנסיעות פנים-אזוריות.</w:t>
      </w:r>
      <w:r>
        <w:rPr>
          <w:rFonts w:ascii="Arial" w:hAnsi="Arial" w:cs="Arial"/>
          <w:sz w:val="21"/>
          <w:rtl/>
          <w:szCs w:val="21"/>
        </w:rPr>
        <w:t xml:space="preserve"> ההבדל הגדול ביותר בין הסקר לסלולר (72% מול 34% נסיעות שנשארות בתוך האזור) נובע מכך שהמדידה שונה: נסיעות קצרות "בלתי נראות" לאנטנות. ההיברידי פותר זאת לטובת הסקר </w:t>
      </w:r>
      <w:r>
        <w:rPr>
          <w:rFonts w:ascii="Arial" w:hAnsi="Arial" w:cs="Arial"/>
          <w:i/>
          <w:sz w:val="21"/>
          <w:rtl/>
          <w:szCs w:val="21"/>
        </w:rPr>
        <w:t>מעצם הבנייה</w:t>
      </w:r>
      <w:r>
        <w:rPr>
          <w:rFonts w:ascii="Arial" w:hAnsi="Arial" w:cs="Arial"/>
          <w:sz w:val="21"/>
          <w:rtl/>
          <w:szCs w:val="21"/>
        </w:rPr>
        <w:t>. רק מקור עצמאי על נסיעות קצרות יכריע.</w:t>
      </w:r>
    </w:p>
    <w:p>
      <w:pPr>
        <w:bidi/>
        <w:spacing w:after="140"/>
        <w:jc w:val="right"/>
      </w:pPr>
      <w:r>
        <w:rPr>
          <w:rFonts w:ascii="Arial" w:hAnsi="Arial" w:cs="Arial"/>
          <w:sz w:val="21"/>
          <w:rtl/>
          <w:szCs w:val="21"/>
        </w:rPr>
        <w:t xml:space="preserve">4. </w:t>
      </w:r>
      <w:r>
        <w:rPr>
          <w:rFonts w:ascii="Arial" w:hAnsi="Arial" w:cs="Arial"/>
          <w:b/>
          <w:sz w:val="21"/>
          <w:rtl/>
          <w:szCs w:val="21"/>
          <w:bCs/>
        </w:rPr>
        <w:t>מגבלות אימות בין ימים.</w:t>
      </w:r>
      <w:r>
        <w:rPr>
          <w:rFonts w:ascii="Arial" w:hAnsi="Arial" w:cs="Arial"/>
          <w:sz w:val="21"/>
          <w:rtl/>
          <w:szCs w:val="21"/>
        </w:rPr>
        <w:t xml:space="preserve"> שני ימי הסקר באים מאותו פאנל משקי בית, ולכן אפשר לכייל רק מול עקביות עצמית. ברמת אזור התנועה ההטיה חזקה עד כדי פסילה מוחלטת של שיטת האימות-הצולב (CV).</w:t>
      </w:r>
    </w:p>
    <w:p>
      <w:pPr>
        <w:bidi/>
        <w:spacing w:after="140"/>
        <w:jc w:val="right"/>
      </w:pPr>
      <w:r>
        <w:rPr>
          <w:rFonts w:ascii="Arial" w:hAnsi="Arial" w:cs="Arial"/>
          <w:sz w:val="21"/>
          <w:rtl/>
          <w:szCs w:val="21"/>
        </w:rPr>
        <w:t xml:space="preserve">5. </w:t>
      </w:r>
      <w:r>
        <w:rPr>
          <w:rFonts w:ascii="Arial" w:hAnsi="Arial" w:cs="Arial"/>
          <w:b/>
          <w:sz w:val="21"/>
          <w:rtl/>
          <w:szCs w:val="21"/>
          <w:bCs/>
        </w:rPr>
        <w:t>היקפים ברמת אזור תנועה.</w:t>
      </w:r>
      <w:r>
        <w:rPr>
          <w:rFonts w:ascii="Arial" w:hAnsi="Arial" w:cs="Arial"/>
          <w:sz w:val="21"/>
          <w:rtl/>
          <w:szCs w:val="21"/>
        </w:rPr>
        <w:t xml:space="preserve"> הקובץ </w:t>
      </w:r>
      <w:r>
        <w:rPr>
          <w:rFonts w:ascii="Consolas" w:hAnsi="Consolas" w:cs="Consolas"/>
          <w:sz w:val="21"/>
          <w:rtl/>
          <w:szCs w:val="21"/>
        </w:rPr>
        <w:t>hybrid_taz_trips.csv</w:t>
      </w:r>
      <w:r>
        <w:rPr>
          <w:rFonts w:ascii="Arial" w:hAnsi="Arial" w:cs="Arial"/>
          <w:sz w:val="21"/>
          <w:rtl/>
          <w:szCs w:val="21"/>
        </w:rPr>
        <w:t xml:space="preserve"> מכפיל את ההסתברויות ההיברידיות בסך היציאות של הסקר באזור-העל, ומחלק בין אזורי התנועה לפי חלקם ביציאות הסלולר. רמת אזור-העל מבוססת סקר ויציבה; החלוקה הפנימית נשענת על מבנה הסלולר (עם בעיית השכפול) ולא על מודל ייצור. יש להתייחס בזהירות לסכומי יציאות של אזור תנועה בודד.</w:t>
      </w:r>
    </w:p>
    <w:p>
      <w:pPr>
        <w:keepNext/>
        <w:bidi/>
        <w:spacing w:after="120" w:before="240"/>
        <w:jc w:val="right"/>
      </w:pPr>
      <w:r>
        <w:rPr>
          <w:rFonts w:ascii="Arial" w:hAnsi="Arial" w:cs="Arial"/>
          <w:b/>
          <w:color w:val="1F3864"/>
          <w:sz w:val="27"/>
          <w:rtl/>
          <w:szCs w:val="27"/>
          <w:bCs/>
        </w:rPr>
        <w:t>ב. ממצאי הביקורת המתודולוגית (21 בספטמבר 2026) (‎6‎–‎13‎)</w:t>
      </w:r>
    </w:p>
    <w:p>
      <w:pPr>
        <w:bidi/>
        <w:spacing w:after="140"/>
        <w:jc w:val="right"/>
      </w:pPr>
      <w:r>
        <w:rPr>
          <w:rFonts w:ascii="Arial" w:hAnsi="Arial" w:cs="Arial"/>
          <w:sz w:val="21"/>
          <w:rtl/>
          <w:szCs w:val="21"/>
        </w:rPr>
        <w:t xml:space="preserve">6. </w:t>
      </w:r>
      <w:r>
        <w:rPr>
          <w:rFonts w:ascii="Arial" w:hAnsi="Arial" w:cs="Arial"/>
          <w:b/>
          <w:sz w:val="21"/>
          <w:rtl/>
          <w:szCs w:val="21"/>
          <w:bCs/>
        </w:rPr>
        <w:t>בלוקי אזורי-העל במטריצות ה-TAZ ההיברידיות אינם נשמרים</w:t>
      </w:r>
      <w:r>
        <w:rPr>
          <w:rFonts w:ascii="Arial" w:hAnsi="Arial" w:cs="Arial"/>
          <w:sz w:val="21"/>
          <w:rtl/>
          <w:szCs w:val="21"/>
        </w:rPr>
        <w:t xml:space="preserve"> (הסכומים לא נשמרים בשיטת מקדמי התיקון). אם בכלל נדרשת מטריצה היברידית – להשתמש ב-</w:t>
      </w:r>
      <w:r>
        <w:rPr>
          <w:rFonts w:ascii="Consolas" w:hAnsi="Consolas" w:cs="Consolas"/>
          <w:sz w:val="21"/>
          <w:rtl/>
          <w:szCs w:val="21"/>
        </w:rPr>
        <w:t>hybrid_taz_trips_balanced.csv</w:t>
      </w:r>
      <w:r>
        <w:rPr>
          <w:rFonts w:ascii="Arial" w:hAnsi="Arial" w:cs="Arial"/>
          <w:sz w:val="21"/>
          <w:rtl/>
          <w:szCs w:val="21"/>
        </w:rPr>
        <w:t>. בנוסף, מיפוי הסלולר המשוכפל נותן לכל אזור לאומי משקל לפי מספר אזורי התנועה שבתוכו. בנייה מחדש ששומרת מסה דורשת את קובץ הסלולר ואת מטריצת ההקצאה משלב 5.</w:t>
      </w:r>
    </w:p>
    <w:p>
      <w:pPr>
        <w:bidi/>
        <w:spacing w:after="140"/>
        <w:jc w:val="right"/>
      </w:pPr>
      <w:r>
        <w:rPr>
          <w:rFonts w:ascii="Arial" w:hAnsi="Arial" w:cs="Arial"/>
          <w:sz w:val="21"/>
          <w:rtl/>
          <w:szCs w:val="21"/>
        </w:rPr>
        <w:t xml:space="preserve">7. </w:t>
      </w:r>
      <w:r>
        <w:rPr>
          <w:rFonts w:ascii="Arial" w:hAnsi="Arial" w:cs="Arial"/>
          <w:b/>
          <w:sz w:val="21"/>
          <w:rtl/>
          <w:szCs w:val="21"/>
          <w:bCs/>
        </w:rPr>
        <w:t>יחידות המדידה של מקורות התחבורה הציבורית לא הותאמו.</w:t>
      </w:r>
      <w:r>
        <w:rPr>
          <w:rFonts w:ascii="Arial" w:hAnsi="Arial" w:cs="Arial"/>
          <w:sz w:val="21"/>
          <w:rtl/>
          <w:szCs w:val="21"/>
        </w:rPr>
        <w:t xml:space="preserve"> קובץ OnBoard נותן את ההסתברות לרדת בתחנה </w:t>
      </w:r>
      <w:r>
        <w:rPr>
          <w:rFonts w:ascii="Arial" w:hAnsi="Arial" w:cs="Arial"/>
          <w:i/>
          <w:sz w:val="21"/>
          <w:rtl/>
          <w:szCs w:val="21"/>
        </w:rPr>
        <w:t>בהינתן עלייה</w:t>
      </w:r>
      <w:r>
        <w:rPr>
          <w:rFonts w:ascii="Arial" w:hAnsi="Arial" w:cs="Arial"/>
          <w:sz w:val="21"/>
          <w:rtl/>
          <w:szCs w:val="21"/>
        </w:rPr>
        <w:t xml:space="preserve"> – ולא ברור אם הכוונה לכל "קטע נסיעה" או לכל "מסע" שלם. ההסתברות הזו מוחלת על סכומי </w:t>
      </w:r>
      <w:r>
        <w:rPr>
          <w:rFonts w:ascii="Arial" w:hAnsi="Arial" w:cs="Arial"/>
          <w:i/>
          <w:sz w:val="21"/>
          <w:rtl/>
          <w:szCs w:val="21"/>
        </w:rPr>
        <w:t>מסעות</w:t>
      </w:r>
      <w:r>
        <w:rPr>
          <w:rFonts w:ascii="Arial" w:hAnsi="Arial" w:cs="Arial"/>
          <w:sz w:val="21"/>
          <w:rtl/>
          <w:szCs w:val="21"/>
        </w:rPr>
        <w:t xml:space="preserve"> של רב-קו. כמו כן, נוסע שמגיע באוטובוס לתחנת רכבת עלול להיספר פעמיים (במטריצת האוטובוס וגם במטריצת הרכבת). שתי הבעיות לא נבדקו. יש להפריד בין מוצרי "מסעות נוסע" (הסקר) לבין מוצרי "עליות" (רב-קו, מטריצת התחנות) עד שייבנה קישור גישה/העברה.</w:t>
      </w:r>
    </w:p>
    <w:p>
      <w:pPr>
        <w:bidi/>
        <w:spacing w:after="140"/>
        <w:jc w:val="right"/>
      </w:pPr>
      <w:r>
        <w:rPr>
          <w:rFonts w:ascii="Arial" w:hAnsi="Arial" w:cs="Arial"/>
          <w:sz w:val="21"/>
          <w:rtl/>
          <w:szCs w:val="21"/>
        </w:rPr>
        <w:t xml:space="preserve">8. </w:t>
      </w:r>
      <w:r>
        <w:rPr>
          <w:rFonts w:ascii="Arial" w:hAnsi="Arial" w:cs="Arial"/>
          <w:b/>
          <w:sz w:val="21"/>
          <w:rtl/>
          <w:szCs w:val="21"/>
          <w:bCs/>
        </w:rPr>
        <w:t>כלל "כיסוי לפי מקטעים" הוא הנחה עם סף</w:t>
      </w:r>
      <w:r>
        <w:rPr>
          <w:rFonts w:ascii="Arial" w:hAnsi="Arial" w:cs="Arial"/>
          <w:sz w:val="21"/>
          <w:rtl/>
          <w:szCs w:val="21"/>
        </w:rPr>
        <w:t xml:space="preserve"> (§6m): סך האוטובוסים שלו גבוה משני המקורות, ומשתנה בכ-±5% כשהסף נע בין 0.3 ל-0.7. הסיבה ליחסים מתחת ל-0.5 (כיסוי מפעיל, תשלום במזומן, או הגדלת יתר של הסקר) לא נפתרה.</w:t>
      </w:r>
    </w:p>
    <w:p>
      <w:pPr>
        <w:bidi/>
        <w:spacing w:after="140"/>
        <w:jc w:val="right"/>
      </w:pPr>
      <w:r>
        <w:rPr>
          <w:rFonts w:ascii="Arial" w:hAnsi="Arial" w:cs="Arial"/>
          <w:sz w:val="21"/>
          <w:rtl/>
          <w:szCs w:val="21"/>
        </w:rPr>
        <w:t xml:space="preserve">9. </w:t>
      </w:r>
      <w:r>
        <w:rPr>
          <w:rFonts w:ascii="Arial" w:hAnsi="Arial" w:cs="Arial"/>
          <w:b/>
          <w:sz w:val="21"/>
          <w:rtl/>
          <w:szCs w:val="21"/>
          <w:bCs/>
        </w:rPr>
        <w:t>קודי "מונית" 5 ו-8</w:t>
      </w:r>
      <w:r>
        <w:rPr>
          <w:rFonts w:ascii="Arial" w:hAnsi="Arial" w:cs="Arial"/>
          <w:sz w:val="21"/>
          <w:rtl/>
          <w:szCs w:val="21"/>
        </w:rPr>
        <w:t xml:space="preserve"> – נפתרה (ראו מגבלה 14): 4 = מונית שירות (שרות), 8 = מונית מיוחדת.</w:t>
      </w:r>
    </w:p>
    <w:p>
      <w:pPr>
        <w:bidi/>
        <w:spacing w:after="140"/>
        <w:jc w:val="right"/>
      </w:pPr>
      <w:r>
        <w:rPr>
          <w:rFonts w:ascii="Arial" w:hAnsi="Arial" w:cs="Arial"/>
          <w:sz w:val="21"/>
          <w:rtl/>
          <w:szCs w:val="21"/>
        </w:rPr>
        <w:t xml:space="preserve">10. </w:t>
      </w:r>
      <w:r>
        <w:rPr>
          <w:rFonts w:ascii="Arial" w:hAnsi="Arial" w:cs="Arial"/>
          <w:b/>
          <w:sz w:val="21"/>
          <w:rtl/>
          <w:szCs w:val="21"/>
          <w:bCs/>
        </w:rPr>
        <w:t>ענף התחזית</w:t>
      </w:r>
      <w:r>
        <w:rPr>
          <w:rFonts w:ascii="Arial" w:hAnsi="Arial" w:cs="Arial"/>
          <w:sz w:val="21"/>
          <w:rtl/>
          <w:szCs w:val="21"/>
        </w:rPr>
        <w:t xml:space="preserve"> (</w:t>
      </w:r>
      <w:r>
        <w:rPr>
          <w:rFonts w:ascii="Consolas" w:hAnsi="Consolas" w:cs="Consolas"/>
          <w:sz w:val="21"/>
          <w:rtl/>
          <w:szCs w:val="21"/>
        </w:rPr>
        <w:t>transit/all_adjusted_*</w:t>
      </w:r>
      <w:r>
        <w:rPr>
          <w:rFonts w:ascii="Arial" w:hAnsi="Arial" w:cs="Arial"/>
          <w:sz w:val="21"/>
          <w:rtl/>
          <w:szCs w:val="21"/>
        </w:rPr>
        <w:t xml:space="preserve">, </w:t>
      </w:r>
      <w:r>
        <w:rPr>
          <w:rFonts w:ascii="Consolas" w:hAnsi="Consolas" w:cs="Consolas"/>
          <w:sz w:val="21"/>
          <w:rtl/>
          <w:szCs w:val="21"/>
        </w:rPr>
        <w:t>forecast/*</w:t>
      </w:r>
      <w:r>
        <w:rPr>
          <w:rFonts w:ascii="Arial" w:hAnsi="Arial" w:cs="Arial"/>
          <w:sz w:val="21"/>
          <w:rtl/>
          <w:szCs w:val="21"/>
        </w:rPr>
        <w:t xml:space="preserve">) הוא התייחסות דמוגרפית ולא תחזית ביקוש לקו הקל. בין השאר: הוא נשען על מדגם היסטורי של 25 אזורים; מערבב שכבת רכב/אחר של </w:t>
      </w:r>
      <w:r>
        <w:rPr>
          <w:rFonts w:ascii="Arial" w:hAnsi="Arial" w:cs="Arial"/>
          <w:i/>
          <w:sz w:val="21"/>
          <w:rtl/>
          <w:szCs w:val="21"/>
        </w:rPr>
        <w:t>תושבים</w:t>
      </w:r>
      <w:r>
        <w:rPr>
          <w:rFonts w:ascii="Arial" w:hAnsi="Arial" w:cs="Arial"/>
          <w:sz w:val="21"/>
          <w:rtl/>
          <w:szCs w:val="21"/>
        </w:rPr>
        <w:t xml:space="preserve"> (מדלת לדלת) עם עליות של </w:t>
      </w:r>
      <w:r>
        <w:rPr>
          <w:rFonts w:ascii="Arial" w:hAnsi="Arial" w:cs="Arial"/>
          <w:i/>
          <w:sz w:val="21"/>
          <w:rtl/>
          <w:szCs w:val="21"/>
        </w:rPr>
        <w:t>כל הנוסעים</w:t>
      </w:r>
      <w:r>
        <w:rPr>
          <w:rFonts w:ascii="Arial" w:hAnsi="Arial" w:cs="Arial"/>
          <w:sz w:val="21"/>
          <w:rtl/>
          <w:szCs w:val="21"/>
        </w:rPr>
        <w:t>; מקפיא את חלוקת האמצעים של 2022 (הירידה בנתח התחבורה הציבורית מ-8.9% ל-‎7.5‎–‎8.0‎% נובעת מהרכב האוכלוסייה ולא משינוי התנהגות); מחליק נתחים בצורה לא מתאימה לנפחים מוגדלים; משמר 155 תאים אפסיים של הבסיס; ומוציא נסיעות שאחד מקצותיהן מחוץ לאזור המחקר וכן שלושה אזורי קו עם פחות מ-50 נסיעות אוטובוס נצפות. יש לבנות אותו מחדש מהבסיס העדכני (משימות D1–D4).</w:t>
      </w:r>
    </w:p>
    <w:p>
      <w:pPr>
        <w:bidi/>
        <w:spacing w:after="140"/>
        <w:jc w:val="right"/>
      </w:pPr>
      <w:r>
        <w:rPr>
          <w:rFonts w:ascii="Arial" w:hAnsi="Arial" w:cs="Arial"/>
          <w:sz w:val="21"/>
          <w:rtl/>
          <w:szCs w:val="21"/>
        </w:rPr>
        <w:t xml:space="preserve">11. </w:t>
      </w:r>
      <w:r>
        <w:rPr>
          <w:rFonts w:ascii="Arial" w:hAnsi="Arial" w:cs="Arial"/>
          <w:b/>
          <w:sz w:val="21"/>
          <w:rtl/>
          <w:szCs w:val="21"/>
          <w:bCs/>
        </w:rPr>
        <w:t>יישור שנים (vintage) הוא הנחה.</w:t>
      </w:r>
      <w:r>
        <w:rPr>
          <w:rFonts w:ascii="Arial" w:hAnsi="Arial" w:cs="Arial"/>
          <w:sz w:val="21"/>
          <w:rtl/>
          <w:szCs w:val="21"/>
        </w:rPr>
        <w:t xml:space="preserve"> הנוסחה </w:t>
      </w:r>
      <w:r>
        <w:rPr>
          <w:rFonts w:ascii="Consolas" w:hAnsi="Consolas" w:cs="Consolas"/>
          <w:sz w:val="21"/>
          <w:rtl/>
          <w:szCs w:val="21"/>
        </w:rPr>
        <w:t>(X2025 / X2020)^(4/5)</w:t>
      </w:r>
      <w:r>
        <w:rPr>
          <w:rFonts w:ascii="Arial" w:hAnsi="Arial" w:cs="Arial"/>
          <w:sz w:val="21"/>
          <w:rtl/>
          <w:szCs w:val="21"/>
        </w:rPr>
        <w:t xml:space="preserve"> מקרינה מגמה מהתחזית כדי לייצג ‎2018‎–‎2022‎; יחס הרכבת הארצי משמש כתחליף לשינוי המקומי בשעות הבוקר; והטענה שרכיבת האוטובוסים במאי 2022 לא הייתה מדוכאת קורונה נשענת על דברי צוות המחקר בלבד, ללא ראיה במאגר.</w:t>
      </w:r>
    </w:p>
    <w:p>
      <w:pPr>
        <w:bidi/>
        <w:spacing w:after="140"/>
        <w:jc w:val="right"/>
      </w:pPr>
      <w:r>
        <w:rPr>
          <w:rFonts w:ascii="Arial" w:hAnsi="Arial" w:cs="Arial"/>
          <w:sz w:val="21"/>
          <w:rtl/>
          <w:szCs w:val="21"/>
        </w:rPr>
        <w:t xml:space="preserve">12. </w:t>
      </w:r>
      <w:r>
        <w:rPr>
          <w:rFonts w:ascii="Arial" w:hAnsi="Arial" w:cs="Arial"/>
          <w:b/>
          <w:sz w:val="21"/>
          <w:rtl/>
          <w:szCs w:val="21"/>
          <w:bCs/>
        </w:rPr>
        <w:t>פרופילי המסדרון הם תנועות פוטנציאליות</w:t>
      </w:r>
      <w:r>
        <w:rPr>
          <w:rFonts w:ascii="Arial" w:hAnsi="Arial" w:cs="Arial"/>
          <w:sz w:val="21"/>
          <w:rtl/>
          <w:szCs w:val="21"/>
        </w:rPr>
        <w:t xml:space="preserve"> בין אזורי קו – סכומי שלוש שעות (§6o) ומאז שלב 20 גם ערכי שעת היציאה העמוסה (§6r) – ולא עומסי נוסעים ולא גבול עליון לביקוש לקו הקל. מקדמי שעת השיא נשענים על שעות יציאה בסקר; מקדם לפי שעת עלייה מרב-קו עדיין לא נגזר.</w:t>
      </w:r>
    </w:p>
    <w:p>
      <w:pPr>
        <w:bidi/>
        <w:spacing w:after="140"/>
        <w:jc w:val="right"/>
      </w:pPr>
      <w:r>
        <w:rPr>
          <w:rFonts w:ascii="Arial" w:hAnsi="Arial" w:cs="Arial"/>
          <w:sz w:val="21"/>
          <w:rtl/>
          <w:szCs w:val="21"/>
        </w:rPr>
        <w:t xml:space="preserve">13. </w:t>
      </w:r>
      <w:r>
        <w:rPr>
          <w:rFonts w:ascii="Arial" w:hAnsi="Arial" w:cs="Arial"/>
          <w:b/>
          <w:sz w:val="21"/>
          <w:rtl/>
          <w:szCs w:val="21"/>
          <w:bCs/>
        </w:rPr>
        <w:t>מבחני דמיון הם כלי אבחון, לא אימות.</w:t>
      </w:r>
      <w:r>
        <w:rPr>
          <w:rFonts w:ascii="Arial" w:hAnsi="Arial" w:cs="Arial"/>
          <w:sz w:val="21"/>
          <w:rtl/>
          <w:szCs w:val="21"/>
        </w:rPr>
        <w:t xml:space="preserve"> הסכמה בין ימים של אותם משקי בית היא נקודת ייחוס לחזרתיות ולא תקרה. התאמה טובה יותר לרב-קו </w:t>
      </w:r>
      <w:r>
        <w:rPr>
          <w:rFonts w:ascii="Arial" w:hAnsi="Arial" w:cs="Arial"/>
          <w:i/>
          <w:sz w:val="21"/>
          <w:rtl/>
          <w:szCs w:val="21"/>
        </w:rPr>
        <w:t>אחרי</w:t>
      </w:r>
      <w:r>
        <w:rPr>
          <w:rFonts w:ascii="Arial" w:hAnsi="Arial" w:cs="Arial"/>
          <w:sz w:val="21"/>
          <w:rtl/>
          <w:szCs w:val="21"/>
        </w:rPr>
        <w:t xml:space="preserve"> כיול לרב-קו אינה אימות. ספירות חיצוניות (עומסי אוטובוס בקטע חיפה, נצרת מקומי מול נצרת–חיפה, העברות בהמפרץ, קווי חתך בכבישים, עליות בתחנות) עדיין חסרות.</w:t>
      </w:r>
    </w:p>
    <w:p>
      <w:pPr>
        <w:keepNext/>
        <w:bidi/>
        <w:spacing w:after="120" w:before="240"/>
        <w:jc w:val="right"/>
      </w:pPr>
      <w:r>
        <w:rPr>
          <w:rFonts w:ascii="Arial" w:hAnsi="Arial" w:cs="Arial"/>
          <w:b/>
          <w:color w:val="1F3864"/>
          <w:sz w:val="27"/>
          <w:rtl/>
          <w:szCs w:val="27"/>
          <w:bCs/>
        </w:rPr>
        <w:t>ג. תיקונים וממצאים מ-23 בספטמבר 2026 (‎14‎–‎18‎)</w:t>
      </w:r>
    </w:p>
    <w:p>
      <w:pPr>
        <w:bidi/>
        <w:spacing w:after="140"/>
        <w:jc w:val="right"/>
      </w:pPr>
      <w:r>
        <w:rPr>
          <w:rFonts w:ascii="Arial" w:hAnsi="Arial" w:cs="Arial"/>
          <w:sz w:val="21"/>
          <w:rtl/>
          <w:szCs w:val="21"/>
        </w:rPr>
        <w:t xml:space="preserve">14. </w:t>
      </w:r>
      <w:r>
        <w:rPr>
          <w:rFonts w:ascii="Arial" w:hAnsi="Arial" w:cs="Arial"/>
          <w:b/>
          <w:sz w:val="21"/>
          <w:rtl/>
          <w:szCs w:val="21"/>
          <w:bCs/>
        </w:rPr>
        <w:t>קודי אמצעי התחבורה 4 ו-5 היו הפוכים בשלבים ‎15‎–‎32.‎</w:t>
      </w:r>
      <w:r>
        <w:rPr>
          <w:rFonts w:ascii="Arial" w:hAnsi="Arial" w:cs="Arial"/>
          <w:sz w:val="21"/>
          <w:rtl/>
          <w:szCs w:val="21"/>
        </w:rPr>
        <w:t xml:space="preserve"> אומת מול קובץ הפעילויות: 4 = מונית שירות, 5 = מטרונית; אך השרשרת הכניסה את המטרונית לשכבת המוניות ואת מונית השירות לאוטובוס. ההשפעה בסקר 2018 (בוקר): כ-11,400 נסיעות ביום (מוגדלות) שייכות לאוטובוס ולא למוניות, ו-2,000 בכיוון ההפוך; בתוך 25 אזורי V2 שכבת התחבורה הציבורית היא 12,673 ולא 6,747, ושכבת המוניות 723 ולא 6,650. שכבת המוניות, שהוחזקה בצד ולא נכללה בבחירה, הייתה בעיקר נוסעי מטרונית. </w:t>
      </w:r>
      <w:r>
        <w:rPr>
          <w:rFonts w:ascii="Arial" w:hAnsi="Arial" w:cs="Arial"/>
          <w:b/>
          <w:sz w:val="21"/>
          <w:rtl/>
          <w:szCs w:val="21"/>
          <w:bCs/>
        </w:rPr>
        <w:t>שלבים ‎15‎–‎32‎ הורצו מחדש ב-23.9.2026</w:t>
      </w:r>
      <w:r>
        <w:rPr>
          <w:rFonts w:ascii="Arial" w:hAnsi="Arial" w:cs="Arial"/>
          <w:sz w:val="21"/>
          <w:rtl/>
          <w:szCs w:val="21"/>
        </w:rPr>
        <w:t xml:space="preserve"> עם הקודים הנכונים ונבנו שוב באותו יום עם שיפור נוסף בשלב 15; כל המספרים ב-§6m–§6ag הם מהבנייה החדשה. שני הדוחות בתיקיית </w:t>
      </w:r>
      <w:r>
        <w:rPr>
          <w:rFonts w:ascii="Consolas" w:hAnsi="Consolas" w:cs="Consolas"/>
          <w:sz w:val="21"/>
          <w:rtl/>
          <w:szCs w:val="21"/>
        </w:rPr>
        <w:t>reports/</w:t>
      </w:r>
      <w:r>
        <w:rPr>
          <w:rFonts w:ascii="Arial" w:hAnsi="Arial" w:cs="Arial"/>
          <w:sz w:val="21"/>
          <w:rtl/>
          <w:szCs w:val="21"/>
        </w:rPr>
        <w:t xml:space="preserve"> (גרסאות 2.2 ו-1.4) כוללים הערת תיקון עם ערכים לפני/אחרי, אך גוף הטקסט עדיין משקף את מצב 22.9.</w:t>
      </w:r>
    </w:p>
    <w:p>
      <w:pPr>
        <w:bidi/>
        <w:spacing w:after="140"/>
        <w:jc w:val="right"/>
      </w:pPr>
      <w:r>
        <w:rPr>
          <w:rFonts w:ascii="Arial" w:hAnsi="Arial" w:cs="Arial"/>
          <w:sz w:val="21"/>
          <w:rtl/>
          <w:szCs w:val="21"/>
        </w:rPr>
        <w:t xml:space="preserve">15. </w:t>
      </w:r>
      <w:r>
        <w:rPr>
          <w:rFonts w:ascii="Arial" w:hAnsi="Arial" w:cs="Arial"/>
          <w:b/>
          <w:sz w:val="21"/>
          <w:rtl/>
          <w:szCs w:val="21"/>
          <w:bCs/>
        </w:rPr>
        <w:t>פרמטר λ נאמד, אך λ של נוסעים "בוחרים" אינו ניתן לזיהוי</w:t>
      </w:r>
      <w:r>
        <w:rPr>
          <w:rFonts w:ascii="Arial" w:hAnsi="Arial" w:cs="Arial"/>
          <w:sz w:val="21"/>
          <w:rtl/>
          <w:szCs w:val="21"/>
        </w:rPr>
        <w:t xml:space="preserve"> (§6ae). האומדן המשותף 0.035 (טווח ‎0.002‎–‎0.068‎) תומך בהנחה 0.03. אצל בעלי רישיון במשקי בית עם רכב: 0.008 ± 0.017 – כלומר לא מובחן מאפס. λ של נוסעי התחבורה הציבורית ו"פרמיית" הקו הקל נשארים הנחות; הדרך לאמוד אותם היא סקר העדפות מוצהרות.</w:t>
      </w:r>
    </w:p>
    <w:p>
      <w:pPr>
        <w:bidi/>
        <w:spacing w:after="140"/>
        <w:jc w:val="right"/>
      </w:pPr>
      <w:r>
        <w:rPr>
          <w:rFonts w:ascii="Arial" w:hAnsi="Arial" w:cs="Arial"/>
          <w:sz w:val="21"/>
          <w:rtl/>
          <w:szCs w:val="21"/>
        </w:rPr>
        <w:t xml:space="preserve">16. </w:t>
      </w:r>
      <w:r>
        <w:rPr>
          <w:rFonts w:ascii="Arial" w:hAnsi="Arial" w:cs="Arial"/>
          <w:b/>
          <w:sz w:val="21"/>
          <w:rtl/>
          <w:szCs w:val="21"/>
          <w:bCs/>
        </w:rPr>
        <w:t>נתוני רב-קו 2025 הם עליות, לא מסעות</w:t>
      </w:r>
      <w:r>
        <w:rPr>
          <w:rFonts w:ascii="Arial" w:hAnsi="Arial" w:cs="Arial"/>
          <w:sz w:val="21"/>
          <w:rtl/>
          <w:szCs w:val="21"/>
        </w:rPr>
        <w:t xml:space="preserve"> (§6af). תג ה"העברה" מסמן רק 3.7% מהעליות כהעברות, בעוד שב-2022 שליש מהקטעים היו העברות – כלומר "מוצאי המסע" של 2025 קרובים יותר ל"קטעי נסיעה" ואסור להשוותם למסעות 2022 או להזינם לכלל הכיסוי של §6m. צריך לשאול את הספק מה התג אומר בהינתן תקרת התשלום היומית. קודי התחנה חוזרים בין מפעילים, ולכן כל מוצר 2025 מפוענח לפי (אשכול, קוד) ומאותר לפי קואורדינטות הצמדות; קובץ התחנות הצפוני לבדו היה מציב 52,000 עליות ליום בטעות באזור. קואורדינטות תחנות הרכבת בקובץ שגויות בכמה תחנות, ולכן נעשה שימוש במיקומי GTFS. הירידות לאוטובוס ולמטרונית עדיין לפי דפוס OnBoard (מגבלה 7). שלב 41 ניסה לשרשר צמדות ברמת הכרטיס: אכן התקבל חלק העברות (27.5%) הקרוב ל-2022, אך ירידה נקבעה רק ל-45.8% מהצמדות, כי 72.2% מהכרטיסים מצמידים רק פעם אחת בחלון הבוקר. לעיגון מחדש נדרשת הסקת ירידות כללית שהקובץ הזה לבדו אינו יכול לספק.</w:t>
      </w:r>
    </w:p>
    <w:p>
      <w:pPr>
        <w:bidi/>
        <w:spacing w:after="140"/>
        <w:jc w:val="right"/>
      </w:pPr>
      <w:r>
        <w:rPr>
          <w:rFonts w:ascii="Arial" w:hAnsi="Arial" w:cs="Arial"/>
          <w:sz w:val="21"/>
          <w:rtl/>
          <w:szCs w:val="21"/>
        </w:rPr>
        <w:t xml:space="preserve">17. </w:t>
      </w:r>
      <w:r>
        <w:rPr>
          <w:rFonts w:ascii="Arial" w:hAnsi="Arial" w:cs="Arial"/>
          <w:b/>
          <w:sz w:val="21"/>
          <w:rtl/>
          <w:szCs w:val="21"/>
          <w:bCs/>
        </w:rPr>
        <w:t>דפוס הירידה של OnBoard הוא מה שמפריד בין מוצרי הכרטוס לסקר</w:t>
      </w:r>
      <w:r>
        <w:rPr>
          <w:rFonts w:ascii="Arial" w:hAnsi="Arial" w:cs="Arial"/>
          <w:sz w:val="21"/>
          <w:rtl/>
          <w:szCs w:val="21"/>
        </w:rPr>
        <w:t xml:space="preserve"> (§6ag). ברמת אזור-העל מטריצת האוטובוס של הסקר מתאימה לירידות המוסקות מרב-קו עצמו (</w:t>
      </w:r>
      <w:r>
        <w:rPr>
          <w:rFonts w:ascii="Consolas" w:hAnsi="Consolas" w:cs="Consolas"/>
          <w:sz w:val="21"/>
          <w:rtl/>
          <w:szCs w:val="21"/>
        </w:rPr>
        <w:t>bus_od_taz_avg.csv</w:t>
      </w:r>
      <w:r>
        <w:rPr>
          <w:rFonts w:ascii="Arial" w:hAnsi="Arial" w:cs="Arial"/>
          <w:sz w:val="21"/>
          <w:rtl/>
          <w:szCs w:val="21"/>
        </w:rPr>
        <w:t xml:space="preserve">) כמעט כמו שהיא מתאימה לעצמה בין שני ימי הסקר; לעומת זאת מטריצות רב-קו שנבנו על דפוס OnBoard מתאימות לסקר לא יותר מגיאוגרפיה מעורבבת באקראי, והנסיעות בהן ארוכות פי שניים. שלב 9 בחר ב-OnBoard לפי מתאם ברמת TAZ, וכל מבחן גס יותר אומר את ההפך. </w:t>
      </w:r>
      <w:r>
        <w:rPr>
          <w:rFonts w:ascii="Arial" w:hAnsi="Arial" w:cs="Arial"/>
          <w:b/>
          <w:sz w:val="21"/>
          <w:rtl/>
          <w:szCs w:val="21"/>
          <w:bCs/>
        </w:rPr>
        <w:t>בוצע באותו יום:</w:t>
      </w:r>
      <w:r>
        <w:rPr>
          <w:rFonts w:ascii="Arial" w:hAnsi="Arial" w:cs="Arial"/>
          <w:sz w:val="21"/>
          <w:rtl/>
          <w:szCs w:val="21"/>
        </w:rPr>
        <w:t xml:space="preserve"> שלב 15 עבר לירידות של רב-קו עצמו; האימות מאשר (JSD 0.267 מול 0.422 ל-OnBoard, ואפילו טוב משורות הסקר עצמו, 0.336); הפער בפרופיל המסדרון היה בדפוס OnBoard – על ירידות רב-קו הסקר והכרטוס מסכימים לאורך כל הקו בטווח ±15%. </w:t>
      </w:r>
      <w:r>
        <w:rPr>
          <w:rFonts w:ascii="Arial" w:hAnsi="Arial" w:cs="Arial"/>
          <w:b/>
          <w:sz w:val="21"/>
          <w:rtl/>
          <w:szCs w:val="21"/>
          <w:bCs/>
        </w:rPr>
        <w:t>נשאר פתוח:</w:t>
      </w:r>
      <w:r>
        <w:rPr>
          <w:rFonts w:ascii="Arial" w:hAnsi="Arial" w:cs="Arial"/>
          <w:sz w:val="21"/>
          <w:rtl/>
          <w:szCs w:val="21"/>
        </w:rPr>
        <w:t xml:space="preserve"> בענף נצרת→חיפה הכרטוס מציב 0.36 מהתחבורה הציבורית של הסקר, בעוד שדפוס OnBoard הציב פי 2.5 – שתי שיטות ההסקה חלוקות פי 13 ו"תוחמות" את הסקר. לא ידוע אם OnBoard מייצג יתר על המידה קווים ארוכים, או שהסקת הירידות מרב-קו "חותכת" מסעות בצומת ההעברה. נדרשת הבהרת היחידה של OnBoard (מגבלה 7) וספירה בענף נצרת (משימה C3). עד אז שוק ענף נצרת הוא </w:t>
      </w:r>
      <w:r>
        <w:rPr>
          <w:rFonts w:ascii="Arial" w:hAnsi="Arial" w:cs="Arial"/>
          <w:b/>
          <w:sz w:val="21"/>
          <w:rtl/>
          <w:szCs w:val="21"/>
          <w:bCs/>
        </w:rPr>
        <w:t>טווח</w:t>
      </w:r>
      <w:r>
        <w:rPr>
          <w:rFonts w:ascii="Arial" w:hAnsi="Arial" w:cs="Arial"/>
          <w:sz w:val="21"/>
          <w:rtl/>
          <w:szCs w:val="21"/>
        </w:rPr>
        <w:t>. תוצר שלב 9 נשאר כקריאה שנייה, לא כקלט.</w:t>
      </w:r>
    </w:p>
    <w:p>
      <w:pPr>
        <w:bidi/>
        <w:spacing w:after="140"/>
        <w:jc w:val="right"/>
      </w:pPr>
      <w:r>
        <w:rPr>
          <w:rFonts w:ascii="Arial" w:hAnsi="Arial" w:cs="Arial"/>
          <w:sz w:val="21"/>
          <w:rtl/>
          <w:szCs w:val="21"/>
        </w:rPr>
        <w:t xml:space="preserve">18. </w:t>
      </w:r>
      <w:r>
        <w:rPr>
          <w:rFonts w:ascii="Arial" w:hAnsi="Arial" w:cs="Arial"/>
          <w:b/>
          <w:sz w:val="21"/>
          <w:rtl/>
          <w:szCs w:val="21"/>
          <w:bCs/>
        </w:rPr>
        <w:t>פרופיל שעות היציאה בסקר "חד" יותר מהכביש ומשערי התשלום</w:t>
      </w:r>
      <w:r>
        <w:rPr>
          <w:rFonts w:ascii="Arial" w:hAnsi="Arial" w:cs="Arial"/>
          <w:sz w:val="21"/>
          <w:rtl/>
          <w:szCs w:val="21"/>
        </w:rPr>
        <w:t xml:space="preserve"> (§6ah, §6af). בספירות על קווי חתך, שעת השיא מחזיקה ‎0.38‎–‎0.43‎ מהשעות ‎06:00‎–‎09:00‎ (פי ‎1.1‎–‎1.3‎ משעה ממוצעת); בעליות רב-קו ‎0.43‎–‎0.48‎ ב-60 הדקות העמוסות; בסקר, יציאות רכב מחזיקות ‎0.62‎–‎0.66‎ ויציאות אוטובוס ‎0.55‎–‎0.59‎ בחלונות של 15 דקות. הגדרות שונות מסבירות חלק קטן; עיגול הדיווח לשעה שלמה ולחצי שעה ותנועה מסחרית שטוחה יותר מסבירים את השאר. </w:t>
      </w:r>
      <w:r>
        <w:rPr>
          <w:rFonts w:ascii="Arial" w:hAnsi="Arial" w:cs="Arial"/>
          <w:b/>
          <w:sz w:val="21"/>
          <w:rtl/>
          <w:szCs w:val="21"/>
          <w:bCs/>
        </w:rPr>
        <w:t>מקדמי שלבים 20/27 הם לכן גבול עליון</w:t>
      </w:r>
      <w:r>
        <w:rPr>
          <w:rFonts w:ascii="Arial" w:hAnsi="Arial" w:cs="Arial"/>
          <w:sz w:val="21"/>
          <w:rtl/>
          <w:szCs w:val="21"/>
        </w:rPr>
        <w:t>, וכל נתון שעת-שיא ב-§6r, §6v, §6y, §6ac, §6ad גדל איתם. עד שתהיה הקצאה שנותנת פרופיל חציית קישורים (משימה B1e), יש לשאת לשעת התכנון: ‎0.42‎–‎0.48‎ לרכב (לפי ספירות) ו-‎0.43‎–‎0.48‎ לתחבורה ציבורית (לפי עליות).</w:t>
      </w:r>
    </w:p>
    <w:p>
      <w:pPr>
        <w:keepNext/>
        <w:bidi/>
        <w:spacing w:after="120" w:before="240"/>
        <w:jc w:val="right"/>
      </w:pPr>
      <w:r>
        <w:rPr>
          <w:rFonts w:ascii="Arial" w:hAnsi="Arial" w:cs="Arial"/>
          <w:b/>
          <w:color w:val="1F3864"/>
          <w:sz w:val="27"/>
          <w:rtl/>
          <w:szCs w:val="27"/>
          <w:bCs/>
        </w:rPr>
        <w:t>ד. ממצאי תוכנית האימות (‎19‎–‎23‎)</w:t>
      </w:r>
    </w:p>
    <w:p>
      <w:pPr>
        <w:bidi/>
        <w:spacing w:after="140"/>
        <w:jc w:val="right"/>
      </w:pPr>
      <w:r>
        <w:rPr>
          <w:rFonts w:ascii="Arial" w:hAnsi="Arial" w:cs="Arial"/>
          <w:sz w:val="21"/>
          <w:rtl/>
          <w:szCs w:val="21"/>
        </w:rPr>
        <w:t xml:space="preserve">19. </w:t>
      </w:r>
      <w:r>
        <w:rPr>
          <w:rFonts w:ascii="Arial" w:hAnsi="Arial" w:cs="Arial"/>
          <w:b/>
          <w:sz w:val="21"/>
          <w:rtl/>
          <w:szCs w:val="21"/>
          <w:bCs/>
        </w:rPr>
        <w:t>שני מפתחות של אזורי-על אינם תואמים</w:t>
      </w:r>
      <w:r>
        <w:rPr>
          <w:rFonts w:ascii="Arial" w:hAnsi="Arial" w:cs="Arial"/>
          <w:sz w:val="21"/>
          <w:rtl/>
          <w:szCs w:val="21"/>
        </w:rPr>
        <w:t xml:space="preserve"> (§6ar). ב-142 מתוך 778 אזורי תנועה ה-</w:t>
      </w:r>
      <w:r>
        <w:rPr>
          <w:rFonts w:ascii="Consolas" w:hAnsi="Consolas" w:cs="Consolas"/>
          <w:sz w:val="21"/>
          <w:rtl/>
          <w:szCs w:val="21"/>
        </w:rPr>
        <w:t>SZ_NEW</w:t>
      </w:r>
      <w:r>
        <w:rPr>
          <w:rFonts w:ascii="Arial" w:hAnsi="Arial" w:cs="Arial"/>
          <w:sz w:val="21"/>
          <w:rtl/>
          <w:szCs w:val="21"/>
        </w:rPr>
        <w:t xml:space="preserve"> ב-</w:t>
      </w:r>
      <w:r>
        <w:rPr>
          <w:rFonts w:ascii="Consolas" w:hAnsi="Consolas" w:cs="Consolas"/>
          <w:sz w:val="21"/>
          <w:rtl/>
          <w:szCs w:val="21"/>
        </w:rPr>
        <w:t>Zonal_2020.csv</w:t>
      </w:r>
      <w:r>
        <w:rPr>
          <w:rFonts w:ascii="Arial" w:hAnsi="Arial" w:cs="Arial"/>
          <w:sz w:val="21"/>
          <w:rtl/>
          <w:szCs w:val="21"/>
        </w:rPr>
        <w:t xml:space="preserve"> שונה מזה שבטבלת המפתחות. </w:t>
      </w:r>
      <w:r>
        <w:rPr>
          <w:rFonts w:ascii="Arial" w:hAnsi="Arial" w:cs="Arial"/>
          <w:b/>
          <w:sz w:val="21"/>
          <w:rtl/>
          <w:szCs w:val="21"/>
          <w:bCs/>
        </w:rPr>
        <w:t>החלטה מ-4.10.2026: טבלת המפתחות שבה משתמשת השרשרת היא הקובעת.</w:t>
      </w:r>
      <w:r>
        <w:rPr>
          <w:rFonts w:ascii="Arial" w:hAnsi="Arial" w:cs="Arial"/>
          <w:sz w:val="21"/>
          <w:rtl/>
          <w:szCs w:val="21"/>
        </w:rPr>
        <w:t xml:space="preserve"> השוואה ל-CBS או למודל הארצי לפי אזור-על חייבת להשתמש בה; יש לתקן או להתעלם מ-</w:t>
      </w:r>
      <w:r>
        <w:rPr>
          <w:rFonts w:ascii="Consolas" w:hAnsi="Consolas" w:cs="Consolas"/>
          <w:sz w:val="21"/>
          <w:rtl/>
          <w:szCs w:val="21"/>
        </w:rPr>
        <w:t>SZ_NEW</w:t>
      </w:r>
      <w:r>
        <w:rPr>
          <w:rFonts w:ascii="Arial" w:hAnsi="Arial" w:cs="Arial"/>
          <w:sz w:val="21"/>
          <w:rtl/>
          <w:szCs w:val="21"/>
        </w:rPr>
        <w:t xml:space="preserve"> ב-</w:t>
      </w:r>
      <w:r>
        <w:rPr>
          <w:rFonts w:ascii="Consolas" w:hAnsi="Consolas" w:cs="Consolas"/>
          <w:sz w:val="21"/>
          <w:rtl/>
          <w:szCs w:val="21"/>
        </w:rPr>
        <w:t>Zonal_2020.csv</w:t>
      </w:r>
      <w:r>
        <w:rPr>
          <w:rFonts w:ascii="Arial" w:hAnsi="Arial" w:cs="Arial"/>
          <w:sz w:val="21"/>
          <w:rtl/>
          <w:szCs w:val="21"/>
        </w:rPr>
        <w:t>. בנוסף, כלל האוטובוס לפי מקטעים נותן למקטעים "דקים" (פחות מ-5 נסיעות סקר) את המקדם של כל המוצא, ולכן סך "מעוגן" של מוצא יכול להיות שונה מרב-קו עד 35% (אזורים 3, 12, 13, 20).</w:t>
      </w:r>
    </w:p>
    <w:p>
      <w:pPr>
        <w:bidi/>
        <w:spacing w:after="140"/>
        <w:jc w:val="right"/>
      </w:pPr>
      <w:r>
        <w:rPr>
          <w:rFonts w:ascii="Arial" w:hAnsi="Arial" w:cs="Arial"/>
          <w:sz w:val="21"/>
          <w:rtl/>
          <w:szCs w:val="21"/>
        </w:rPr>
        <w:t xml:space="preserve">20. </w:t>
      </w:r>
      <w:r>
        <w:rPr>
          <w:rFonts w:ascii="Arial" w:hAnsi="Arial" w:cs="Arial"/>
          <w:b/>
          <w:sz w:val="21"/>
          <w:rtl/>
          <w:szCs w:val="21"/>
          <w:bCs/>
        </w:rPr>
        <w:t>הפער של רב-קו מול הסקר הוא תופעה של בוקר עתיר חינוך</w:t>
      </w:r>
      <w:r>
        <w:rPr>
          <w:rFonts w:ascii="Arial" w:hAnsi="Arial" w:cs="Arial"/>
          <w:sz w:val="21"/>
          <w:rtl/>
          <w:szCs w:val="21"/>
        </w:rPr>
        <w:t xml:space="preserve"> (§6ar גל 1b). יחס רב-קו/סקר באוטובוס: 0.74 בבוקר, 0.96 בשיא אחה"צ, 0.93 בצהריים. נסיעות חינוך מהבית הן 40% מנסיעות האוטובוס בסקר בבוקר ו-‎13‎–‎19‎% בשאר החלונות (ובלעדיהן היחס ‎1.1‎–‎1.2‎ בכל חלון). ייתכן שסף הכיסוי 0.5 ותאיו "המוגנים" בבוקר מגן דווקא על נסיעות תלמידים ולא על פער כרטוס כללי. יש לשאול את הספק אם נסיעות תלמידים נכללות בנתונים; חידוד אפשרי: כלל כיסוי לפי מטרת נסיעה.</w:t>
      </w:r>
    </w:p>
    <w:p>
      <w:pPr>
        <w:bidi/>
        <w:spacing w:after="140"/>
        <w:jc w:val="right"/>
      </w:pPr>
      <w:r>
        <w:rPr>
          <w:rFonts w:ascii="Arial" w:hAnsi="Arial" w:cs="Arial"/>
          <w:sz w:val="21"/>
          <w:rtl/>
          <w:szCs w:val="21"/>
        </w:rPr>
        <w:t xml:space="preserve">21. </w:t>
      </w:r>
      <w:r>
        <w:rPr>
          <w:rFonts w:ascii="Arial" w:hAnsi="Arial" w:cs="Arial"/>
          <w:b/>
          <w:sz w:val="21"/>
          <w:rtl/>
          <w:szCs w:val="21"/>
          <w:bCs/>
        </w:rPr>
        <w:t>תפוסת הרכב בשלב 36 חושבה עם שעה שגויה</w:t>
      </w:r>
      <w:r>
        <w:rPr>
          <w:rFonts w:ascii="Arial" w:hAnsi="Arial" w:cs="Arial"/>
          <w:sz w:val="21"/>
          <w:rtl/>
          <w:szCs w:val="21"/>
        </w:rPr>
        <w:t xml:space="preserve"> (§6ar גל 2, T10). הערך 1.33 לבוקר (ו-1.43/1.32 לאחה"צ/צהריים) השתמש בשעת היציאה של שורת ההגעה במקום של המקום הקודם. </w:t>
      </w:r>
      <w:r>
        <w:rPr>
          <w:rFonts w:ascii="Arial" w:hAnsi="Arial" w:cs="Arial"/>
          <w:b/>
          <w:sz w:val="21"/>
          <w:rtl/>
          <w:szCs w:val="21"/>
          <w:bCs/>
        </w:rPr>
        <w:t>הערכים הנכונים: בוקר 1.52, אחה"צ 1.52, צהריים 1.33.</w:t>
      </w:r>
      <w:r>
        <w:rPr>
          <w:rFonts w:ascii="Arial" w:hAnsi="Arial" w:cs="Arial"/>
          <w:sz w:val="21"/>
          <w:rtl/>
          <w:szCs w:val="21"/>
        </w:rPr>
        <w:t xml:space="preserve"> הנזק רק להמרת ספירות לרכבים (מטריצות נסיעות נוסעים לא הושפעו): T12 הורץ מחדש (בוקר 0.71→0.62, אחה"צ 0.64→0.61, צהריים 0.50→0.49 מהרכבים הנספרים). המחברות המקוריות נשמרו כרשומה עם הערת תיקון. כל שימוש בעתיד (מטריצת רכבים להקצאה, מקדמי נסיעות מעבר) חייב להשתמש בערך של החלון עצמו.</w:t>
      </w:r>
    </w:p>
    <w:p>
      <w:pPr>
        <w:bidi/>
        <w:spacing w:after="140"/>
        <w:jc w:val="right"/>
      </w:pPr>
      <w:r>
        <w:rPr>
          <w:rFonts w:ascii="Arial" w:hAnsi="Arial" w:cs="Arial"/>
          <w:sz w:val="21"/>
          <w:rtl/>
          <w:szCs w:val="21"/>
        </w:rPr>
        <w:t xml:space="preserve">22. </w:t>
      </w:r>
      <w:r>
        <w:rPr>
          <w:rFonts w:ascii="Arial" w:hAnsi="Arial" w:cs="Arial"/>
          <w:b/>
          <w:sz w:val="21"/>
          <w:rtl/>
          <w:szCs w:val="21"/>
          <w:bCs/>
        </w:rPr>
        <w:t>אוכלוסיית הסקר גבוהה ב-5% מהאוכלוסייה באזורים, ומשקי הבית שלה גדולים יותר</w:t>
      </w:r>
      <w:r>
        <w:rPr>
          <w:rFonts w:ascii="Arial" w:hAnsi="Arial" w:cs="Arial"/>
          <w:sz w:val="21"/>
          <w:rtl/>
          <w:szCs w:val="21"/>
        </w:rPr>
        <w:t xml:space="preserve"> (§6ar גל 2, T2). תושבים מוגדלים בסקר 2,670,719 מול 2,539,095 באזורים; משקי בית 810,186 מול 841,502; גודל משק בית ממוצע 3.39 מול 3.02. המגזר החרדי +26%, הערבי +11%, יהודי לא-חרדי −1%. הדפוס המרחבי תואם (R² 0.997 לפי אזור-על). שכבות 2022 גדלות מבקרות האוכלוסייה 2020/2025, ולכן שנת הבסיס של הסקר מעבירה את ה-5% לשכבות 2018 ולשיעורי הנסיעה לתושב (+7% בין 2018 ל-2022). פתוח: האם ספירת משקי הבית באזורים כוללת משקי בית שאינם פרטיים; והגדרת גודל משק הבית בסקר (אין מילון נתונים במאגר). נדרשים נתוני למ"ס לפי מגזר כדי לדעת מי צודק. בנוסף: חלוקות תת-אזור, V2 ו-GS </w:t>
      </w:r>
      <w:r>
        <w:rPr>
          <w:rFonts w:ascii="Arial" w:hAnsi="Arial" w:cs="Arial"/>
          <w:b/>
          <w:sz w:val="21"/>
          <w:rtl/>
          <w:szCs w:val="21"/>
          <w:bCs/>
        </w:rPr>
        <w:t>אינן מקוננות</w:t>
      </w:r>
      <w:r>
        <w:rPr>
          <w:rFonts w:ascii="Arial" w:hAnsi="Arial" w:cs="Arial"/>
          <w:sz w:val="21"/>
          <w:rtl/>
          <w:szCs w:val="21"/>
        </w:rPr>
        <w:t xml:space="preserve"> באזורי-העל (13 מ-28, 15 מ-25, ו-11 מ-25 קבוצות חוצות שניים או יותר), ולכן אי אפשר לסכום נתונים לפי הרמות האלה לאזורי-על בלי כלל הקצאה.</w:t>
      </w:r>
    </w:p>
    <w:p>
      <w:pPr>
        <w:bidi/>
        <w:spacing w:after="140"/>
        <w:jc w:val="right"/>
      </w:pPr>
      <w:r>
        <w:rPr>
          <w:rFonts w:ascii="Arial" w:hAnsi="Arial" w:cs="Arial"/>
          <w:sz w:val="21"/>
          <w:rtl/>
          <w:szCs w:val="21"/>
        </w:rPr>
        <w:t xml:space="preserve">23. </w:t>
      </w:r>
      <w:r>
        <w:rPr>
          <w:rFonts w:ascii="Arial" w:hAnsi="Arial" w:cs="Arial"/>
          <w:b/>
          <w:sz w:val="21"/>
          <w:rtl/>
          <w:szCs w:val="21"/>
          <w:bCs/>
        </w:rPr>
        <w:t>שכבת הרכב אינה משחזרת את דפוס ספירות הקישורים</w:t>
      </w:r>
      <w:r>
        <w:rPr>
          <w:rFonts w:ascii="Arial" w:hAnsi="Arial" w:cs="Arial"/>
          <w:sz w:val="21"/>
          <w:rtl/>
          <w:szCs w:val="21"/>
        </w:rPr>
        <w:t xml:space="preserve"> (§6ar גל 3, T11; שלב 42). הקצאת "הכול-או-כלום" על רשת Emme (מהירויות חופשיות מוקצות לפי סוג קישור): היחס מוקצה/נספר 0.93 על 1,346 קישורים (שיפוע 0.89), אך R² רק 0.47 ו-RMSE% 113 (לעומת 0.85 ו-35 הנדרשים), ואף מחלקת נפח שעתי לא עומדת בגבול. מקדם גלובלי אחד לא עוזר. השכבה היא נסיעות רכב של תושבים בלבד – ללא נסיעות חיצוניות, משאיות, מוניות ונסיעות פנים-אזוריות – ולכן אסור להשתמש בה כמטריצת הקצאה לתחזית עומסי קישורים בלי הרכיבים החסרים והקצאת שיווי משקל. זרמי מסדרון יש לקרוא דרך השוואות קווי חתך (T12) ופרופילי המסדרון בסקר. נתוני רב-קו 2025 מכילים רק ‎06:00‎–‎08:59,‎ ולכן אי אפשר להרחיב את T15–T17 לאחה"צ ולצהריים בלי חילוצים חדשים.</w:t>
      </w:r>
    </w:p>
    <w:p>
      <w:pPr>
        <w:keepNext/>
        <w:bidi/>
        <w:spacing w:after="120" w:before="240"/>
        <w:jc w:val="right"/>
      </w:pPr>
      <w:r>
        <w:rPr>
          <w:rFonts w:ascii="Arial" w:hAnsi="Arial" w:cs="Arial"/>
          <w:b/>
          <w:color w:val="1F3864"/>
          <w:sz w:val="27"/>
          <w:rtl/>
          <w:szCs w:val="27"/>
          <w:bCs/>
        </w:rPr>
        <w:t>ה. מהירויות רכב, מודל הלכידה והחלופות (‎24‎–‎29‎)</w:t>
      </w:r>
    </w:p>
    <w:p>
      <w:pPr>
        <w:bidi/>
        <w:spacing w:after="140"/>
        <w:jc w:val="right"/>
      </w:pPr>
      <w:r>
        <w:rPr>
          <w:rFonts w:ascii="Arial" w:hAnsi="Arial" w:cs="Arial"/>
          <w:sz w:val="21"/>
          <w:rtl/>
          <w:szCs w:val="21"/>
        </w:rPr>
        <w:t xml:space="preserve">24. </w:t>
      </w:r>
      <w:r>
        <w:rPr>
          <w:rFonts w:ascii="Arial" w:hAnsi="Arial" w:cs="Arial"/>
          <w:b/>
          <w:sz w:val="21"/>
          <w:rtl/>
          <w:szCs w:val="21"/>
          <w:bCs/>
        </w:rPr>
        <w:t>מהירויות הרכב של מאי 2026 כמעט זהות בכל שעה</w:t>
      </w:r>
      <w:r>
        <w:rPr>
          <w:rFonts w:ascii="Arial" w:hAnsi="Arial" w:cs="Arial"/>
          <w:sz w:val="21"/>
          <w:rtl/>
          <w:szCs w:val="21"/>
        </w:rPr>
        <w:t xml:space="preserve"> (§6am, שלב 43). בקישורים הנצפים בכל שעה, המהירות משתנה בחציון ב-2.3 קמ"ש בלבד לאורך ‎06:00‎–‎21:00‎ (אחוזון 90: 8.8; קבועה ב-739 מ-8,660 קישורים), וממוצעי אזור המחקר לכל שעה נמצאים בטווח 0.2 קמ"ש זה מזה – אין שקיעה בשעת השיא בבוקר. הנתונים מחזיקים ערך אחד לכל שעה לחודש, בלי ממד יום בשבוע, ואותה קבוצת קישורים בדיוק בכל שעה – כלומר נראה כמו ממוצע חודשי שמותאם מעט לפי שעה, ולא מדידות לכל שעה. לחצי מקישורי אזור המחקר (קצרים ומקומיים; 20% מהאורך) אין רשומה. לפני שמשתמשים בעמודת 07:00 כמהירות רכב בשיא, צריך לברר אצל הספק את שיטת האגרגציה; עד אז כל סקים שנבנה עליה הוא </w:t>
      </w:r>
      <w:r>
        <w:rPr>
          <w:rFonts w:ascii="Arial" w:hAnsi="Arial" w:cs="Arial"/>
          <w:b/>
          <w:sz w:val="21"/>
          <w:rtl/>
          <w:szCs w:val="21"/>
          <w:bCs/>
        </w:rPr>
        <w:t>מהירות רכב כללית של מאי 2026, לא של שעת שיא</w:t>
      </w:r>
      <w:r>
        <w:rPr>
          <w:rFonts w:ascii="Arial" w:hAnsi="Arial" w:cs="Arial"/>
          <w:sz w:val="21"/>
          <w:rtl/>
          <w:szCs w:val="21"/>
        </w:rPr>
        <w:t>.</w:t>
      </w:r>
    </w:p>
    <w:p>
      <w:pPr>
        <w:bidi/>
        <w:spacing w:after="140"/>
        <w:jc w:val="right"/>
      </w:pPr>
      <w:r>
        <w:rPr>
          <w:rFonts w:ascii="Arial" w:hAnsi="Arial" w:cs="Arial"/>
          <w:sz w:val="21"/>
          <w:rtl/>
          <w:szCs w:val="21"/>
        </w:rPr>
        <w:t xml:space="preserve">25. </w:t>
      </w:r>
      <w:r>
        <w:rPr>
          <w:rFonts w:ascii="Arial" w:hAnsi="Arial" w:cs="Arial"/>
          <w:b/>
          <w:sz w:val="21"/>
          <w:rtl/>
          <w:szCs w:val="21"/>
          <w:bCs/>
        </w:rPr>
        <w:t>רמת סקים הרכב אינה משפיעה על הלכידה</w:t>
      </w:r>
      <w:r>
        <w:rPr>
          <w:rFonts w:ascii="Arial" w:hAnsi="Arial" w:cs="Arial"/>
          <w:sz w:val="21"/>
          <w:rtl/>
          <w:szCs w:val="21"/>
        </w:rPr>
        <w:t xml:space="preserve"> (§6ac, תוספת מ-5.10.2026, שלב 37). שיטת הפיבוט מזיזה את נתח התחבורה הציבורית הנצפה של הזוג לפי </w:t>
      </w:r>
      <w:r>
        <w:rPr>
          <w:rFonts w:ascii="Arial" w:hAnsi="Arial" w:cs="Arial"/>
          <w:i/>
          <w:sz w:val="21"/>
          <w:rtl/>
          <w:szCs w:val="21"/>
        </w:rPr>
        <w:t>השינוי</w:t>
      </w:r>
      <w:r>
        <w:rPr>
          <w:rFonts w:ascii="Arial" w:hAnsi="Arial" w:cs="Arial"/>
          <w:sz w:val="21"/>
          <w:rtl/>
          <w:szCs w:val="21"/>
        </w:rPr>
        <w:t xml:space="preserve"> בעלות מקבץ התחבורה הציבורית (כל אמצעי התחבורה הציבורית יחד); עלות הרכב נמצאת בשום איבר. לכן שינוי בזמן הרכב (סקים של הרשת מ-2026 ב-0.90 מהסקר, או כל ערך אחר) </w:t>
      </w:r>
      <w:r>
        <w:rPr>
          <w:rFonts w:ascii="Arial" w:hAnsi="Arial" w:cs="Arial"/>
          <w:b/>
          <w:sz w:val="21"/>
          <w:rtl/>
          <w:szCs w:val="21"/>
          <w:bCs/>
        </w:rPr>
        <w:t>לא משנה אף מספר לכידה</w:t>
      </w:r>
      <w:r>
        <w:rPr>
          <w:rFonts w:ascii="Arial" w:hAnsi="Arial" w:cs="Arial"/>
          <w:sz w:val="21"/>
          <w:rtl/>
          <w:szCs w:val="21"/>
        </w:rPr>
        <w:t>. המודל חסר רגישות לאטרקטיביות המוחלטת של הרכב: רכב מהיר או איטי יותר ב-2040 לא ישנה את מה שהקו הקל "לוקח" ממנו. זו מגבלה של הפיבוט, סבירה לסינון מסדרון כשעלות הרכב קבועה בין תרחיש עם פרויקט וללא; אך כל קביעה על המעבר מרכב לקו קל נשענת על λ ועל עלויות התחבורה הציבורית בלבד. רק מודל בחירת אמצעי מלא יכלול את זמן הרכב. אמידה מחדש של λ ברמת הפרט על סקים 2026 מזיזה אותו מ-0.035 ל-0.040 ולא פותרת את חוסר הזיהוי אצל הבוחרים, כך שההנחה 0.03 וטווח ‎0.02‎–‎0.05‎ תקפים על כל אחד מסקים הרכב.</w:t>
      </w:r>
    </w:p>
    <w:p>
      <w:pPr>
        <w:bidi/>
        <w:spacing w:after="140"/>
        <w:jc w:val="right"/>
      </w:pPr>
      <w:r>
        <w:rPr>
          <w:rFonts w:ascii="Arial" w:hAnsi="Arial" w:cs="Arial"/>
          <w:sz w:val="21"/>
          <w:rtl/>
          <w:szCs w:val="21"/>
        </w:rPr>
        <w:t xml:space="preserve">26. </w:t>
      </w:r>
      <w:r>
        <w:rPr>
          <w:rFonts w:ascii="Arial" w:hAnsi="Arial" w:cs="Arial"/>
          <w:b/>
          <w:sz w:val="21"/>
          <w:rtl/>
          <w:szCs w:val="21"/>
          <w:bCs/>
        </w:rPr>
        <w:t>סקים תחבורה ציבורית ברמת האזור מזלזל בעלות שחווה נוסע מ-TAZ מסוים</w:t>
      </w:r>
      <w:r>
        <w:rPr>
          <w:rFonts w:ascii="Arial" w:hAnsi="Arial" w:cs="Arial"/>
          <w:sz w:val="21"/>
          <w:rtl/>
          <w:szCs w:val="21"/>
        </w:rPr>
        <w:t xml:space="preserve"> (§6ao, שלב 44). כשמנתבים TAZ-ל-TAZ ומצרפים בממוצע משוקלל אוכלוסייה × תעסוקה, העלות המוכללת בזוגות הציר המרכזי היא 45.2 דקות מוכללות לעומת 29.8 (המתנה מאוחדת) או 34.9 (המתנה בקו הטוב ביותר) בשלב 31; יחס חציוני 1.5 עם אותו זמן נסיעה ואותו מספר העברות. סקים האזור משלב הליכה לתחנה הקרובה, זמן ריצה של הקו המהיר ביותר ותדירות מאוחדת של כל הקווים הישירים – שילוב שאף נוסע בודד לא יכול לקבל. אצל הרכב אין פער כזה (13.3 לעומת 13.0). עבור הלכידה זה פחות חשוב ממה שנראה, כי הפיבוט נע לפי </w:t>
      </w:r>
      <w:r>
        <w:rPr>
          <w:rFonts w:ascii="Arial" w:hAnsi="Arial" w:cs="Arial"/>
          <w:i/>
          <w:sz w:val="21"/>
          <w:rtl/>
          <w:szCs w:val="21"/>
        </w:rPr>
        <w:t>השינוי</w:t>
      </w:r>
      <w:r>
        <w:rPr>
          <w:rFonts w:ascii="Arial" w:hAnsi="Arial" w:cs="Arial"/>
          <w:sz w:val="21"/>
          <w:rtl/>
          <w:szCs w:val="21"/>
        </w:rPr>
        <w:t xml:space="preserve"> במקבץ התחבורה הציבורית (כל אמצעי התחבורה הציבורית יחד) כשמוסיפים קו קל; אך ההשוואה בין אוטובוס לקו קל בתוך המקבץ הזה (</w:t>
      </w:r>
      <w:r>
        <w:rPr>
          <w:rFonts w:ascii="Consolas" w:hAnsi="Consolas" w:cs="Consolas"/>
          <w:sz w:val="21"/>
          <w:rtl/>
          <w:szCs w:val="21"/>
        </w:rPr>
        <w:t>P_LRT|T</w:t>
      </w:r>
      <w:r>
        <w:rPr>
          <w:rFonts w:ascii="Arial" w:hAnsi="Arial" w:cs="Arial"/>
          <w:sz w:val="21"/>
          <w:rtl/>
          <w:szCs w:val="21"/>
        </w:rPr>
        <w:t>) רגישה לכך והכיוון לא ברור: גישת תחנות הקו הקל כבר משוקללת לפי TAZ (שלב 25), זו של האוטובוס לא. שלב 39 (§6ap) הריץ לכידה ברמת TAZ: כשהאוטובוס בעלות מנותבת ב-TAZ והקו הקל בסקים האזורי – הלכידה עולה פי 1.64 (6,963); כשהאוטובוס ברכיבי האזור עם הליכות TAZ – נשארת 4,226. הפער הוא האסימטריה; סגירתו דורשת את רגל ההזנה וזמן הנסיעה של הקו הקל גם ברמת TAZ.</w:t>
      </w:r>
    </w:p>
    <w:p>
      <w:pPr>
        <w:bidi/>
        <w:spacing w:after="140"/>
        <w:jc w:val="right"/>
      </w:pPr>
      <w:r>
        <w:rPr>
          <w:rFonts w:ascii="Arial" w:hAnsi="Arial" w:cs="Arial"/>
          <w:sz w:val="21"/>
          <w:rtl/>
          <w:szCs w:val="21"/>
        </w:rPr>
        <w:t xml:space="preserve">27. </w:t>
      </w:r>
      <w:r>
        <w:rPr>
          <w:rFonts w:ascii="Arial" w:hAnsi="Arial" w:cs="Arial"/>
          <w:b/>
          <w:sz w:val="21"/>
          <w:rtl/>
          <w:szCs w:val="21"/>
          <w:bCs/>
        </w:rPr>
        <w:t>הנסיעות שהפיבוט "גורר" מהרכב תלויות ברמה שבה הוא מורץ</w:t>
      </w:r>
      <w:r>
        <w:rPr>
          <w:rFonts w:ascii="Arial" w:hAnsi="Arial" w:cs="Arial"/>
          <w:sz w:val="21"/>
          <w:rtl/>
          <w:szCs w:val="21"/>
        </w:rPr>
        <w:t xml:space="preserve"> (§6ap, שלב 39). כשכל זוג TAZ מקבל את הסקים של זוג האזורים שלו, הפיבוט ברמת TAZ מחזיר בדיוק את הנסיעות מהאוטובוס של רמת האזור, אך רק 130 מתוך 414 הנסיעות המושרות (מרכז תת-קרקעי; 77 מ-234 בקו עילי; 187 מ-614 בתכנון): ההסטה פרופורציונלית ל-S·(1−S) של נתח התחבורה הציבורית המוחלק של הזוג, ונתחי זוגות ה-TAZ (הקצאות של נסיעות סקר ל-TAZ) מפוזרים הרבה יותר מנתח זוג האזורים. כלומר המרכיב המושרה אינו תכונה של הביקוש לבדו אלא של רמת האגרגציה: ה-414 ברמת האזור הוא הקריאה העליונה, וכל לכידה ברמת TAZ שתאומץ צריכה לציין מאיזו רמה נגזרות הנסיעות המושרות.</w:t>
      </w:r>
    </w:p>
    <w:p>
      <w:pPr>
        <w:bidi/>
        <w:spacing w:after="140"/>
        <w:jc w:val="right"/>
      </w:pPr>
      <w:r>
        <w:rPr>
          <w:rFonts w:ascii="Arial" w:hAnsi="Arial" w:cs="Arial"/>
          <w:sz w:val="21"/>
          <w:rtl/>
          <w:szCs w:val="21"/>
        </w:rPr>
        <w:t xml:space="preserve">28. </w:t>
      </w:r>
      <w:r>
        <w:rPr>
          <w:rFonts w:ascii="Arial" w:hAnsi="Arial" w:cs="Arial"/>
          <w:b/>
          <w:sz w:val="21"/>
          <w:rtl/>
          <w:szCs w:val="21"/>
          <w:bCs/>
        </w:rPr>
        <w:t>תפעול הקו הראשי הוא הנחה, ומערכות ה-PM בתחזית גדלות בקצב הבוקר</w:t>
      </w:r>
      <w:r>
        <w:rPr>
          <w:rFonts w:ascii="Arial" w:hAnsi="Arial" w:cs="Arial"/>
          <w:sz w:val="21"/>
          <w:rtl/>
          <w:szCs w:val="21"/>
        </w:rPr>
        <w:t xml:space="preserve"> (§6aq, שלב 45). התחנות הן רשימת התחנות שנמסרה (20 צמתים, </w:t>
      </w:r>
      <w:r>
        <w:rPr>
          <w:rFonts w:ascii="Consolas" w:hAnsi="Consolas" w:cs="Consolas"/>
          <w:sz w:val="21"/>
          <w:rtl/>
          <w:szCs w:val="21"/>
        </w:rPr>
        <w:t>Main_Nofit_StopsID.csv</w:t>
      </w:r>
      <w:r>
        <w:rPr>
          <w:rFonts w:ascii="Arial" w:hAnsi="Arial" w:cs="Arial"/>
          <w:sz w:val="21"/>
          <w:rtl/>
          <w:szCs w:val="21"/>
        </w:rPr>
        <w:t xml:space="preserve">; הריצה הראשונה הניחה 27 במרווח ≥1 ק"מ, שהוסיפה ‎3‎–‎5‎% ביקוש לקו הראשי), אך נסיעה על פני הקרקע במהירות 80 קמ"ש עם עצירה של 10 שניות, תדירות 5 דקות והמשכיות בהמפרץ ללא העברה הן </w:t>
      </w:r>
      <w:r>
        <w:rPr>
          <w:rFonts w:ascii="Arial" w:hAnsi="Arial" w:cs="Arial"/>
          <w:b/>
          <w:sz w:val="21"/>
          <w:rtl/>
          <w:szCs w:val="21"/>
          <w:bCs/>
        </w:rPr>
        <w:t>הנחות</w:t>
      </w:r>
      <w:r>
        <w:rPr>
          <w:rFonts w:ascii="Arial" w:hAnsi="Arial" w:cs="Arial"/>
          <w:sz w:val="21"/>
          <w:rtl/>
          <w:szCs w:val="21"/>
        </w:rPr>
        <w:t>; קו ראשי שמסתיים בהמפרץ היה מוסיף קנס העברה לכל נסיעה שחוצה אותו. מטריצות התחזית ל-PM הן בסיס ה-PM של גל 1b כפול צמיחת הבוקר של שלב 23 לכל זוג TAZ (כי שוליי שלב 23 בנויים על ייצור ומשיכה של בוקר); צמיחה ספציפית ל-PM תדרוש שיעורי PM (משימה).</w:t>
      </w:r>
    </w:p>
    <w:p>
      <w:pPr>
        <w:bidi/>
        <w:spacing w:after="140"/>
        <w:jc w:val="right"/>
      </w:pPr>
      <w:r>
        <w:rPr>
          <w:rFonts w:ascii="Arial" w:hAnsi="Arial" w:cs="Arial"/>
          <w:sz w:val="21"/>
          <w:rtl/>
          <w:szCs w:val="21"/>
        </w:rPr>
        <w:t xml:space="preserve">29. </w:t>
      </w:r>
      <w:r>
        <w:rPr>
          <w:rFonts w:ascii="Arial" w:hAnsi="Arial" w:cs="Arial"/>
          <w:b/>
          <w:sz w:val="21"/>
          <w:rtl/>
          <w:szCs w:val="21"/>
          <w:bCs/>
        </w:rPr>
        <w:t>הסטת הרכב אינה ברת-השוואה בין תרחישי תחזית הבוקר</w:t>
      </w:r>
      <w:r>
        <w:rPr>
          <w:rFonts w:ascii="Arial" w:hAnsi="Arial" w:cs="Arial"/>
          <w:sz w:val="21"/>
          <w:rtl/>
          <w:szCs w:val="21"/>
        </w:rPr>
        <w:t xml:space="preserve"> (§6aq, תוספת מ-5.10.2026). הנסיעות מהרכב בפיבוט פרופורציונליות ל-S·(1−S) לכל זוג (מגבלה 27), ותחזיות שלב 23 מזרעות נסיעות בזוגות שריקים ב-2022 (אזורים עם בסיס קטן ואזורים בשינוי לוקחים את דפוס אזור-העל). לכן זוגות המסדרון עם גם רכב וגם תחבורה ציבורית עולים מ-1,620 (2022) ל-2,084 (BU 2040), 2,942 (BU 2050), 4,970 (HS 2040) ו-5,688 (HS 2050), וההסטה בבוקר מרכב לתחבורה ציבורית מוכפלת על גידול שוק של ‎4‎–‎16‎% (684 → ‎1,387‎–‎1,421‎); ב-PM, הצומח זוג אחר זוג מבסיס ה-PM, קבוצת הזוגות של 2022 נשמרת והשינוי חלק. הסטת הרכב היא סדר גודל (‎0.4‎–‎1.5‎% מנסיעות הרכב במסדרון); </w:t>
      </w:r>
      <w:r>
        <w:rPr>
          <w:rFonts w:ascii="Arial" w:hAnsi="Arial" w:cs="Arial"/>
          <w:b/>
          <w:sz w:val="21"/>
          <w:rtl/>
          <w:szCs w:val="21"/>
          <w:bCs/>
        </w:rPr>
        <w:t>ההבדלים בין התרחישים בעמודה הזו הם תוצר של הזריעה</w:t>
      </w:r>
      <w:r>
        <w:rPr>
          <w:rFonts w:ascii="Arial" w:hAnsi="Arial" w:cs="Arial"/>
          <w:sz w:val="21"/>
          <w:rtl/>
          <w:szCs w:val="21"/>
        </w:rPr>
        <w:t>. השוואת תרחישים של "משיכת הרכב" תדרוש הרצת הפיבוט ברמת האזור (הקריאה העליונה של מגבלה 27) או מודל בחירת אמצעי מלא.</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