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200"/>
        <w:jc w:val="right"/>
      </w:pPr>
      <w:r>
        <w:rPr>
          <w:rFonts w:ascii="Arial" w:hAnsi="Arial" w:cs="Arial"/>
          <w:b/>
          <w:color w:val="1F3864"/>
          <w:sz w:val="34"/>
          <w:rtl/>
          <w:szCs w:val="34"/>
          <w:bCs/>
        </w:rPr>
        <w:t>סעיף 8 – מגבלות ידועות ושאלות פתוחות (תרגום ופישוט, עודכן ב-20 באוקטובר 2026)</w:t>
      </w:r>
    </w:p>
    <w:tbl>
      <w:tblPr>
        <w:tblW w:type="auto" w:w="0"/>
        <w:jc w:val="right"/>
        <w:tblLook w:firstColumn="1" w:firstRow="1" w:lastColumn="0" w:lastRow="0" w:noHBand="0" w:noVBand="1" w:val="04A0"/>
      </w:tblPr>
      <w:tblGrid>
        <w:gridCol w:w="9746"/>
      </w:tblGrid>
      <w:tr>
        <w:tc>
          <w:tcPr>
            <w:tcW w:type="dxa" w:w="9746"/>
            <w:shd w:val="clear" w:fill="EAF1FB"/>
          </w:tcPr>
          <w:p>
            <w:pPr>
              <w:bidi/>
              <w:spacing w:after="60"/>
              <w:jc w:val="right"/>
            </w:pPr>
            <w:r>
              <w:rPr>
                <w:rFonts w:ascii="Arial" w:hAnsi="Arial" w:cs="Arial"/>
                <w:b/>
                <w:sz w:val="21"/>
                <w:rtl/>
                <w:szCs w:val="21"/>
                <w:bCs/>
              </w:rPr>
              <w:t>במילים פשוטות.</w:t>
            </w:r>
            <w:r>
              <w:rPr>
                <w:rFonts w:ascii="Arial" w:hAnsi="Arial" w:cs="Arial"/>
                <w:sz w:val="21"/>
                <w:rtl/>
                <w:szCs w:val="21"/>
              </w:rPr>
              <w:t xml:space="preserve"> זו רשימת המגבלות של התוצרים כפי שהם אחרי שלב 45, ממוספרת כדי שאפשר יהיה להפנות אליה מתוך התוצאות. </w:t>
            </w:r>
            <w:r>
              <w:rPr>
                <w:rFonts w:ascii="Arial" w:hAnsi="Arial" w:cs="Arial"/>
                <w:b/>
                <w:sz w:val="21"/>
                <w:rtl/>
                <w:szCs w:val="21"/>
                <w:bCs/>
              </w:rPr>
              <w:t>המספרים אינם משתנים לעולם</w:t>
            </w:r>
            <w:r>
              <w:rPr>
                <w:rFonts w:ascii="Arial" w:hAnsi="Arial" w:cs="Arial"/>
                <w:sz w:val="21"/>
                <w:rtl/>
                <w:szCs w:val="21"/>
              </w:rPr>
              <w:t>: מגבלה שכבר לא רלוונטית שומרת על מספרה בסעיף 8.2. המודל מבוסס היום על הסקר בלבד: סקר הרגלי הנסיעה 2017/18 שגדל ל-2022, אוטובוסים מכוילים לנתוני רב-קו של מאי 2022, גידול דמוגרפי ל-2040 ו-2050, ו"לכידה" של נוסעי הרק"ל בין 25 אזורי המסדרון. מטריצות ה"היברידיות" של סקר + סלולר שייכות לעבר ואינן בשימוש, ולכן המגבלות עליהן הוצאו (סעיף 8.2).</w:t>
            </w:r>
          </w:p>
          <w:p>
            <w:pPr>
              <w:bidi/>
              <w:spacing w:after="60"/>
              <w:jc w:val="right"/>
            </w:pPr>
            <w:r>
              <w:rPr>
                <w:rFonts w:ascii="Arial" w:hAnsi="Arial" w:cs="Arial"/>
                <w:sz w:val="21"/>
                <w:rtl/>
                <w:szCs w:val="21"/>
              </w:rPr>
              <w:t xml:space="preserve">למי שמשתמש במספרי הרק"ל, החשובות ביותר: </w:t>
            </w:r>
            <w:r>
              <w:rPr>
                <w:rFonts w:ascii="Arial" w:hAnsi="Arial" w:cs="Arial"/>
                <w:b/>
                <w:sz w:val="21"/>
                <w:rtl/>
                <w:szCs w:val="21"/>
                <w:bCs/>
              </w:rPr>
              <w:t>30</w:t>
            </w:r>
            <w:r>
              <w:rPr>
                <w:rFonts w:ascii="Arial" w:hAnsi="Arial" w:cs="Arial"/>
                <w:sz w:val="21"/>
                <w:rtl/>
                <w:szCs w:val="21"/>
              </w:rPr>
              <w:t xml:space="preserve"> (מי נכלל בביקוש), </w:t>
            </w:r>
            <w:r>
              <w:rPr>
                <w:rFonts w:ascii="Arial" w:hAnsi="Arial" w:cs="Arial"/>
                <w:b/>
                <w:sz w:val="21"/>
                <w:rtl/>
                <w:szCs w:val="21"/>
                <w:bCs/>
              </w:rPr>
              <w:t>15</w:t>
            </w:r>
            <w:r>
              <w:rPr>
                <w:rFonts w:ascii="Arial" w:hAnsi="Arial" w:cs="Arial"/>
                <w:sz w:val="21"/>
                <w:rtl/>
                <w:szCs w:val="21"/>
              </w:rPr>
              <w:t xml:space="preserve"> (λ), </w:t>
            </w:r>
            <w:r>
              <w:rPr>
                <w:rFonts w:ascii="Arial" w:hAnsi="Arial" w:cs="Arial"/>
                <w:b/>
                <w:sz w:val="21"/>
                <w:rtl/>
                <w:szCs w:val="21"/>
                <w:bCs/>
              </w:rPr>
              <w:t>18</w:t>
            </w:r>
            <w:r>
              <w:rPr>
                <w:rFonts w:ascii="Arial" w:hAnsi="Arial" w:cs="Arial"/>
                <w:sz w:val="21"/>
                <w:rtl/>
                <w:szCs w:val="21"/>
              </w:rPr>
              <w:t xml:space="preserve"> (שעת שיא), </w:t>
            </w:r>
            <w:r>
              <w:rPr>
                <w:rFonts w:ascii="Arial" w:hAnsi="Arial" w:cs="Arial"/>
                <w:b/>
                <w:sz w:val="21"/>
                <w:rtl/>
                <w:szCs w:val="21"/>
                <w:bCs/>
              </w:rPr>
              <w:t>‎25‎–‎27‎</w:t>
            </w:r>
            <w:r>
              <w:rPr>
                <w:rFonts w:ascii="Arial" w:hAnsi="Arial" w:cs="Arial"/>
                <w:sz w:val="21"/>
                <w:rtl/>
                <w:szCs w:val="21"/>
              </w:rPr>
              <w:t xml:space="preserve"> (מה שיטת ה"פיבוט" יכולה ולא יכולה להזיז), </w:t>
            </w:r>
            <w:r>
              <w:rPr>
                <w:rFonts w:ascii="Arial" w:hAnsi="Arial" w:cs="Arial"/>
                <w:b/>
                <w:sz w:val="21"/>
                <w:rtl/>
                <w:szCs w:val="21"/>
                <w:bCs/>
              </w:rPr>
              <w:t>‎28‎–‎29‎</w:t>
            </w:r>
            <w:r>
              <w:rPr>
                <w:rFonts w:ascii="Arial" w:hAnsi="Arial" w:cs="Arial"/>
                <w:sz w:val="21"/>
                <w:rtl/>
                <w:szCs w:val="21"/>
              </w:rPr>
              <w:t xml:space="preserve"> (ההנחות של שלב 45) ו-</w:t>
            </w:r>
            <w:r>
              <w:rPr>
                <w:rFonts w:ascii="Arial" w:hAnsi="Arial" w:cs="Arial"/>
                <w:b/>
                <w:sz w:val="21"/>
                <w:rtl/>
                <w:szCs w:val="21"/>
                <w:bCs/>
              </w:rPr>
              <w:t>‎32‎–‎33‎</w:t>
            </w:r>
            <w:r>
              <w:rPr>
                <w:rFonts w:ascii="Arial" w:hAnsi="Arial" w:cs="Arial"/>
                <w:sz w:val="21"/>
                <w:rtl/>
                <w:szCs w:val="21"/>
              </w:rPr>
              <w:t xml:space="preserve"> (הקו והפרמטרים שלו).</w:t>
            </w:r>
          </w:p>
        </w:tc>
      </w:tr>
    </w:tbl>
    <w:p>
      <w:pPr>
        <w:spacing w:after="40"/>
      </w:pPr>
    </w:p>
    <w:p>
      <w:pPr>
        <w:bidi/>
        <w:spacing w:after="120"/>
        <w:jc w:val="right"/>
      </w:pPr>
      <w:r>
        <w:rPr>
          <w:rFonts w:ascii="Arial" w:hAnsi="Arial" w:cs="Arial"/>
          <w:i/>
          <w:sz w:val="22"/>
          <w:rtl/>
          <w:szCs w:val="22"/>
        </w:rPr>
        <w:t>נכתב מחדש ב-20 באוקטובר 2026 לפי השרשרת שב-`pipeline/steps.py`: מגבלות 3, 5, 7, 8, 10, 11, 12 ו-13 מתארות עכשיו את השרשרת שמבוססת על הסקר בלבד; ‎30‎–‎34‎ חדשות; 1, 2, 6, 9 ו-14 הוצאו.</w:t>
      </w:r>
    </w:p>
    <w:p>
      <w:pPr>
        <w:keepNext/>
        <w:bidi/>
        <w:spacing w:after="120" w:before="240"/>
        <w:jc w:val="right"/>
      </w:pPr>
      <w:r>
        <w:rPr>
          <w:rFonts w:ascii="Arial" w:hAnsi="Arial" w:cs="Arial"/>
          <w:b/>
          <w:color w:val="1F3864"/>
          <w:sz w:val="27"/>
          <w:rtl/>
          <w:szCs w:val="27"/>
          <w:bCs/>
        </w:rPr>
        <w:t>מילון קצר למונחים שחוזרים</w:t>
      </w:r>
    </w:p>
    <w:tbl>
      <w:tblPr>
        <w:tblStyle w:val="TableGrid"/>
        <w:tblW w:type="auto" w:w="0"/>
        <w:jc w:val="right"/>
        <w:tblLayout w:type="fixed"/>
        <w:tblLook w:firstColumn="1" w:firstRow="1" w:lastColumn="0" w:lastRow="0" w:noHBand="0" w:noVBand="1" w:val="04A0"/>
        <w:bidiVisual/>
      </w:tblPr>
      <w:tblGrid>
        <w:gridCol w:w="2948"/>
        <w:gridCol w:w="6350"/>
      </w:tblGrid>
      <w:tr>
        <w:tc>
          <w:tcPr>
            <w:tcW w:type="dxa" w:w="2948"/>
            <w:shd w:val="clear" w:fill="1F3864"/>
          </w:tcPr>
          <w:p>
            <w:pPr>
              <w:bidi/>
              <w:spacing w:after="40"/>
              <w:jc w:val="right"/>
            </w:pPr>
            <w:r>
              <w:rPr>
                <w:rFonts w:ascii="Arial" w:hAnsi="Arial" w:cs="Arial"/>
                <w:b/>
                <w:color w:val="FFFFFF"/>
                <w:sz w:val="20"/>
                <w:rtl/>
                <w:szCs w:val="20"/>
                <w:bCs/>
              </w:rPr>
              <w:t>מונח</w:t>
            </w:r>
          </w:p>
        </w:tc>
        <w:tc>
          <w:tcPr>
            <w:tcW w:type="dxa" w:w="6350"/>
            <w:shd w:val="clear" w:fill="1F3864"/>
          </w:tcPr>
          <w:p>
            <w:pPr>
              <w:bidi/>
              <w:spacing w:after="40"/>
              <w:jc w:val="right"/>
            </w:pPr>
            <w:r>
              <w:rPr>
                <w:rFonts w:ascii="Arial" w:hAnsi="Arial" w:cs="Arial"/>
                <w:b/>
                <w:color w:val="FFFFFF"/>
                <w:sz w:val="20"/>
                <w:rtl/>
                <w:szCs w:val="20"/>
                <w:bCs/>
              </w:rPr>
              <w:t>משמעות פשוטה</w:t>
            </w:r>
          </w:p>
        </w:tc>
      </w:tr>
      <w:tr>
        <w:tc>
          <w:tcPr>
            <w:tcW w:type="dxa" w:w="2948"/>
          </w:tcPr>
          <w:p>
            <w:pPr>
              <w:bidi/>
              <w:spacing w:after="40"/>
              <w:jc w:val="right"/>
            </w:pPr>
            <w:r>
              <w:rPr>
                <w:rFonts w:ascii="Arial" w:hAnsi="Arial" w:cs="Arial"/>
                <w:b/>
                <w:sz w:val="20"/>
                <w:rtl/>
                <w:szCs w:val="20"/>
                <w:bCs/>
              </w:rPr>
              <w:t>סקר (THS)</w:t>
            </w:r>
          </w:p>
        </w:tc>
        <w:tc>
          <w:tcPr>
            <w:tcW w:type="dxa" w:w="6350"/>
          </w:tcPr>
          <w:p>
            <w:pPr>
              <w:bidi/>
              <w:spacing w:after="40"/>
              <w:jc w:val="right"/>
            </w:pPr>
            <w:r>
              <w:rPr>
                <w:rFonts w:ascii="Arial" w:hAnsi="Arial" w:cs="Arial"/>
                <w:sz w:val="20"/>
                <w:rtl/>
                <w:szCs w:val="20"/>
              </w:rPr>
              <w:t>סקר הרגלי נסיעה בקרב משקי בית, 2017/18. מדגם שמוגדל לאוכלוסייה.</w:t>
            </w:r>
          </w:p>
        </w:tc>
      </w:tr>
      <w:tr>
        <w:tc>
          <w:tcPr>
            <w:tcW w:type="dxa" w:w="2948"/>
          </w:tcPr>
          <w:p>
            <w:pPr>
              <w:bidi/>
              <w:spacing w:after="40"/>
              <w:jc w:val="right"/>
            </w:pPr>
            <w:r>
              <w:rPr>
                <w:rFonts w:ascii="Arial" w:hAnsi="Arial" w:cs="Arial"/>
                <w:b/>
                <w:sz w:val="20"/>
                <w:rtl/>
                <w:szCs w:val="20"/>
                <w:bCs/>
              </w:rPr>
              <w:t>TAZ / אזור תנועה</w:t>
            </w:r>
          </w:p>
        </w:tc>
        <w:tc>
          <w:tcPr>
            <w:tcW w:type="dxa" w:w="6350"/>
          </w:tcPr>
          <w:p>
            <w:pPr>
              <w:bidi/>
              <w:spacing w:after="40"/>
              <w:jc w:val="right"/>
            </w:pPr>
            <w:r>
              <w:rPr>
                <w:rFonts w:ascii="Arial" w:hAnsi="Arial" w:cs="Arial"/>
                <w:sz w:val="20"/>
                <w:rtl/>
                <w:szCs w:val="20"/>
              </w:rPr>
              <w:t>היחידה הגיאוגרפית הקטנה של המודל (778 באזור המחקר, 174 במסדרון).</w:t>
            </w:r>
          </w:p>
        </w:tc>
      </w:tr>
      <w:tr>
        <w:tc>
          <w:tcPr>
            <w:tcW w:type="dxa" w:w="2948"/>
          </w:tcPr>
          <w:p>
            <w:pPr>
              <w:bidi/>
              <w:spacing w:after="40"/>
              <w:jc w:val="right"/>
            </w:pPr>
            <w:r>
              <w:rPr>
                <w:rFonts w:ascii="Arial" w:hAnsi="Arial" w:cs="Arial"/>
                <w:b/>
                <w:sz w:val="20"/>
                <w:rtl/>
                <w:szCs w:val="20"/>
                <w:bCs/>
              </w:rPr>
              <w:t>אזור-על</w:t>
            </w:r>
          </w:p>
        </w:tc>
        <w:tc>
          <w:tcPr>
            <w:tcW w:type="dxa" w:w="6350"/>
          </w:tcPr>
          <w:p>
            <w:pPr>
              <w:bidi/>
              <w:spacing w:after="40"/>
              <w:jc w:val="right"/>
            </w:pPr>
            <w:r>
              <w:rPr>
                <w:rFonts w:ascii="Arial" w:hAnsi="Arial" w:cs="Arial"/>
                <w:sz w:val="20"/>
                <w:rtl/>
                <w:szCs w:val="20"/>
              </w:rPr>
              <w:t>קיבוץ של כמה אזורי תנועה (36 באזור המחקר).</w:t>
            </w:r>
          </w:p>
        </w:tc>
      </w:tr>
      <w:tr>
        <w:tc>
          <w:tcPr>
            <w:tcW w:type="dxa" w:w="2948"/>
          </w:tcPr>
          <w:p>
            <w:pPr>
              <w:bidi/>
              <w:spacing w:after="40"/>
              <w:jc w:val="right"/>
            </w:pPr>
            <w:r>
              <w:rPr>
                <w:rFonts w:ascii="Arial" w:hAnsi="Arial" w:cs="Arial"/>
                <w:b/>
                <w:sz w:val="20"/>
                <w:rtl/>
                <w:szCs w:val="20"/>
                <w:bCs/>
              </w:rPr>
              <w:t>אזורי המסדרון (V2)</w:t>
            </w:r>
          </w:p>
        </w:tc>
        <w:tc>
          <w:tcPr>
            <w:tcW w:type="dxa" w:w="6350"/>
          </w:tcPr>
          <w:p>
            <w:pPr>
              <w:bidi/>
              <w:spacing w:after="40"/>
              <w:jc w:val="right"/>
            </w:pPr>
            <w:r>
              <w:rPr>
                <w:rFonts w:ascii="Arial" w:hAnsi="Arial" w:cs="Arial"/>
                <w:sz w:val="20"/>
                <w:rtl/>
                <w:szCs w:val="20"/>
              </w:rPr>
              <w:t>25 האזורים המצטברים שבהם מחושבת הלכידה של הרק"ל.</w:t>
            </w:r>
          </w:p>
        </w:tc>
      </w:tr>
      <w:tr>
        <w:tc>
          <w:tcPr>
            <w:tcW w:type="dxa" w:w="2948"/>
          </w:tcPr>
          <w:p>
            <w:pPr>
              <w:bidi/>
              <w:spacing w:after="40"/>
              <w:jc w:val="right"/>
            </w:pPr>
            <w:r>
              <w:rPr>
                <w:rFonts w:ascii="Arial" w:hAnsi="Arial" w:cs="Arial"/>
                <w:b/>
                <w:sz w:val="20"/>
                <w:rtl/>
                <w:szCs w:val="20"/>
                <w:bCs/>
              </w:rPr>
              <w:t>מטריצת מוצא–יעד (OD)</w:t>
            </w:r>
          </w:p>
        </w:tc>
        <w:tc>
          <w:tcPr>
            <w:tcW w:type="dxa" w:w="6350"/>
          </w:tcPr>
          <w:p>
            <w:pPr>
              <w:bidi/>
              <w:spacing w:after="40"/>
              <w:jc w:val="right"/>
            </w:pPr>
            <w:r>
              <w:rPr>
                <w:rFonts w:ascii="Arial" w:hAnsi="Arial" w:cs="Arial"/>
                <w:sz w:val="20"/>
                <w:rtl/>
                <w:szCs w:val="20"/>
              </w:rPr>
              <w:t>טבלה: כמה נסיעות יוצאות מכל אזור לכל אזור.</w:t>
            </w:r>
          </w:p>
        </w:tc>
      </w:tr>
      <w:tr>
        <w:tc>
          <w:tcPr>
            <w:tcW w:type="dxa" w:w="2948"/>
          </w:tcPr>
          <w:p>
            <w:pPr>
              <w:bidi/>
              <w:spacing w:after="40"/>
              <w:jc w:val="right"/>
            </w:pPr>
            <w:r>
              <w:rPr>
                <w:rFonts w:ascii="Arial" w:hAnsi="Arial" w:cs="Arial"/>
                <w:b/>
                <w:sz w:val="20"/>
                <w:rtl/>
                <w:szCs w:val="20"/>
                <w:bCs/>
              </w:rPr>
              <w:t>רב-קו (RavKav)</w:t>
            </w:r>
          </w:p>
        </w:tc>
        <w:tc>
          <w:tcPr>
            <w:tcW w:type="dxa" w:w="6350"/>
          </w:tcPr>
          <w:p>
            <w:pPr>
              <w:bidi/>
              <w:spacing w:after="40"/>
              <w:jc w:val="right"/>
            </w:pPr>
            <w:r>
              <w:rPr>
                <w:rFonts w:ascii="Arial" w:hAnsi="Arial" w:cs="Arial"/>
                <w:sz w:val="20"/>
                <w:rtl/>
                <w:szCs w:val="20"/>
              </w:rPr>
              <w:t xml:space="preserve">נתוני כרטיס התשלום – מתעדים </w:t>
            </w:r>
            <w:r>
              <w:rPr>
                <w:rFonts w:ascii="Arial" w:hAnsi="Arial" w:cs="Arial"/>
                <w:i/>
                <w:sz w:val="20"/>
                <w:rtl/>
                <w:szCs w:val="20"/>
              </w:rPr>
              <w:t>עלייה</w:t>
            </w:r>
            <w:r>
              <w:rPr>
                <w:rFonts w:ascii="Arial" w:hAnsi="Arial" w:cs="Arial"/>
                <w:sz w:val="20"/>
                <w:rtl/>
                <w:szCs w:val="20"/>
              </w:rPr>
              <w:t xml:space="preserve"> לרכב, בדרך כלל לא את הירידה, ולכן הירידות מוסקות.</w:t>
            </w:r>
          </w:p>
        </w:tc>
      </w:tr>
      <w:tr>
        <w:tc>
          <w:tcPr>
            <w:tcW w:type="dxa" w:w="2948"/>
          </w:tcPr>
          <w:p>
            <w:pPr>
              <w:bidi/>
              <w:spacing w:after="40"/>
              <w:jc w:val="right"/>
            </w:pPr>
            <w:r>
              <w:rPr>
                <w:rFonts w:ascii="Arial" w:hAnsi="Arial" w:cs="Arial"/>
                <w:b/>
                <w:sz w:val="20"/>
                <w:rtl/>
                <w:szCs w:val="20"/>
                <w:bCs/>
              </w:rPr>
              <w:t>OnBoard</w:t>
            </w:r>
          </w:p>
        </w:tc>
        <w:tc>
          <w:tcPr>
            <w:tcW w:type="dxa" w:w="6350"/>
          </w:tcPr>
          <w:p>
            <w:pPr>
              <w:bidi/>
              <w:spacing w:after="40"/>
              <w:jc w:val="right"/>
            </w:pPr>
            <w:r>
              <w:rPr>
                <w:rFonts w:ascii="Arial" w:hAnsi="Arial" w:cs="Arial"/>
                <w:sz w:val="20"/>
                <w:rtl/>
                <w:szCs w:val="20"/>
              </w:rPr>
              <w:t>סקר נוסעים על הרכב. משמש להשוואה בלבד.</w:t>
            </w:r>
          </w:p>
        </w:tc>
      </w:tr>
      <w:tr>
        <w:tc>
          <w:tcPr>
            <w:tcW w:type="dxa" w:w="2948"/>
          </w:tcPr>
          <w:p>
            <w:pPr>
              <w:bidi/>
              <w:spacing w:after="40"/>
              <w:jc w:val="right"/>
            </w:pPr>
            <w:r>
              <w:rPr>
                <w:rFonts w:ascii="Arial" w:hAnsi="Arial" w:cs="Arial"/>
                <w:b/>
                <w:sz w:val="20"/>
                <w:rtl/>
                <w:szCs w:val="20"/>
                <w:bCs/>
              </w:rPr>
              <w:t>λ (למדא)</w:t>
            </w:r>
          </w:p>
        </w:tc>
        <w:tc>
          <w:tcPr>
            <w:tcW w:type="dxa" w:w="6350"/>
          </w:tcPr>
          <w:p>
            <w:pPr>
              <w:bidi/>
              <w:spacing w:after="40"/>
              <w:jc w:val="right"/>
            </w:pPr>
            <w:r>
              <w:rPr>
                <w:rFonts w:ascii="Arial" w:hAnsi="Arial" w:cs="Arial"/>
                <w:sz w:val="20"/>
                <w:rtl/>
                <w:szCs w:val="20"/>
              </w:rPr>
              <w:t>פרמטר שמודד עד כמה נוסע מגיב לשינוי בעלות הנסיעה (זמן, המתנה, העברות). גדול יותר = רגיש יותר.</w:t>
            </w:r>
          </w:p>
        </w:tc>
      </w:tr>
      <w:tr>
        <w:tc>
          <w:tcPr>
            <w:tcW w:type="dxa" w:w="2948"/>
          </w:tcPr>
          <w:p>
            <w:pPr>
              <w:bidi/>
              <w:spacing w:after="40"/>
              <w:jc w:val="right"/>
            </w:pPr>
            <w:r>
              <w:rPr>
                <w:rFonts w:ascii="Arial" w:hAnsi="Arial" w:cs="Arial"/>
                <w:b/>
                <w:sz w:val="20"/>
                <w:rtl/>
                <w:szCs w:val="20"/>
                <w:bCs/>
              </w:rPr>
              <w:t>פיבוט (pivot)</w:t>
            </w:r>
          </w:p>
        </w:tc>
        <w:tc>
          <w:tcPr>
            <w:tcW w:type="dxa" w:w="6350"/>
          </w:tcPr>
          <w:p>
            <w:pPr>
              <w:bidi/>
              <w:spacing w:after="40"/>
              <w:jc w:val="right"/>
            </w:pPr>
            <w:r>
              <w:rPr>
                <w:rFonts w:ascii="Arial" w:hAnsi="Arial" w:cs="Arial"/>
                <w:sz w:val="20"/>
                <w:rtl/>
                <w:szCs w:val="20"/>
              </w:rPr>
              <w:t xml:space="preserve">שיטה שלוקחת את נתח התחבורה הציבורית הנצפה בכל זוג אזורים ומזיזה אותו לפי </w:t>
            </w:r>
            <w:r>
              <w:rPr>
                <w:rFonts w:ascii="Arial" w:hAnsi="Arial" w:cs="Arial"/>
                <w:i/>
                <w:sz w:val="20"/>
                <w:rtl/>
                <w:szCs w:val="20"/>
              </w:rPr>
              <w:t>השינוי</w:t>
            </w:r>
            <w:r>
              <w:rPr>
                <w:rFonts w:ascii="Arial" w:hAnsi="Arial" w:cs="Arial"/>
                <w:sz w:val="20"/>
                <w:rtl/>
                <w:szCs w:val="20"/>
              </w:rPr>
              <w:t xml:space="preserve"> בעלות הנסיעה כשמוסיפים את הרק"ל.</w:t>
            </w:r>
          </w:p>
        </w:tc>
      </w:tr>
      <w:tr>
        <w:tc>
          <w:tcPr>
            <w:tcW w:type="dxa" w:w="2948"/>
          </w:tcPr>
          <w:p>
            <w:pPr>
              <w:bidi/>
              <w:spacing w:after="40"/>
              <w:jc w:val="right"/>
            </w:pPr>
            <w:r>
              <w:rPr>
                <w:rFonts w:ascii="Arial" w:hAnsi="Arial" w:cs="Arial"/>
                <w:b/>
                <w:sz w:val="20"/>
                <w:rtl/>
                <w:szCs w:val="20"/>
                <w:bCs/>
              </w:rPr>
              <w:t>לכידה (capture)</w:t>
            </w:r>
          </w:p>
        </w:tc>
        <w:tc>
          <w:tcPr>
            <w:tcW w:type="dxa" w:w="6350"/>
          </w:tcPr>
          <w:p>
            <w:pPr>
              <w:bidi/>
              <w:spacing w:after="40"/>
              <w:jc w:val="right"/>
            </w:pPr>
            <w:r>
              <w:rPr>
                <w:rFonts w:ascii="Arial" w:hAnsi="Arial" w:cs="Arial"/>
                <w:sz w:val="20"/>
                <w:rtl/>
                <w:szCs w:val="20"/>
              </w:rPr>
              <w:t>כמות הנוסעים שהרק"ל "לוכד" (ממשיכים קיימים ועוברים מהרכב).</w:t>
            </w:r>
          </w:p>
        </w:tc>
      </w:tr>
      <w:tr>
        <w:tc>
          <w:tcPr>
            <w:tcW w:type="dxa" w:w="2948"/>
          </w:tcPr>
          <w:p>
            <w:pPr>
              <w:bidi/>
              <w:spacing w:after="40"/>
              <w:jc w:val="right"/>
            </w:pPr>
            <w:r>
              <w:rPr>
                <w:rFonts w:ascii="Arial" w:hAnsi="Arial" w:cs="Arial"/>
                <w:b/>
                <w:sz w:val="20"/>
                <w:rtl/>
                <w:szCs w:val="20"/>
                <w:bCs/>
              </w:rPr>
              <w:t>עלות מוכללת (GC)</w:t>
            </w:r>
          </w:p>
        </w:tc>
        <w:tc>
          <w:tcPr>
            <w:tcW w:type="dxa" w:w="6350"/>
          </w:tcPr>
          <w:p>
            <w:pPr>
              <w:bidi/>
              <w:spacing w:after="40"/>
              <w:jc w:val="right"/>
            </w:pPr>
            <w:r>
              <w:rPr>
                <w:rFonts w:ascii="Arial" w:hAnsi="Arial" w:cs="Arial"/>
                <w:sz w:val="20"/>
                <w:rtl/>
                <w:szCs w:val="20"/>
              </w:rPr>
              <w:t>זמן נסיעה + משקלים לזמן המתנה, הליכה והעברות – הכול בדקות שקולות.</w:t>
            </w:r>
          </w:p>
        </w:tc>
      </w:tr>
      <w:tr>
        <w:tc>
          <w:tcPr>
            <w:tcW w:type="dxa" w:w="2948"/>
          </w:tcPr>
          <w:p>
            <w:pPr>
              <w:bidi/>
              <w:spacing w:after="40"/>
              <w:jc w:val="right"/>
            </w:pPr>
            <w:r>
              <w:rPr>
                <w:rFonts w:ascii="Arial" w:hAnsi="Arial" w:cs="Arial"/>
                <w:b/>
                <w:sz w:val="20"/>
                <w:rtl/>
                <w:szCs w:val="20"/>
                <w:bCs/>
              </w:rPr>
              <w:t>סקים (skim)</w:t>
            </w:r>
          </w:p>
        </w:tc>
        <w:tc>
          <w:tcPr>
            <w:tcW w:type="dxa" w:w="6350"/>
          </w:tcPr>
          <w:p>
            <w:pPr>
              <w:bidi/>
              <w:spacing w:after="40"/>
              <w:jc w:val="right"/>
            </w:pPr>
            <w:r>
              <w:rPr>
                <w:rFonts w:ascii="Arial" w:hAnsi="Arial" w:cs="Arial"/>
                <w:sz w:val="20"/>
                <w:rtl/>
                <w:szCs w:val="20"/>
              </w:rPr>
              <w:t>טבלת זמנים/עלויות בין כל זוג אזורים.</w:t>
            </w:r>
          </w:p>
        </w:tc>
      </w:tr>
      <w:tr>
        <w:tc>
          <w:tcPr>
            <w:tcW w:type="dxa" w:w="2948"/>
          </w:tcPr>
          <w:p>
            <w:pPr>
              <w:bidi/>
              <w:spacing w:after="40"/>
              <w:jc w:val="right"/>
            </w:pPr>
            <w:r>
              <w:rPr>
                <w:rFonts w:ascii="Arial" w:hAnsi="Arial" w:cs="Arial"/>
                <w:b/>
                <w:sz w:val="20"/>
                <w:rtl/>
                <w:szCs w:val="20"/>
                <w:bCs/>
              </w:rPr>
              <w:t>BU / HS</w:t>
            </w:r>
          </w:p>
        </w:tc>
        <w:tc>
          <w:tcPr>
            <w:tcW w:type="dxa" w:w="6350"/>
          </w:tcPr>
          <w:p>
            <w:pPr>
              <w:bidi/>
              <w:spacing w:after="40"/>
              <w:jc w:val="right"/>
            </w:pPr>
            <w:r>
              <w:rPr>
                <w:rFonts w:ascii="Arial" w:hAnsi="Arial" w:cs="Arial"/>
                <w:sz w:val="20"/>
                <w:rtl/>
                <w:szCs w:val="20"/>
              </w:rPr>
              <w:t>שני תרחישי הגידול הדמוגרפי: BU = המשך מגמות, HS = אסטרטגיית דיור.</w:t>
            </w:r>
          </w:p>
        </w:tc>
      </w:tr>
      <w:tr>
        <w:tc>
          <w:tcPr>
            <w:tcW w:type="dxa" w:w="2948"/>
          </w:tcPr>
          <w:p>
            <w:pPr>
              <w:bidi/>
              <w:spacing w:after="40"/>
              <w:jc w:val="right"/>
            </w:pPr>
            <w:r>
              <w:rPr>
                <w:rFonts w:ascii="Arial" w:hAnsi="Arial" w:cs="Arial"/>
                <w:b/>
                <w:sz w:val="20"/>
                <w:rtl/>
                <w:szCs w:val="20"/>
                <w:bCs/>
              </w:rPr>
              <w:t>עם עדיפות / בלי עדיפות</w:t>
            </w:r>
          </w:p>
        </w:tc>
        <w:tc>
          <w:tcPr>
            <w:tcW w:type="dxa" w:w="6350"/>
          </w:tcPr>
          <w:p>
            <w:pPr>
              <w:bidi/>
              <w:spacing w:after="40"/>
              <w:jc w:val="right"/>
            </w:pPr>
            <w:r>
              <w:rPr>
                <w:rFonts w:ascii="Arial" w:hAnsi="Arial" w:cs="Arial"/>
                <w:sz w:val="20"/>
                <w:rtl/>
                <w:szCs w:val="20"/>
              </w:rPr>
              <w:t>שני משטרי הפעלה של הרק"ל בהרחבה: עם עדיפות בצמתים (זמנים שמכוילים לרכבת תת-קרקעית) או על פני הקרקע בלי עדיפות.</w:t>
            </w:r>
          </w:p>
        </w:tc>
      </w:tr>
    </w:tbl>
    <w:p>
      <w:pPr>
        <w:spacing w:after="80"/>
      </w:pPr>
    </w:p>
    <w:p>
      <w:pPr>
        <w:keepNext/>
        <w:bidi/>
        <w:spacing w:after="120" w:before="240"/>
        <w:jc w:val="right"/>
      </w:pPr>
      <w:r>
        <w:rPr>
          <w:rFonts w:ascii="Arial" w:hAnsi="Arial" w:cs="Arial"/>
          <w:b/>
          <w:color w:val="1F3864"/>
          <w:sz w:val="27"/>
          <w:rtl/>
          <w:szCs w:val="27"/>
          <w:bCs/>
        </w:rPr>
        <w:t>8.1 מגבלות המודל הנוכחי</w:t>
      </w:r>
    </w:p>
    <w:p>
      <w:pPr>
        <w:keepNext/>
        <w:bidi/>
        <w:spacing w:after="80" w:before="200"/>
        <w:jc w:val="right"/>
      </w:pPr>
      <w:r>
        <w:rPr>
          <w:rFonts w:ascii="Arial" w:hAnsi="Arial" w:cs="Arial"/>
          <w:b/>
          <w:color w:val="2F5597"/>
          <w:sz w:val="24"/>
          <w:rtl/>
          <w:szCs w:val="24"/>
          <w:bCs/>
        </w:rPr>
        <w:t>א. בסיס הסקר ומערכת האזורים</w:t>
      </w:r>
    </w:p>
    <w:p>
      <w:pPr>
        <w:bidi/>
        <w:spacing w:after="120"/>
        <w:jc w:val="right"/>
      </w:pPr>
      <w:r>
        <w:rPr>
          <w:rFonts w:ascii="Arial" w:hAnsi="Arial" w:cs="Arial"/>
          <w:sz w:val="22"/>
          <w:rtl/>
          <w:szCs w:val="22"/>
        </w:rPr>
        <w:t xml:space="preserve">שנת הבסיס היא סקר הרגלי הנסיעה 2017/18 בלבד – בלי נתוני סלולר – מוגדל לפי </w:t>
      </w:r>
      <w:r>
        <w:rPr>
          <w:rFonts w:ascii="Consolas" w:hAnsi="Consolas" w:cs="Consolas"/>
          <w:sz w:val="22"/>
          <w:rtl/>
          <w:szCs w:val="22"/>
        </w:rPr>
        <w:t>new_wf</w:t>
      </w:r>
      <w:r>
        <w:rPr>
          <w:rFonts w:ascii="Arial" w:hAnsi="Arial" w:cs="Arial"/>
          <w:sz w:val="22"/>
          <w:rtl/>
          <w:szCs w:val="22"/>
        </w:rPr>
        <w:t xml:space="preserve"> של קובץ הנסיעות וממופה מאזורי 1250 של הסקר לאזורי התנועה של המחקר לפי אוכלוסייה ותעסוקה.</w:t>
      </w:r>
    </w:p>
    <w:p>
      <w:pPr>
        <w:bidi/>
        <w:spacing w:after="140"/>
        <w:jc w:val="right"/>
      </w:pPr>
      <w:r>
        <w:rPr>
          <w:rFonts w:ascii="Arial" w:hAnsi="Arial" w:cs="Arial"/>
          <w:sz w:val="21"/>
          <w:rtl/>
          <w:szCs w:val="21"/>
        </w:rPr>
        <w:t xml:space="preserve">3. </w:t>
      </w:r>
      <w:r>
        <w:rPr>
          <w:rFonts w:ascii="Arial" w:hAnsi="Arial" w:cs="Arial"/>
          <w:b/>
          <w:sz w:val="21"/>
          <w:rtl/>
          <w:szCs w:val="21"/>
          <w:bCs/>
        </w:rPr>
        <w:t>אין מקור עצמאי לנפח הנסיעות הקצרות והפנים-אזוריות.</w:t>
      </w:r>
      <w:r>
        <w:rPr>
          <w:rFonts w:ascii="Arial" w:hAnsi="Arial" w:cs="Arial"/>
          <w:sz w:val="21"/>
          <w:rtl/>
          <w:szCs w:val="21"/>
        </w:rPr>
        <w:t xml:space="preserve"> בסקר יש הרבה נסיעות קצרות שמטריצה שנגזרת מטלפונים סלולריים לא רואה: ברמת אזורי-העל נפח הסקר גדול פי 3.6 מהנפח הסלולרי, ו-47% מנסיעות הסקר נשארות בתוך אזור סלולרי אחד, לעומת 14% בנתוני הסלולר (מבחן T5, ⁦§6ar⁩). הנתונים הסלולריים אינם בשימוש בשרשרת, ולכן אין מי שיכריע בשאלת נפח הנסיעות הקצרות. במטריצות ה-TAZ נשארות על האלכסון 20.6% מנסיעות הבוקר (15.4% אחה"צ, 16.2% בצהריים), לעומת תקרה של 5% בהנחיה (מבחן T6). לכידת הרק"ל פועלת בין אזורים שונים ולכן אינה מושפעת; כל קריאה של המטריצות מתחת לרמת האזור כן מושפעת.</w:t>
      </w:r>
    </w:p>
    <w:p>
      <w:pPr>
        <w:bidi/>
        <w:spacing w:after="140"/>
        <w:jc w:val="right"/>
      </w:pPr>
      <w:r>
        <w:rPr>
          <w:rFonts w:ascii="Arial" w:hAnsi="Arial" w:cs="Arial"/>
          <w:sz w:val="21"/>
          <w:rtl/>
          <w:szCs w:val="21"/>
        </w:rPr>
        <w:t xml:space="preserve">4. </w:t>
      </w:r>
      <w:r>
        <w:rPr>
          <w:rFonts w:ascii="Arial" w:hAnsi="Arial" w:cs="Arial"/>
          <w:b/>
          <w:sz w:val="21"/>
          <w:rtl/>
          <w:szCs w:val="21"/>
          <w:bCs/>
        </w:rPr>
        <w:t>שני ימי הסקר באים מאותם משקי בית.</w:t>
      </w:r>
      <w:r>
        <w:rPr>
          <w:rFonts w:ascii="Arial" w:hAnsi="Arial" w:cs="Arial"/>
          <w:sz w:val="21"/>
          <w:rtl/>
          <w:szCs w:val="21"/>
        </w:rPr>
        <w:t xml:space="preserve"> ההתאמה בין שני הימים מראה חזרתיות ולא דיוק (יום 1 מול יום 2 נותן R² של 0.73 במטריצת התחבורה הציבורית ברמת אזורי-העל, מבחן T7). לכן את משקל ה"שילוב" באוטובוסים (</w:t>
      </w:r>
      <w:r>
        <w:rPr>
          <w:rFonts w:ascii="Consolas" w:hAnsi="Consolas" w:cs="Consolas"/>
          <w:sz w:val="21"/>
          <w:rtl/>
          <w:szCs w:val="21"/>
        </w:rPr>
        <w:t>k</w:t>
      </w:r>
      <w:r>
        <w:rPr>
          <w:rFonts w:ascii="Arial" w:hAnsi="Arial" w:cs="Arial"/>
          <w:sz w:val="21"/>
          <w:rtl/>
          <w:szCs w:val="21"/>
        </w:rPr>
        <w:t>) בוחרים לפי פיצול משקי בית ולא לפי ימים, שהיה מעדיף את שורות הסקר עצמן (⁦§6m⁩).</w:t>
      </w:r>
    </w:p>
    <w:p>
      <w:pPr>
        <w:bidi/>
        <w:spacing w:after="140"/>
        <w:jc w:val="right"/>
      </w:pPr>
      <w:r>
        <w:rPr>
          <w:rFonts w:ascii="Arial" w:hAnsi="Arial" w:cs="Arial"/>
          <w:sz w:val="21"/>
          <w:rtl/>
          <w:szCs w:val="21"/>
        </w:rPr>
        <w:t xml:space="preserve">5. </w:t>
      </w:r>
      <w:r>
        <w:rPr>
          <w:rFonts w:ascii="Arial" w:hAnsi="Arial" w:cs="Arial"/>
          <w:b/>
          <w:sz w:val="21"/>
          <w:rtl/>
          <w:szCs w:val="21"/>
          <w:bCs/>
        </w:rPr>
        <w:t>פירוט ברמת TAZ הוא הקצאה ולא תצפית.</w:t>
      </w:r>
      <w:r>
        <w:rPr>
          <w:rFonts w:ascii="Arial" w:hAnsi="Arial" w:cs="Arial"/>
          <w:sz w:val="21"/>
          <w:rtl/>
          <w:szCs w:val="21"/>
        </w:rPr>
        <w:t xml:space="preserve"> היחידה של הסקר עצמו היא אזור 1250. הפיצול ל-778 אזורי התנועה של אזור המחקר (ול-174 אזורי המסדרון) נעשה לפי אוכלוסייה (במוצאים) ותעסוקה (ביעדים) של 2020 מהקובץ </w:t>
      </w:r>
      <w:r>
        <w:rPr>
          <w:rFonts w:ascii="Consolas" w:hAnsi="Consolas" w:cs="Consolas"/>
          <w:sz w:val="21"/>
          <w:rtl/>
          <w:szCs w:val="21"/>
        </w:rPr>
        <w:t>Zonal_2020.csv</w:t>
      </w:r>
      <w:r>
        <w:rPr>
          <w:rFonts w:ascii="Arial" w:hAnsi="Arial" w:cs="Arial"/>
          <w:sz w:val="21"/>
          <w:rtl/>
          <w:szCs w:val="21"/>
        </w:rPr>
        <w:t>, ואם חסר – לפי המשתנה השני ואז בחלוקה שווה (396 אזורים; ⁦§6m⁩). סכומים ברמת אזור-על ואזור מסדרון אמינים; המספר של מוצא או יעד בודד ברמת TAZ אינו אמין, וגם הלכידה ברמת TAZ יורשת זאת (מגבלה 27).</w:t>
      </w:r>
    </w:p>
    <w:p>
      <w:pPr>
        <w:bidi/>
        <w:spacing w:after="140"/>
        <w:jc w:val="right"/>
      </w:pPr>
      <w:r>
        <w:rPr>
          <w:rFonts w:ascii="Arial" w:hAnsi="Arial" w:cs="Arial"/>
          <w:sz w:val="21"/>
          <w:rtl/>
          <w:szCs w:val="21"/>
        </w:rPr>
        <w:t xml:space="preserve">19. </w:t>
      </w:r>
      <w:r>
        <w:rPr>
          <w:rFonts w:ascii="Arial" w:hAnsi="Arial" w:cs="Arial"/>
          <w:b/>
          <w:sz w:val="21"/>
          <w:rtl/>
          <w:szCs w:val="21"/>
          <w:bCs/>
        </w:rPr>
        <w:t>שני מפתחות של אזורי-על אינם תואמים</w:t>
      </w:r>
      <w:r>
        <w:rPr>
          <w:rFonts w:ascii="Arial" w:hAnsi="Arial" w:cs="Arial"/>
          <w:sz w:val="21"/>
          <w:rtl/>
          <w:szCs w:val="21"/>
        </w:rPr>
        <w:t xml:space="preserve"> (⁦§6ar⁩). ב-142 מתוך 778 אזורי תנועה ה-</w:t>
      </w:r>
      <w:r>
        <w:rPr>
          <w:rFonts w:ascii="Consolas" w:hAnsi="Consolas" w:cs="Consolas"/>
          <w:sz w:val="21"/>
          <w:rtl/>
          <w:szCs w:val="21"/>
        </w:rPr>
        <w:t>SZ_NEW</w:t>
      </w:r>
      <w:r>
        <w:rPr>
          <w:rFonts w:ascii="Arial" w:hAnsi="Arial" w:cs="Arial"/>
          <w:sz w:val="21"/>
          <w:rtl/>
          <w:szCs w:val="21"/>
        </w:rPr>
        <w:t xml:space="preserve"> ב-</w:t>
      </w:r>
      <w:r>
        <w:rPr>
          <w:rFonts w:ascii="Consolas" w:hAnsi="Consolas" w:cs="Consolas"/>
          <w:sz w:val="21"/>
          <w:rtl/>
          <w:szCs w:val="21"/>
        </w:rPr>
        <w:t>Zonal_2020.csv</w:t>
      </w:r>
      <w:r>
        <w:rPr>
          <w:rFonts w:ascii="Arial" w:hAnsi="Arial" w:cs="Arial"/>
          <w:sz w:val="21"/>
          <w:rtl/>
          <w:szCs w:val="21"/>
        </w:rPr>
        <w:t xml:space="preserve"> שונה מזה שבטבלת המפתחות. </w:t>
      </w:r>
      <w:r>
        <w:rPr>
          <w:rFonts w:ascii="Arial" w:hAnsi="Arial" w:cs="Arial"/>
          <w:b/>
          <w:sz w:val="21"/>
          <w:rtl/>
          <w:szCs w:val="21"/>
          <w:bCs/>
        </w:rPr>
        <w:t>החלטה מ-4.10.2026: טבלת המפתחות שבה משתמשת השרשרת היא הקובעת.</w:t>
      </w:r>
      <w:r>
        <w:rPr>
          <w:rFonts w:ascii="Arial" w:hAnsi="Arial" w:cs="Arial"/>
          <w:sz w:val="21"/>
          <w:rtl/>
          <w:szCs w:val="21"/>
        </w:rPr>
        <w:t xml:space="preserve"> השוואה ל-CBS או למודל הארצי לפי אזור-על חייבת להשתמש בה; יש לתקן או להתעלם מ-</w:t>
      </w:r>
      <w:r>
        <w:rPr>
          <w:rFonts w:ascii="Consolas" w:hAnsi="Consolas" w:cs="Consolas"/>
          <w:sz w:val="21"/>
          <w:rtl/>
          <w:szCs w:val="21"/>
        </w:rPr>
        <w:t>SZ_NEW</w:t>
      </w:r>
      <w:r>
        <w:rPr>
          <w:rFonts w:ascii="Arial" w:hAnsi="Arial" w:cs="Arial"/>
          <w:sz w:val="21"/>
          <w:rtl/>
          <w:szCs w:val="21"/>
        </w:rPr>
        <w:t xml:space="preserve"> ב-</w:t>
      </w:r>
      <w:r>
        <w:rPr>
          <w:rFonts w:ascii="Consolas" w:hAnsi="Consolas" w:cs="Consolas"/>
          <w:sz w:val="21"/>
          <w:rtl/>
          <w:szCs w:val="21"/>
        </w:rPr>
        <w:t>Zonal_2020.csv</w:t>
      </w:r>
      <w:r>
        <w:rPr>
          <w:rFonts w:ascii="Arial" w:hAnsi="Arial" w:cs="Arial"/>
          <w:sz w:val="21"/>
          <w:rtl/>
          <w:szCs w:val="21"/>
        </w:rPr>
        <w:t>. בנוסף, כלל האוטובוס לפי מקטעים נותן למקטעים "דקים" (פחות מ-5 נסיעות סקר) את המקדם של כל המוצא, ולכן סך "מעוגן" של מוצא יכול להיות שונה מרב-קו עד 35% (אזורים 3, 12, 13, 20).</w:t>
      </w:r>
    </w:p>
    <w:p>
      <w:pPr>
        <w:bidi/>
        <w:spacing w:after="140"/>
        <w:jc w:val="right"/>
      </w:pPr>
      <w:r>
        <w:rPr>
          <w:rFonts w:ascii="Arial" w:hAnsi="Arial" w:cs="Arial"/>
          <w:sz w:val="21"/>
          <w:rtl/>
          <w:szCs w:val="21"/>
        </w:rPr>
        <w:t xml:space="preserve">22. </w:t>
      </w:r>
      <w:r>
        <w:rPr>
          <w:rFonts w:ascii="Arial" w:hAnsi="Arial" w:cs="Arial"/>
          <w:b/>
          <w:sz w:val="21"/>
          <w:rtl/>
          <w:szCs w:val="21"/>
          <w:bCs/>
        </w:rPr>
        <w:t>אוכלוסיית הסקר גבוהה ב-5% מהאוכלוסייה באזורים, ומשקי הבית שלה גדולים יותר</w:t>
      </w:r>
      <w:r>
        <w:rPr>
          <w:rFonts w:ascii="Arial" w:hAnsi="Arial" w:cs="Arial"/>
          <w:sz w:val="21"/>
          <w:rtl/>
          <w:szCs w:val="21"/>
        </w:rPr>
        <w:t xml:space="preserve"> (⁦§6ar⁩ גל 2, T2). תושבים מוגדלים בסקר 2,670,719 מול 2,539,095 באזורים; משקי בית 810,186 מול 841,502; גודל משק בית ממוצע 3.39 מול 3.02. המגזר החרדי +26%, הערבי +11%, יהודי לא-חרדי −1%. הדפוס המרחבי תואם (R² 0.997 לפי אזור-על). שכבות 2022 גדלות מבקרות האוכלוסייה 2020/2025, ולכן שנת הבסיס של הסקר מעבירה את ה-5% לשכבות 2018 ולשיעורי הנסיעה לתושב (+7% בין 2018 ל-2022). פתוח: האם ספירת משקי הבית באזורים כוללת משקי בית שאינם פרטיים; והגדרת גודל משק הבית בסקר (אין מילון נתונים במאגר). נדרשים נתוני למ"ס לפי מגזר כדי לדעת מי צודק. בנוסף: חלוקות תת-אזור, V2 ו-GS </w:t>
      </w:r>
      <w:r>
        <w:rPr>
          <w:rFonts w:ascii="Arial" w:hAnsi="Arial" w:cs="Arial"/>
          <w:b/>
          <w:sz w:val="21"/>
          <w:rtl/>
          <w:szCs w:val="21"/>
          <w:bCs/>
        </w:rPr>
        <w:t>אינן מקוננות</w:t>
      </w:r>
      <w:r>
        <w:rPr>
          <w:rFonts w:ascii="Arial" w:hAnsi="Arial" w:cs="Arial"/>
          <w:sz w:val="21"/>
          <w:rtl/>
          <w:szCs w:val="21"/>
        </w:rPr>
        <w:t xml:space="preserve"> באזורי-העל (13 מ-28, 15 מ-25, ו-11 מ-25 קבוצות חוצות שניים או יותר), ולכן אי אפשר לסכום נתונים לפי הרמות האלה לאזורי-על בלי כלל הקצאה.</w:t>
      </w:r>
    </w:p>
    <w:p>
      <w:pPr>
        <w:keepNext/>
        <w:bidi/>
        <w:spacing w:after="80" w:before="200"/>
        <w:jc w:val="right"/>
      </w:pPr>
      <w:r>
        <w:rPr>
          <w:rFonts w:ascii="Arial" w:hAnsi="Arial" w:cs="Arial"/>
          <w:b/>
          <w:color w:val="2F5597"/>
          <w:sz w:val="24"/>
          <w:rtl/>
          <w:szCs w:val="24"/>
          <w:bCs/>
        </w:rPr>
        <w:t>ב. מקורות התחבורה הציבורית: כרטיס רב-קו וכיול האוטובוסים</w:t>
      </w:r>
    </w:p>
    <w:p>
      <w:pPr>
        <w:bidi/>
        <w:spacing w:after="120"/>
        <w:jc w:val="right"/>
      </w:pPr>
      <w:r>
        <w:rPr>
          <w:rFonts w:ascii="Arial" w:hAnsi="Arial" w:cs="Arial"/>
          <w:sz w:val="22"/>
          <w:rtl/>
          <w:szCs w:val="22"/>
        </w:rPr>
        <w:t>שכבת האוטובוסים היא הסקר מכויל לנסיעות רב-קו ממאי 2022; קובצי רב-קו 2025 וסקר ה-OnBoard הם שכבת קלט והשוואה.</w:t>
      </w:r>
    </w:p>
    <w:p>
      <w:pPr>
        <w:bidi/>
        <w:spacing w:after="140"/>
        <w:jc w:val="right"/>
      </w:pPr>
      <w:r>
        <w:rPr>
          <w:rFonts w:ascii="Arial" w:hAnsi="Arial" w:cs="Arial"/>
          <w:sz w:val="21"/>
          <w:rtl/>
          <w:szCs w:val="21"/>
        </w:rPr>
        <w:t xml:space="preserve">7. </w:t>
      </w:r>
      <w:r>
        <w:rPr>
          <w:rFonts w:ascii="Arial" w:hAnsi="Arial" w:cs="Arial"/>
          <w:b/>
          <w:sz w:val="21"/>
          <w:rtl/>
          <w:szCs w:val="21"/>
          <w:bCs/>
        </w:rPr>
        <w:t>היחידות של מקורות התחבורה הציבורית לא הותאמו עד הסוף.</w:t>
      </w:r>
      <w:r>
        <w:rPr>
          <w:rFonts w:ascii="Arial" w:hAnsi="Arial" w:cs="Arial"/>
          <w:sz w:val="21"/>
          <w:rtl/>
          <w:szCs w:val="21"/>
        </w:rPr>
        <w:t xml:space="preserve"> נסיעות התחבורה הציבורית בסקר הן מסעות של תושבים מדלת לדלת; מסעות רב-קו 2022 הם מסעות מקושרים של כל הנוסעים, מהעלייה הראשונה עד הירידה האחרונה, לפי הירידות שרב-קו עצמו מסיק; שכבת הרכבת היא רכבת הסקר מדלת לדלת, מוגדלת פי 0.793 (נסיעות הרכבת הארציות בין 2019 ל-2022), לצד מטריצת תחנה-לתחנה מכרטיסי 2019. נוסע שמגיע באוטובוס לתחנת רכבת עלול להיספר גם במטריצת האוטובוס של רב-קו וגם במטריצת התחנות (לא נבדק). קובץ OnBoard נותן את ההסתברות לרדת בתחנה בהינתן עלייה, ולא ברור אם הכוונה לקטע נסיעה או למסע שלם; מ-23.9.2026 הוא משמש להשוואה בלבד. יש להפריד בין מוצרי "מסעות נוסע" (הסקר) לבין מוצרי "עליות" (רב-קו, מטריצת התחנות) עד שייבנה קישור גישה/העברה.</w:t>
      </w:r>
    </w:p>
    <w:p>
      <w:pPr>
        <w:bidi/>
        <w:spacing w:after="140"/>
        <w:jc w:val="right"/>
      </w:pPr>
      <w:r>
        <w:rPr>
          <w:rFonts w:ascii="Arial" w:hAnsi="Arial" w:cs="Arial"/>
          <w:sz w:val="21"/>
          <w:rtl/>
          <w:szCs w:val="21"/>
        </w:rPr>
        <w:t xml:space="preserve">8. </w:t>
      </w:r>
      <w:r>
        <w:rPr>
          <w:rFonts w:ascii="Arial" w:hAnsi="Arial" w:cs="Arial"/>
          <w:b/>
          <w:sz w:val="21"/>
          <w:rtl/>
          <w:szCs w:val="21"/>
          <w:bCs/>
        </w:rPr>
        <w:t>כלל הכיסוי לפי מקטעים הוא הנחה עם סף</w:t>
      </w:r>
      <w:r>
        <w:rPr>
          <w:rFonts w:ascii="Arial" w:hAnsi="Arial" w:cs="Arial"/>
          <w:sz w:val="21"/>
          <w:rtl/>
          <w:szCs w:val="21"/>
        </w:rPr>
        <w:t xml:space="preserve"> (⁦§6m⁩). רב-קו מתעד 0.74 מנסיעות האוטובוס של הסקר בבוקר. מקטע מוצא × יעד עם לפחות 5 נסיעות סקר לוקח את נפח רב-קו כשהיחס רב-קו/סקר שלו הוא לפחות 0.5, ובשאר המקרים משאיר את נפח הסקר (30 תאים "מוגנים"). סך האוטובוסים בבסיס משתנה עם הסף: 95,986 בסף 0.3, 109,713 ב-0.4, </w:t>
      </w:r>
      <w:r>
        <w:rPr>
          <w:rFonts w:ascii="Arial" w:hAnsi="Arial" w:cs="Arial"/>
          <w:b/>
          <w:sz w:val="21"/>
          <w:rtl/>
          <w:szCs w:val="21"/>
          <w:bCs/>
        </w:rPr>
        <w:t>115,430 ב-0.5 (הבסיס)</w:t>
      </w:r>
      <w:r>
        <w:rPr>
          <w:rFonts w:ascii="Arial" w:hAnsi="Arial" w:cs="Arial"/>
          <w:sz w:val="21"/>
          <w:rtl/>
          <w:szCs w:val="21"/>
        </w:rPr>
        <w:t>, 124,654 ב-0.6 ו-129,472 ב-0.7 (מ-17% פחות עד 12% יותר). הסיבה ליחסים נמוכים מ-0.5 (מפעילים מחוץ לקובץ, תשלום במזומן, הגדלת יתר של הסקר, נסיעות תלמידים – מגבלה 20) לא נפתרה.</w:t>
      </w:r>
    </w:p>
    <w:p>
      <w:pPr>
        <w:bidi/>
        <w:spacing w:after="140"/>
        <w:jc w:val="right"/>
      </w:pPr>
      <w:r>
        <w:rPr>
          <w:rFonts w:ascii="Arial" w:hAnsi="Arial" w:cs="Arial"/>
          <w:sz w:val="21"/>
          <w:rtl/>
          <w:szCs w:val="21"/>
        </w:rPr>
        <w:t xml:space="preserve">16. </w:t>
      </w:r>
      <w:r>
        <w:rPr>
          <w:rFonts w:ascii="Arial" w:hAnsi="Arial" w:cs="Arial"/>
          <w:b/>
          <w:sz w:val="21"/>
          <w:rtl/>
          <w:szCs w:val="21"/>
          <w:bCs/>
        </w:rPr>
        <w:t>נתוני רב-קו 2025 הם עליות, לא מסעות</w:t>
      </w:r>
      <w:r>
        <w:rPr>
          <w:rFonts w:ascii="Arial" w:hAnsi="Arial" w:cs="Arial"/>
          <w:sz w:val="21"/>
          <w:rtl/>
          <w:szCs w:val="21"/>
        </w:rPr>
        <w:t xml:space="preserve"> (⁦§6af⁩). תג ה"העברה" מסמן רק 3.7% מהעליות כהעברות, בעוד שב-2022 שליש מהקטעים היו העברות – כלומר "מוצאי המסע" של 2025 קרובים יותר ל"קטעי נסיעה" ואסור להשוותם למסעות 2022 או להזינם לכלל הכיסוי של ⁦§6m⁩. צריך לשאול את הספק מה התג אומר בהינתן תקרת התשלום היומית. קודי התחנה חוזרים בין מפעילים, ולכן כל מוצר 2025 מפוענח לפי (אשכול, קוד) ומאותר לפי קואורדינטות הצמדות; קובץ התחנות הצפוני לבדו היה מציב 52,000 עליות ליום בטעות באזור. קואורדינטות תחנות הרכבת בקובץ שגויות בכמה תחנות, ולכן נעשה שימוש במיקומי GTFS. הירידות לאוטובוס ולמטרונית עדיין לפי דפוס OnBoard (מגבלה 7). שלב 41 ניסה לשרשר צמדות ברמת הכרטיס: אכן התקבל חלק העברות (27.5%) הקרוב ל-2022, אך ירידה נקבעה רק ל-45.8% מהצמדות, כי 72.2% מהכרטיסים מצמידים רק פעם אחת בחלון הבוקר. לעיגון מחדש נדרשת הסקת ירידות כללית שהקובץ הזה לבדו אינו יכול לספק.</w:t>
      </w:r>
    </w:p>
    <w:p>
      <w:pPr>
        <w:bidi/>
        <w:spacing w:after="140"/>
        <w:jc w:val="right"/>
      </w:pPr>
      <w:r>
        <w:rPr>
          <w:rFonts w:ascii="Arial" w:hAnsi="Arial" w:cs="Arial"/>
          <w:sz w:val="21"/>
          <w:rtl/>
          <w:szCs w:val="21"/>
        </w:rPr>
        <w:t xml:space="preserve">17. </w:t>
      </w:r>
      <w:r>
        <w:rPr>
          <w:rFonts w:ascii="Arial" w:hAnsi="Arial" w:cs="Arial"/>
          <w:b/>
          <w:sz w:val="21"/>
          <w:rtl/>
          <w:szCs w:val="21"/>
          <w:bCs/>
        </w:rPr>
        <w:t>דפוס הירידה של OnBoard הוא מה שמפריד בין מוצרי הכרטוס לסקר</w:t>
      </w:r>
      <w:r>
        <w:rPr>
          <w:rFonts w:ascii="Arial" w:hAnsi="Arial" w:cs="Arial"/>
          <w:sz w:val="21"/>
          <w:rtl/>
          <w:szCs w:val="21"/>
        </w:rPr>
        <w:t xml:space="preserve"> (⁦§6ag⁩). ברמת אזור-העל מטריצת האוטובוס של הסקר מתאימה לירידות המוסקות מרב-קו עצמו (</w:t>
      </w:r>
      <w:r>
        <w:rPr>
          <w:rFonts w:ascii="Consolas" w:hAnsi="Consolas" w:cs="Consolas"/>
          <w:sz w:val="21"/>
          <w:rtl/>
          <w:szCs w:val="21"/>
        </w:rPr>
        <w:t>bus_od_taz_avg.csv</w:t>
      </w:r>
      <w:r>
        <w:rPr>
          <w:rFonts w:ascii="Arial" w:hAnsi="Arial" w:cs="Arial"/>
          <w:sz w:val="21"/>
          <w:rtl/>
          <w:szCs w:val="21"/>
        </w:rPr>
        <w:t xml:space="preserve">) כמעט כמו שהיא מתאימה לעצמה בין שני ימי הסקר; לעומת זאת מטריצות רב-קו שנבנו על דפוס OnBoard מתאימות לסקר לא יותר מגיאוגרפיה מעורבבת באקראי, והנסיעות בהן ארוכות פי שניים. שלב 9 בחר ב-OnBoard לפי מתאם ברמת TAZ, וכל מבחן גס יותר אומר את ההפך. </w:t>
      </w:r>
      <w:r>
        <w:rPr>
          <w:rFonts w:ascii="Arial" w:hAnsi="Arial" w:cs="Arial"/>
          <w:b/>
          <w:sz w:val="21"/>
          <w:rtl/>
          <w:szCs w:val="21"/>
          <w:bCs/>
        </w:rPr>
        <w:t>בוצע באותו יום:</w:t>
      </w:r>
      <w:r>
        <w:rPr>
          <w:rFonts w:ascii="Arial" w:hAnsi="Arial" w:cs="Arial"/>
          <w:sz w:val="21"/>
          <w:rtl/>
          <w:szCs w:val="21"/>
        </w:rPr>
        <w:t xml:space="preserve"> שלב 15 עבר לירידות של רב-קו עצמו; האימות מאשר (JSD 0.267 מול 0.422 ל-OnBoard, ואפילו טוב משורות הסקר עצמו, 0.336); הפער בפרופיל המסדרון היה בדפוס OnBoard – על ירידות רב-קו הסקר והכרטוס מסכימים לאורך כל הקו בטווח ±15%. </w:t>
      </w:r>
      <w:r>
        <w:rPr>
          <w:rFonts w:ascii="Arial" w:hAnsi="Arial" w:cs="Arial"/>
          <w:b/>
          <w:sz w:val="21"/>
          <w:rtl/>
          <w:szCs w:val="21"/>
          <w:bCs/>
        </w:rPr>
        <w:t>נשאר פתוח:</w:t>
      </w:r>
      <w:r>
        <w:rPr>
          <w:rFonts w:ascii="Arial" w:hAnsi="Arial" w:cs="Arial"/>
          <w:sz w:val="21"/>
          <w:rtl/>
          <w:szCs w:val="21"/>
        </w:rPr>
        <w:t xml:space="preserve"> בענף נצרת→חיפה הכרטוס מציב 0.36 מהתחבורה הציבורית של הסקר, בעוד שדפוס OnBoard הציב פי 2.5 – שתי שיטות ההסקה חלוקות פי 13 ו"תוחמות" את הסקר. לא ידוע אם OnBoard מייצג יתר על המידה קווים ארוכים, או שהסקת הירידות מרב-קו "חותכת" מסעות בצומת ההעברה. נדרשת הבהרת היחידה של OnBoard (מגבלה 7) וספירה בענף נצרת (משימה C3). עד אז שוק ענף נצרת הוא </w:t>
      </w:r>
      <w:r>
        <w:rPr>
          <w:rFonts w:ascii="Arial" w:hAnsi="Arial" w:cs="Arial"/>
          <w:b/>
          <w:sz w:val="21"/>
          <w:rtl/>
          <w:szCs w:val="21"/>
          <w:bCs/>
        </w:rPr>
        <w:t>טווח</w:t>
      </w:r>
      <w:r>
        <w:rPr>
          <w:rFonts w:ascii="Arial" w:hAnsi="Arial" w:cs="Arial"/>
          <w:sz w:val="21"/>
          <w:rtl/>
          <w:szCs w:val="21"/>
        </w:rPr>
        <w:t>. תוצר שלב 9 נשאר כקריאה שנייה, לא כקלט.</w:t>
      </w:r>
    </w:p>
    <w:p>
      <w:pPr>
        <w:bidi/>
        <w:spacing w:after="140"/>
        <w:jc w:val="right"/>
      </w:pPr>
      <w:r>
        <w:rPr>
          <w:rFonts w:ascii="Arial" w:hAnsi="Arial" w:cs="Arial"/>
          <w:sz w:val="21"/>
          <w:rtl/>
          <w:szCs w:val="21"/>
        </w:rPr>
        <w:t xml:space="preserve">20. </w:t>
      </w:r>
      <w:r>
        <w:rPr>
          <w:rFonts w:ascii="Arial" w:hAnsi="Arial" w:cs="Arial"/>
          <w:b/>
          <w:sz w:val="21"/>
          <w:rtl/>
          <w:szCs w:val="21"/>
          <w:bCs/>
        </w:rPr>
        <w:t>הפער של רב-קו מול הסקר הוא תופעה של בוקר עתיר חינוך</w:t>
      </w:r>
      <w:r>
        <w:rPr>
          <w:rFonts w:ascii="Arial" w:hAnsi="Arial" w:cs="Arial"/>
          <w:sz w:val="21"/>
          <w:rtl/>
          <w:szCs w:val="21"/>
        </w:rPr>
        <w:t xml:space="preserve"> (⁦§6ar⁩ גל 1b). יחס רב-קו/סקר באוטובוס: 0.74 בבוקר, 0.96 בשיא אחה"צ, 0.93 בצהריים. נסיעות חינוך מהבית הן 40% מנסיעות האוטובוס בסקר בבוקר ו-‎13‎–‎19‎% בשאר החלונות (ובלעדיהן היחס ‎1.1‎–‎1.2‎ בכל חלון). ייתכן שסף הכיסוי 0.5 ותאיו "המוגנים" בבוקר מגן דווקא על נסיעות תלמידים ולא על פער כרטוס כללי. יש לשאול את הספק אם נסיעות תלמידים נכללות בנתונים; חידוד אפשרי: כלל כיסוי לפי מטרת נסיעה.</w:t>
      </w:r>
    </w:p>
    <w:p>
      <w:pPr>
        <w:keepNext/>
        <w:bidi/>
        <w:spacing w:after="80" w:before="200"/>
        <w:jc w:val="right"/>
      </w:pPr>
      <w:r>
        <w:rPr>
          <w:rFonts w:ascii="Arial" w:hAnsi="Arial" w:cs="Arial"/>
          <w:b/>
          <w:color w:val="2F5597"/>
          <w:sz w:val="24"/>
          <w:rtl/>
          <w:szCs w:val="24"/>
          <w:bCs/>
        </w:rPr>
        <w:t>ג. גידול ל-2022, ל-2040/2050 ומסגרת הזמן</w:t>
      </w:r>
    </w:p>
    <w:p>
      <w:pPr>
        <w:bidi/>
        <w:spacing w:after="140"/>
        <w:jc w:val="right"/>
      </w:pPr>
      <w:r>
        <w:rPr>
          <w:rFonts w:ascii="Arial" w:hAnsi="Arial" w:cs="Arial"/>
          <w:sz w:val="21"/>
          <w:rtl/>
          <w:szCs w:val="21"/>
        </w:rPr>
        <w:t xml:space="preserve">11. </w:t>
      </w:r>
      <w:r>
        <w:rPr>
          <w:rFonts w:ascii="Arial" w:hAnsi="Arial" w:cs="Arial"/>
          <w:b/>
          <w:sz w:val="21"/>
          <w:rtl/>
          <w:szCs w:val="21"/>
          <w:bCs/>
        </w:rPr>
        <w:t>תקופות הנתונים שונות ומיושרות בהנחה.</w:t>
      </w:r>
      <w:r>
        <w:rPr>
          <w:rFonts w:ascii="Arial" w:hAnsi="Arial" w:cs="Arial"/>
          <w:sz w:val="21"/>
          <w:rtl/>
          <w:szCs w:val="21"/>
        </w:rPr>
        <w:t xml:space="preserve"> הסקר הוא 2017/18; הוא גדל ל-2022 לכל TAZ לפי </w:t>
      </w:r>
      <w:r>
        <w:rPr>
          <w:rFonts w:ascii="Consolas" w:hAnsi="Consolas" w:cs="Consolas"/>
          <w:sz w:val="21"/>
          <w:rtl/>
          <w:szCs w:val="21"/>
        </w:rPr>
        <w:t>(X2025 / X2020)^(4/5)</w:t>
      </w:r>
      <w:r>
        <w:rPr>
          <w:rFonts w:ascii="Arial" w:hAnsi="Arial" w:cs="Arial"/>
          <w:sz w:val="21"/>
          <w:rtl/>
          <w:szCs w:val="21"/>
        </w:rPr>
        <w:t xml:space="preserve"> מקובצי האזורים, כלומר אינטרפולציה של מגמת תחזית; יחס הרכבת הארצי 0.793 משמש כתחליף לשינוי המקומי ברכבת; תאי האוטובוס שלוקחים נפח רב-קו הם עוגנים של מאי 2022. האימות משווה נתונים משנים אחרות (ספירות כבישים ‎2017‎–‎2023,‎ רב-קו 2025, GTFS יוני 2026, מהירויות מאי 2026) בלי להחיל גידול על הצורות. הטענה שרכיבת האוטובוסים במאי 2022 לא הייתה מדוכאת קורונה נשענת על דברי צוות המחקר, ואין לה ראיה במאגר.</w:t>
      </w:r>
    </w:p>
    <w:p>
      <w:pPr>
        <w:bidi/>
        <w:spacing w:after="140"/>
        <w:jc w:val="right"/>
      </w:pPr>
      <w:r>
        <w:rPr>
          <w:rFonts w:ascii="Arial" w:hAnsi="Arial" w:cs="Arial"/>
          <w:sz w:val="21"/>
          <w:rtl/>
          <w:szCs w:val="21"/>
        </w:rPr>
        <w:t xml:space="preserve">10. </w:t>
      </w:r>
      <w:r>
        <w:rPr>
          <w:rFonts w:ascii="Arial" w:hAnsi="Arial" w:cs="Arial"/>
          <w:b/>
          <w:sz w:val="21"/>
          <w:rtl/>
          <w:szCs w:val="21"/>
          <w:bCs/>
        </w:rPr>
        <w:t>מטריצות 2040/2050 הן התייחסות דמוגרפית ולא תחזית התנהגותית</w:t>
      </w:r>
      <w:r>
        <w:rPr>
          <w:rFonts w:ascii="Arial" w:hAnsi="Arial" w:cs="Arial"/>
          <w:sz w:val="21"/>
          <w:rtl/>
          <w:szCs w:val="21"/>
        </w:rPr>
        <w:t xml:space="preserve"> (שלב 23, ⁦§6u⁩). שכבות 2022 גדלות לפי מדדי שימושי קרקע משולבים של אוכלוסייה ותעסוקה (שהותאמו לביקוש 2022, R² של כ-0.5 ברמת TAZ) ומאוזנות לכל שכבה בנפרד. חלוקת האמצעים, שיעורי הנסיעה ובחירת היעד נשארים כמו ב-2022 מעצם הבנייה, ולכן נתח התחבורה הציבורית אינו תוצאה (בכל אזור המחקר: תחבורה ציבורית פי ‎1.30‎–‎1.64‎ לעומת רכב פי ‎1.31‎–‎1.63‎ בארבעת הסטים). קובצי האזורים של BU ו-HS נלקחים כמות שהם, ו-HS משנה גם את הרכב השוק. אזורי תנועה קטנים או כאלה שמשתנים מקבלים את דפוס אזור-העל, וזה "זורע" נסיעות בזוגות אזורים שריקים ב-2022 (מגבלה 29). שכבת המוניות לא מתכנסת (טעות מרבית של ‎9‎–‎35‎% בסכומי השורות). הלכידה על סטי התחזית (שלב 32) משתמשת בסקים של מאי 2026 בכל השנים: בלי גידול בגודש, בלי שינוי ברשת האוטובוסים או בבעלות על רכב, ובלי קו רק"ל בענפים. התחזית הישנה של 25 אזורים (</w:t>
      </w:r>
      <w:r>
        <w:rPr>
          <w:rFonts w:ascii="Consolas" w:hAnsi="Consolas" w:cs="Consolas"/>
          <w:sz w:val="21"/>
          <w:rtl/>
          <w:szCs w:val="21"/>
        </w:rPr>
        <w:t>Output/forecast/</w:t>
      </w:r>
      <w:r>
        <w:rPr>
          <w:rFonts w:ascii="Arial" w:hAnsi="Arial" w:cs="Arial"/>
          <w:sz w:val="21"/>
          <w:rtl/>
          <w:szCs w:val="21"/>
        </w:rPr>
        <w:t xml:space="preserve">, </w:t>
      </w:r>
      <w:r>
        <w:rPr>
          <w:rFonts w:ascii="Consolas" w:hAnsi="Consolas" w:cs="Consolas"/>
          <w:sz w:val="21"/>
          <w:rtl/>
          <w:szCs w:val="21"/>
        </w:rPr>
        <w:t>Output/transit/all_adjusted_*</w:t>
      </w:r>
      <w:r>
        <w:rPr>
          <w:rFonts w:ascii="Arial" w:hAnsi="Arial" w:cs="Arial"/>
          <w:sz w:val="21"/>
          <w:rtl/>
          <w:szCs w:val="21"/>
        </w:rPr>
        <w:t>) שייכת לעבר ואינה בשימוש.</w:t>
      </w:r>
    </w:p>
    <w:p>
      <w:pPr>
        <w:bidi/>
        <w:spacing w:after="140"/>
        <w:jc w:val="right"/>
      </w:pPr>
      <w:r>
        <w:rPr>
          <w:rFonts w:ascii="Arial" w:hAnsi="Arial" w:cs="Arial"/>
          <w:sz w:val="21"/>
          <w:rtl/>
          <w:szCs w:val="21"/>
        </w:rPr>
        <w:t xml:space="preserve">31. </w:t>
      </w:r>
      <w:r>
        <w:rPr>
          <w:rFonts w:ascii="Arial" w:hAnsi="Arial" w:cs="Arial"/>
          <w:b/>
          <w:sz w:val="21"/>
          <w:rtl/>
          <w:szCs w:val="21"/>
          <w:bCs/>
        </w:rPr>
        <w:t>מסגרת הזמן.</w:t>
      </w:r>
      <w:r>
        <w:rPr>
          <w:rFonts w:ascii="Arial" w:hAnsi="Arial" w:cs="Arial"/>
          <w:sz w:val="21"/>
          <w:rtl/>
          <w:szCs w:val="21"/>
        </w:rPr>
        <w:t xml:space="preserve"> הבסיס הוא יום חול מייצג: שני ימי הסקר, ממוצע ארבעה ימי שלישי במאי 2022 ברב-קו, יום שירות אחד של GTFS (יום שלישי ביוני 2026) עם זמני האוטובוס הנצפים של שלב 30 ממאי 2026, ומהירויות רכב ממאי 2026 (מגבלה 24). אין עונתיות או שוני בין ימים בשבוע, וסטי התחזית של אחה"צ גדלים בקצב של הבוקר (מגבלה 28).</w:t>
      </w:r>
    </w:p>
    <w:p>
      <w:pPr>
        <w:keepNext/>
        <w:bidi/>
        <w:spacing w:after="80" w:before="200"/>
        <w:jc w:val="right"/>
      </w:pPr>
      <w:r>
        <w:rPr>
          <w:rFonts w:ascii="Arial" w:hAnsi="Arial" w:cs="Arial"/>
          <w:b/>
          <w:color w:val="2F5597"/>
          <w:sz w:val="24"/>
          <w:rtl/>
          <w:szCs w:val="24"/>
          <w:bCs/>
        </w:rPr>
        <w:t>ד. פרופילי המסדרון, שעת שיא ואימות</w:t>
      </w:r>
    </w:p>
    <w:p>
      <w:pPr>
        <w:bidi/>
        <w:spacing w:after="140"/>
        <w:jc w:val="right"/>
      </w:pPr>
      <w:r>
        <w:rPr>
          <w:rFonts w:ascii="Arial" w:hAnsi="Arial" w:cs="Arial"/>
          <w:sz w:val="21"/>
          <w:rtl/>
          <w:szCs w:val="21"/>
        </w:rPr>
        <w:t xml:space="preserve">12. </w:t>
      </w:r>
      <w:r>
        <w:rPr>
          <w:rFonts w:ascii="Arial" w:hAnsi="Arial" w:cs="Arial"/>
          <w:b/>
          <w:sz w:val="21"/>
          <w:rtl/>
          <w:szCs w:val="21"/>
          <w:bCs/>
        </w:rPr>
        <w:t>פרופילי המסדרון הם תנועות פוטנציאליות</w:t>
      </w:r>
      <w:r>
        <w:rPr>
          <w:rFonts w:ascii="Arial" w:hAnsi="Arial" w:cs="Arial"/>
          <w:sz w:val="21"/>
          <w:rtl/>
          <w:szCs w:val="21"/>
        </w:rPr>
        <w:t xml:space="preserve"> בין אזורי הקו – סכומי שלוש שעות (⁦§6o⁩) ומאז שלב 20 גם ערכי שעת היציאה העמוסה (⁦§6r⁩) – ולא עומסי נוסעים ולא גבול עליון לביקוש לרק"ל. מקדמי שעת השיא נשענים על שעות יציאה בסקר (מגבלה 18); מקדם לפי שעת עלייה מרב-קו קיים רק לבוקר (‎0.43‎–‎0.48‎ בקובץ 2025, ‎06:00‎–‎09:00,‎ ⁦§6af⁩).</w:t>
      </w:r>
    </w:p>
    <w:p>
      <w:pPr>
        <w:bidi/>
        <w:spacing w:after="140"/>
        <w:jc w:val="right"/>
      </w:pPr>
      <w:r>
        <w:rPr>
          <w:rFonts w:ascii="Arial" w:hAnsi="Arial" w:cs="Arial"/>
          <w:sz w:val="21"/>
          <w:rtl/>
          <w:szCs w:val="21"/>
        </w:rPr>
        <w:t xml:space="preserve">13. </w:t>
      </w:r>
      <w:r>
        <w:rPr>
          <w:rFonts w:ascii="Arial" w:hAnsi="Arial" w:cs="Arial"/>
          <w:b/>
          <w:sz w:val="21"/>
          <w:rtl/>
          <w:szCs w:val="21"/>
          <w:bCs/>
        </w:rPr>
        <w:t>מבחני דמיון הם כלי אבחון ולא אימות.</w:t>
      </w:r>
      <w:r>
        <w:rPr>
          <w:rFonts w:ascii="Arial" w:hAnsi="Arial" w:cs="Arial"/>
          <w:sz w:val="21"/>
          <w:rtl/>
          <w:szCs w:val="21"/>
        </w:rPr>
        <w:t xml:space="preserve"> התאמה בין ימים של אותם משקי בית היא נקודת ייחוס לחזרתיות ולא תקרה; התאמה טובה יותר לרב-קו אחרי כיול לרב-קו אינה אימות. יש היום ראיות חיצוניות לרכב (ספירות על קווי חתך – T12, ספירות קישורים – T11) ולאוטובוס מול רב-קו (T7, T8, T14), אבל לא לעומסי האוטובוסים בקטע חיפה, לשירותי נצרת המקומיים מול נצרת–חיפה, להעברות בהמפרץ או לעליות בתחנות.</w:t>
      </w:r>
    </w:p>
    <w:p>
      <w:pPr>
        <w:bidi/>
        <w:spacing w:after="140"/>
        <w:jc w:val="right"/>
      </w:pPr>
      <w:r>
        <w:rPr>
          <w:rFonts w:ascii="Arial" w:hAnsi="Arial" w:cs="Arial"/>
          <w:sz w:val="21"/>
          <w:rtl/>
          <w:szCs w:val="21"/>
        </w:rPr>
        <w:t xml:space="preserve">18. </w:t>
      </w:r>
      <w:r>
        <w:rPr>
          <w:rFonts w:ascii="Arial" w:hAnsi="Arial" w:cs="Arial"/>
          <w:b/>
          <w:sz w:val="21"/>
          <w:rtl/>
          <w:szCs w:val="21"/>
          <w:bCs/>
        </w:rPr>
        <w:t>פרופיל שעות היציאה בסקר "חד" יותר מהכביש ומשערי התשלום</w:t>
      </w:r>
      <w:r>
        <w:rPr>
          <w:rFonts w:ascii="Arial" w:hAnsi="Arial" w:cs="Arial"/>
          <w:sz w:val="21"/>
          <w:rtl/>
          <w:szCs w:val="21"/>
        </w:rPr>
        <w:t xml:space="preserve"> (⁦§6ah⁩, ⁦§6af⁩). בספירות על קווי חתך, שעת השיא מחזיקה ‎0.38‎–‎0.43‎ מהשעות ‎06:00‎–‎09:00‎ (פי ‎1.1‎–‎1.3‎ משעה ממוצעת); בעליות רב-קו ‎0.43‎–‎0.48‎ ב-60 הדקות העמוסות; בסקר, יציאות רכב מחזיקות ‎0.62‎–‎0.66‎ ויציאות אוטובוס ‎0.55‎–‎0.59‎ בחלונות של 15 דקות. הגדרות שונות מסבירות חלק קטן; עיגול הדיווח לשעה שלמה ולחצי שעה ותנועה מסחרית שטוחה יותר מסבירים את השאר. </w:t>
      </w:r>
      <w:r>
        <w:rPr>
          <w:rFonts w:ascii="Arial" w:hAnsi="Arial" w:cs="Arial"/>
          <w:b/>
          <w:sz w:val="21"/>
          <w:rtl/>
          <w:szCs w:val="21"/>
          <w:bCs/>
        </w:rPr>
        <w:t>מקדמי שלבים 20/27 הם לכן גבול עליון</w:t>
      </w:r>
      <w:r>
        <w:rPr>
          <w:rFonts w:ascii="Arial" w:hAnsi="Arial" w:cs="Arial"/>
          <w:sz w:val="21"/>
          <w:rtl/>
          <w:szCs w:val="21"/>
        </w:rPr>
        <w:t>, וכל נתון שעת-שיא ב-⁦§6r⁩, ⁦§6v⁩, ⁦§6y⁩, ⁦§6ac⁩, ⁦§6ad⁩ גדל איתם. עד שתהיה הקצאה שנותנת פרופיל חציית קישורים (משימה B1e), יש לשאת לשעת התכנון: ‎0.42‎–‎0.48‎ לרכב (לפי ספירות) ו-‎0.43‎–‎0.48‎ לתחבורה ציבורית (לפי עליות).</w:t>
      </w:r>
    </w:p>
    <w:p>
      <w:pPr>
        <w:bidi/>
        <w:spacing w:after="140"/>
        <w:jc w:val="right"/>
      </w:pPr>
      <w:r>
        <w:rPr>
          <w:rFonts w:ascii="Arial" w:hAnsi="Arial" w:cs="Arial"/>
          <w:sz w:val="21"/>
          <w:rtl/>
          <w:szCs w:val="21"/>
        </w:rPr>
        <w:t xml:space="preserve">21. </w:t>
      </w:r>
      <w:r>
        <w:rPr>
          <w:rFonts w:ascii="Arial" w:hAnsi="Arial" w:cs="Arial"/>
          <w:b/>
          <w:sz w:val="21"/>
          <w:rtl/>
          <w:szCs w:val="21"/>
          <w:bCs/>
        </w:rPr>
        <w:t>תפוסת הרכב בשלב 36 חושבה עם שעה שגויה</w:t>
      </w:r>
      <w:r>
        <w:rPr>
          <w:rFonts w:ascii="Arial" w:hAnsi="Arial" w:cs="Arial"/>
          <w:sz w:val="21"/>
          <w:rtl/>
          <w:szCs w:val="21"/>
        </w:rPr>
        <w:t xml:space="preserve"> (⁦§6ar⁩ גל 2, T10). הערך 1.33 לבוקר (ו-1.43/1.32 לאחה"צ/צהריים) השתמש בשעת היציאה של שורת ההגעה במקום של המקום הקודם. </w:t>
      </w:r>
      <w:r>
        <w:rPr>
          <w:rFonts w:ascii="Arial" w:hAnsi="Arial" w:cs="Arial"/>
          <w:b/>
          <w:sz w:val="21"/>
          <w:rtl/>
          <w:szCs w:val="21"/>
          <w:bCs/>
        </w:rPr>
        <w:t>הערכים הנכונים: בוקר 1.52, אחה"צ 1.52, צהריים 1.33.</w:t>
      </w:r>
      <w:r>
        <w:rPr>
          <w:rFonts w:ascii="Arial" w:hAnsi="Arial" w:cs="Arial"/>
          <w:sz w:val="21"/>
          <w:rtl/>
          <w:szCs w:val="21"/>
        </w:rPr>
        <w:t xml:space="preserve"> הנזק רק להמרת ספירות לרכבים (מטריצות נסיעות נוסעים לא הושפעו): T12 הורץ מחדש (בוקר 0.71→0.62, אחה"צ 0.64→0.61, צהריים 0.50→0.49 מהרכבים הנספרים). המחברות המקוריות נשמרו כרשומה עם הערת תיקון. כל שימוש בעתיד (מטריצת רכבים להקצאה, מקדמי נסיעות מעבר) חייב להשתמש בערך של החלון עצמו.</w:t>
      </w:r>
    </w:p>
    <w:p>
      <w:pPr>
        <w:bidi/>
        <w:spacing w:after="140"/>
        <w:jc w:val="right"/>
      </w:pPr>
      <w:r>
        <w:rPr>
          <w:rFonts w:ascii="Arial" w:hAnsi="Arial" w:cs="Arial"/>
          <w:sz w:val="21"/>
          <w:rtl/>
          <w:szCs w:val="21"/>
        </w:rPr>
        <w:t xml:space="preserve">23. </w:t>
      </w:r>
      <w:r>
        <w:rPr>
          <w:rFonts w:ascii="Arial" w:hAnsi="Arial" w:cs="Arial"/>
          <w:b/>
          <w:sz w:val="21"/>
          <w:rtl/>
          <w:szCs w:val="21"/>
          <w:bCs/>
        </w:rPr>
        <w:t>שכבת הרכב אינה משחזרת את דפוס ספירות הקישורים</w:t>
      </w:r>
      <w:r>
        <w:rPr>
          <w:rFonts w:ascii="Arial" w:hAnsi="Arial" w:cs="Arial"/>
          <w:sz w:val="21"/>
          <w:rtl/>
          <w:szCs w:val="21"/>
        </w:rPr>
        <w:t xml:space="preserve"> (⁦§6ar⁩ גל 3, T11; שלב 42). הקצאת "הכול-או-כלום" על רשת Emme (מהירויות חופשיות מוקצות לפי סוג קישור): היחס מוקצה/נספר 0.93 על 1,346 קישורים (שיפוע 0.89), אך R² רק 0.47 ו-RMSE% 113 (לעומת 0.85 ו-35 הנדרשים), ואף מחלקת נפח שעתי לא עומדת בגבול. מקדם גלובלי אחד לא עוזר. השכבה היא נסיעות רכב של תושבים בלבד – ללא נסיעות חיצוניות, משאיות, מוניות ונסיעות פנים-אזוריות – ולכן אסור להשתמש בה כמטריצת הקצאה לתחזית עומסי קישורים בלי הרכיבים החסרים והקצאת שיווי משקל. זרמי מסדרון יש לקרוא דרך השוואות קווי חתך (T12) ופרופילי המסדרון בסקר. נתוני רב-קו 2025 מכילים רק ‎06:00‎–‎08:59,‎ ולכן אי אפשר להרחיב את T15–T17 לאחה"צ ולצהריים בלי חילוצים חדשים.</w:t>
      </w:r>
    </w:p>
    <w:p>
      <w:pPr>
        <w:keepNext/>
        <w:bidi/>
        <w:spacing w:after="80" w:before="200"/>
        <w:jc w:val="right"/>
      </w:pPr>
      <w:r>
        <w:rPr>
          <w:rFonts w:ascii="Arial" w:hAnsi="Arial" w:cs="Arial"/>
          <w:b/>
          <w:color w:val="2F5597"/>
          <w:sz w:val="24"/>
          <w:rtl/>
          <w:szCs w:val="24"/>
          <w:bCs/>
        </w:rPr>
        <w:t>ה. מי נכלל בביקוש, רמת השירות, הקו והלכידה</w:t>
      </w:r>
    </w:p>
    <w:p>
      <w:pPr>
        <w:bidi/>
        <w:spacing w:after="140"/>
        <w:jc w:val="right"/>
      </w:pPr>
      <w:r>
        <w:rPr>
          <w:rFonts w:ascii="Arial" w:hAnsi="Arial" w:cs="Arial"/>
          <w:sz w:val="21"/>
          <w:rtl/>
          <w:szCs w:val="21"/>
        </w:rPr>
        <w:t xml:space="preserve">30. </w:t>
      </w:r>
      <w:r>
        <w:rPr>
          <w:rFonts w:ascii="Arial" w:hAnsi="Arial" w:cs="Arial"/>
          <w:b/>
          <w:sz w:val="21"/>
          <w:rtl/>
          <w:szCs w:val="21"/>
          <w:bCs/>
        </w:rPr>
        <w:t>מי נכלל בביקוש.</w:t>
      </w:r>
      <w:r>
        <w:rPr>
          <w:rFonts w:ascii="Arial" w:hAnsi="Arial" w:cs="Arial"/>
          <w:sz w:val="21"/>
          <w:rtl/>
          <w:szCs w:val="21"/>
        </w:rPr>
        <w:t xml:space="preserve"> תושבי אזור המחקר, מסעות של אנשים ששני קצותיהם באזור המחקר, בוקר ‎06:00‎–‎09:00‎ (אחה"צ ‎16:00‎–‎19:00‎ וצהריים ‎10:00‎–‎14:00‎ לפי אותם כללים). מבקרים, תיירים, נוסעים מחוץ לאזור, תנועת מעבר ומשאיות אינם בשכבות, ונסיעות מוניות נשארות כשכבה נפרדת בלי שינוי. הלכידה של הרק"ל מחושבת רק על </w:t>
      </w:r>
      <w:r>
        <w:rPr>
          <w:rFonts w:ascii="Arial" w:hAnsi="Arial" w:cs="Arial"/>
          <w:b/>
          <w:sz w:val="21"/>
          <w:rtl/>
          <w:szCs w:val="21"/>
          <w:bCs/>
        </w:rPr>
        <w:t>שוק המסדרון</w:t>
      </w:r>
      <w:r>
        <w:rPr>
          <w:rFonts w:ascii="Arial" w:hAnsi="Arial" w:cs="Arial"/>
          <w:sz w:val="21"/>
          <w:rtl/>
          <w:szCs w:val="21"/>
        </w:rPr>
        <w:t>: זוגות אזורי תנועה ב</w:t>
      </w:r>
      <w:r>
        <w:rPr>
          <w:rFonts w:ascii="Arial" w:hAnsi="Arial" w:cs="Arial"/>
          <w:b/>
          <w:sz w:val="21"/>
          <w:rtl/>
          <w:szCs w:val="21"/>
          <w:bCs/>
        </w:rPr>
        <w:t>אזורים שונים</w:t>
      </w:r>
      <w:r>
        <w:rPr>
          <w:rFonts w:ascii="Arial" w:hAnsi="Arial" w:cs="Arial"/>
          <w:sz w:val="21"/>
          <w:rtl/>
          <w:szCs w:val="21"/>
        </w:rPr>
        <w:t xml:space="preserve"> של V2 (174 אזורי תנועה; ב-2022: 56,445 נסיעות רכב / 14,133 תחבורה ציבורית / 720 מוניות, ⁦§6ac⁩). נסיעות רק"ל מחוץ ל-25 האזורים או אליהם, ונסיעות בתוך אזור אחד, לא נספרות, ולכן מספרי הרק"ל מתארים את שוק המסדרון עצמו ולא את כלל נוסעי הקו. אותן הסיבות מביאות את שכבת הרכב ל-‎0.58‎–‎0.90‎ מהרכבים הנספרים על קווי חתך סגורים (T12).</w:t>
      </w:r>
    </w:p>
    <w:p>
      <w:pPr>
        <w:bidi/>
        <w:spacing w:after="140"/>
        <w:jc w:val="right"/>
      </w:pPr>
      <w:r>
        <w:rPr>
          <w:rFonts w:ascii="Arial" w:hAnsi="Arial" w:cs="Arial"/>
          <w:sz w:val="21"/>
          <w:rtl/>
          <w:szCs w:val="21"/>
        </w:rPr>
        <w:t xml:space="preserve">34. </w:t>
      </w:r>
      <w:r>
        <w:rPr>
          <w:rFonts w:ascii="Arial" w:hAnsi="Arial" w:cs="Arial"/>
          <w:b/>
          <w:sz w:val="21"/>
          <w:rtl/>
          <w:szCs w:val="21"/>
          <w:bCs/>
        </w:rPr>
        <w:t>רמת השירות של האוטובוס היא לוח זמנים שמנותב על מהירויות נמדדות</w:t>
      </w:r>
      <w:r>
        <w:rPr>
          <w:rFonts w:ascii="Arial" w:hAnsi="Arial" w:cs="Arial"/>
          <w:sz w:val="21"/>
          <w:rtl/>
          <w:szCs w:val="21"/>
        </w:rPr>
        <w:t xml:space="preserve"> (שלבים ‎29‎–‎30‎). נסיעות GTFS מנותבות מתחנה לתחנה על רשת הרחובות עם מהירויות האוטובוס הנמדדות של מאי 2026: ניתוב לפי האורך הקצר ביותר רק מקרב את הדרך שאוטובוס עובר בפועל; ב-78% מהקישורים הכיווניים יש מהירות נמדדת (94% מאורך המסלול); 13.5% מהקטעים מנותבים רק כשמתעלמים מכיוון החד-סטרי, ו-2.1% חוזרים ללוח הזמנים. אם המהירויות הנמדדות כוללות את העצירה בתחנות – זו הסקה (הקטעים הקצרים לוקחים בדיוק את הזמן המתוכנן) ולא תיעוד. הזמנים הנצפים הם פי 1.09 מהמתוכננים לכל נסיעה (מטרונית 0.87), ו-‎8‎–‎9‎ דקות מעל הלוח בציר נצרת → חיפה.</w:t>
      </w:r>
    </w:p>
    <w:p>
      <w:pPr>
        <w:bidi/>
        <w:spacing w:after="140"/>
        <w:jc w:val="right"/>
      </w:pPr>
      <w:r>
        <w:rPr>
          <w:rFonts w:ascii="Arial" w:hAnsi="Arial" w:cs="Arial"/>
          <w:sz w:val="21"/>
          <w:rtl/>
          <w:szCs w:val="21"/>
        </w:rPr>
        <w:t xml:space="preserve">24. </w:t>
      </w:r>
      <w:r>
        <w:rPr>
          <w:rFonts w:ascii="Arial" w:hAnsi="Arial" w:cs="Arial"/>
          <w:b/>
          <w:sz w:val="21"/>
          <w:rtl/>
          <w:szCs w:val="21"/>
          <w:bCs/>
        </w:rPr>
        <w:t>מהירויות הרכב של מאי 2026 כמעט זהות בכל שעה</w:t>
      </w:r>
      <w:r>
        <w:rPr>
          <w:rFonts w:ascii="Arial" w:hAnsi="Arial" w:cs="Arial"/>
          <w:sz w:val="21"/>
          <w:rtl/>
          <w:szCs w:val="21"/>
        </w:rPr>
        <w:t xml:space="preserve"> (⁦§6am⁩, שלב 43). בקישורים הנצפים בכל שעה, המהירות משתנה בחציון ב-2.3 קמ"ש בלבד לאורך ‎06:00‎–‎21:00‎ (אחוזון 90: 8.8; קבועה ב-739 מ-8,660 קישורים), וממוצעי אזור המחקר לכל שעה נמצאים בטווח 0.2 קמ"ש זה מזה – אין שקיעה בשעת השיא בבוקר. הנתונים מחזיקים ערך אחד לכל שעה לחודש, בלי ממד יום בשבוע, ואותה קבוצת קישורים בדיוק בכל שעה – כלומר נראה כמו ממוצע חודשי שמותאם מעט לפי שעה, ולא מדידות לכל שעה. לחצי מקישורי אזור המחקר (קצרים ומקומיים; 20% מהאורך) אין רשומה. לפני שמשתמשים בעמודת 07:00 כמהירות רכב בשיא, צריך לברר אצל הספק את שיטת האגרגציה; עד אז כל סקים שנבנה עליה הוא </w:t>
      </w:r>
      <w:r>
        <w:rPr>
          <w:rFonts w:ascii="Arial" w:hAnsi="Arial" w:cs="Arial"/>
          <w:b/>
          <w:sz w:val="21"/>
          <w:rtl/>
          <w:szCs w:val="21"/>
          <w:bCs/>
        </w:rPr>
        <w:t>מהירות רכב כללית של מאי 2026, לא של שעת שיא</w:t>
      </w:r>
      <w:r>
        <w:rPr>
          <w:rFonts w:ascii="Arial" w:hAnsi="Arial" w:cs="Arial"/>
          <w:sz w:val="21"/>
          <w:rtl/>
          <w:szCs w:val="21"/>
        </w:rPr>
        <w:t>.</w:t>
      </w:r>
    </w:p>
    <w:p>
      <w:pPr>
        <w:bidi/>
        <w:spacing w:after="140"/>
        <w:jc w:val="right"/>
      </w:pPr>
      <w:r>
        <w:rPr>
          <w:rFonts w:ascii="Arial" w:hAnsi="Arial" w:cs="Arial"/>
          <w:sz w:val="21"/>
          <w:rtl/>
          <w:szCs w:val="21"/>
        </w:rPr>
        <w:t xml:space="preserve">32. </w:t>
      </w:r>
      <w:r>
        <w:rPr>
          <w:rFonts w:ascii="Arial" w:hAnsi="Arial" w:cs="Arial"/>
          <w:b/>
          <w:sz w:val="21"/>
          <w:rtl/>
          <w:szCs w:val="21"/>
          <w:bCs/>
        </w:rPr>
        <w:t>קו הרק"ל, ומה מניחים עליו.</w:t>
      </w:r>
      <w:r>
        <w:rPr>
          <w:rFonts w:ascii="Arial" w:hAnsi="Arial" w:cs="Arial"/>
          <w:sz w:val="21"/>
          <w:rtl/>
          <w:szCs w:val="21"/>
        </w:rPr>
        <w:t xml:space="preserve"> ההרחבה היא התוואי שהלקוח שרטט (</w:t>
      </w:r>
      <w:r>
        <w:rPr>
          <w:rFonts w:ascii="Consolas" w:hAnsi="Consolas" w:cs="Consolas"/>
          <w:sz w:val="21"/>
          <w:rtl/>
          <w:szCs w:val="21"/>
        </w:rPr>
        <w:t>hf_lrt_3</w:t>
      </w:r>
      <w:r>
        <w:rPr>
          <w:rFonts w:ascii="Arial" w:hAnsi="Arial" w:cs="Arial"/>
          <w:sz w:val="21"/>
          <w:rtl/>
          <w:szCs w:val="21"/>
        </w:rPr>
        <w:t xml:space="preserve">, 24 תחנות S01–S24) עם זמני נסיעה בין תחנות בשני משטרים: </w:t>
      </w:r>
      <w:r>
        <w:rPr>
          <w:rFonts w:ascii="Arial" w:hAnsi="Arial" w:cs="Arial"/>
          <w:i/>
          <w:sz w:val="21"/>
          <w:rtl/>
          <w:szCs w:val="21"/>
        </w:rPr>
        <w:t>עם עדיפות</w:t>
      </w:r>
      <w:r>
        <w:rPr>
          <w:rFonts w:ascii="Arial" w:hAnsi="Arial" w:cs="Arial"/>
          <w:sz w:val="21"/>
          <w:rtl/>
          <w:szCs w:val="21"/>
        </w:rPr>
        <w:t xml:space="preserve"> (מכויל לפי זמני רכבת תת-קרקעית, 40.7 דקות מ-S01 ל-S24) ו</w:t>
      </w:r>
      <w:r>
        <w:rPr>
          <w:rFonts w:ascii="Arial" w:hAnsi="Arial" w:cs="Arial"/>
          <w:i/>
          <w:sz w:val="21"/>
          <w:rtl/>
          <w:szCs w:val="21"/>
        </w:rPr>
        <w:t>בלי עדיפות</w:t>
      </w:r>
      <w:r>
        <w:rPr>
          <w:rFonts w:ascii="Arial" w:hAnsi="Arial" w:cs="Arial"/>
          <w:sz w:val="21"/>
          <w:rtl/>
          <w:szCs w:val="21"/>
        </w:rPr>
        <w:t xml:space="preserve"> (על פני הקרקע, 65.8 דקות); אין סימולציה של רמזורים או צמתים. הקו הראשי הוא תוואי </w:t>
      </w:r>
      <w:r>
        <w:rPr>
          <w:rFonts w:ascii="Consolas" w:hAnsi="Consolas" w:cs="Consolas"/>
          <w:sz w:val="21"/>
          <w:rtl/>
          <w:szCs w:val="21"/>
        </w:rPr>
        <w:t>Main_Nofit</w:t>
      </w:r>
      <w:r>
        <w:rPr>
          <w:rFonts w:ascii="Arial" w:hAnsi="Arial" w:cs="Arial"/>
          <w:sz w:val="21"/>
          <w:rtl/>
          <w:szCs w:val="21"/>
        </w:rPr>
        <w:t xml:space="preserve"> עם 20 התחנות שלו (מגבלה 28); אין בו ענפי רק"ל (ענפי T1–T3 מופיעים רק כרגישות סינתטית). אין תכנון תחנות או מפרקי תחבורה: הליכת הגישה והיציאה היא הליכה לתחנה הקרובה שמשוקללת לפי אוכלוסייה (אזורים) או קו ישר ממרכז הפוליגון (אזורי תנועה). "תוספת הרק"ל" (5 דקות מוכללות), ההעברה החופשית בין הרק"ל למטרונית, "התוספת" למטרונית ותדירות של 5 דקות הן הנחות. אין קיבולת או צפיפות, אין תעריף (תעריף אחיד משולב, בהחלטה), אין חנה וסע, ואין תגובה של רשת האוטובוסים: קווי האוטובוס הקיימים ממשיכים לפעול כמו היום.</w:t>
      </w:r>
    </w:p>
    <w:p>
      <w:pPr>
        <w:bidi/>
        <w:spacing w:after="140"/>
        <w:jc w:val="right"/>
      </w:pPr>
      <w:r>
        <w:rPr>
          <w:rFonts w:ascii="Arial" w:hAnsi="Arial" w:cs="Arial"/>
          <w:sz w:val="21"/>
          <w:rtl/>
          <w:szCs w:val="21"/>
        </w:rPr>
        <w:t xml:space="preserve">33. </w:t>
      </w:r>
      <w:r>
        <w:rPr>
          <w:rFonts w:ascii="Arial" w:hAnsi="Arial" w:cs="Arial"/>
          <w:b/>
          <w:sz w:val="21"/>
          <w:rtl/>
          <w:szCs w:val="21"/>
          <w:bCs/>
        </w:rPr>
        <w:t>משקלי הזמן מחוץ לרכב (הליכה, המתנה, העברה) אינם מאושרים</w:t>
      </w:r>
      <w:r>
        <w:rPr>
          <w:rFonts w:ascii="Arial" w:hAnsi="Arial" w:cs="Arial"/>
          <w:sz w:val="21"/>
          <w:rtl/>
          <w:szCs w:val="21"/>
        </w:rPr>
        <w:t xml:space="preserve"> (⁦§6al⁩). הם נשענים על סיכומי חיפוש בספרות, שחלקם סותרים זה את זה, והמקורות הישראליים (הנוהל מ-2012 וההנחיה של משרד התחבורה) לא נקראו במלואם. שבעה סטי פרמטרים שהורצו בשרשרת נותנים לכידה ברמת אזורים, תת-קרקעית, של ‎1,456‎–‎4,935‎ (המקרה המרכזי 4,254, ללא שינוי): רגישות ולא אומדן.</w:t>
      </w:r>
    </w:p>
    <w:p>
      <w:pPr>
        <w:bidi/>
        <w:spacing w:after="140"/>
        <w:jc w:val="right"/>
      </w:pPr>
      <w:r>
        <w:rPr>
          <w:rFonts w:ascii="Arial" w:hAnsi="Arial" w:cs="Arial"/>
          <w:sz w:val="21"/>
          <w:rtl/>
          <w:szCs w:val="21"/>
        </w:rPr>
        <w:t xml:space="preserve">15. </w:t>
      </w:r>
      <w:r>
        <w:rPr>
          <w:rFonts w:ascii="Arial" w:hAnsi="Arial" w:cs="Arial"/>
          <w:b/>
          <w:sz w:val="21"/>
          <w:rtl/>
          <w:szCs w:val="21"/>
          <w:bCs/>
        </w:rPr>
        <w:t>פרמטר λ נאמד, אך λ של נוסעים "בוחרים" אינו ניתן לזיהוי</w:t>
      </w:r>
      <w:r>
        <w:rPr>
          <w:rFonts w:ascii="Arial" w:hAnsi="Arial" w:cs="Arial"/>
          <w:sz w:val="21"/>
          <w:rtl/>
          <w:szCs w:val="21"/>
        </w:rPr>
        <w:t xml:space="preserve"> (⁦§6ae⁩). האומדן המשותף 0.035 (טווח ‎0.002‎–‎0.068‎) תומך בהנחה 0.03. אצל בעלי רישיון במשקי בית עם רכב: 0.008 ± 0.017 – כלומר לא מובחן מאפס. λ של נוסעי התחבורה הציבורית ו"פרמיית" הקו הקל נשארים הנחות; הדרך לאמוד אותם היא סקר העדפות מוצהרות.</w:t>
      </w:r>
    </w:p>
    <w:p>
      <w:pPr>
        <w:bidi/>
        <w:spacing w:after="140"/>
        <w:jc w:val="right"/>
      </w:pPr>
      <w:r>
        <w:rPr>
          <w:rFonts w:ascii="Arial" w:hAnsi="Arial" w:cs="Arial"/>
          <w:sz w:val="21"/>
          <w:rtl/>
          <w:szCs w:val="21"/>
        </w:rPr>
        <w:t xml:space="preserve">25. </w:t>
      </w:r>
      <w:r>
        <w:rPr>
          <w:rFonts w:ascii="Arial" w:hAnsi="Arial" w:cs="Arial"/>
          <w:b/>
          <w:sz w:val="21"/>
          <w:rtl/>
          <w:szCs w:val="21"/>
          <w:bCs/>
        </w:rPr>
        <w:t>רמת סקים הרכב אינה משפיעה על הלכידה</w:t>
      </w:r>
      <w:r>
        <w:rPr>
          <w:rFonts w:ascii="Arial" w:hAnsi="Arial" w:cs="Arial"/>
          <w:sz w:val="21"/>
          <w:rtl/>
          <w:szCs w:val="21"/>
        </w:rPr>
        <w:t xml:space="preserve"> (⁦§6ac⁩, תוספת מ-5.10.2026, שלב 37). שיטת הפיבוט מזיזה את נתח התחבורה הציבורית הנצפה של הזוג לפי </w:t>
      </w:r>
      <w:r>
        <w:rPr>
          <w:rFonts w:ascii="Arial" w:hAnsi="Arial" w:cs="Arial"/>
          <w:i/>
          <w:sz w:val="21"/>
          <w:rtl/>
          <w:szCs w:val="21"/>
        </w:rPr>
        <w:t>השינוי</w:t>
      </w:r>
      <w:r>
        <w:rPr>
          <w:rFonts w:ascii="Arial" w:hAnsi="Arial" w:cs="Arial"/>
          <w:sz w:val="21"/>
          <w:rtl/>
          <w:szCs w:val="21"/>
        </w:rPr>
        <w:t xml:space="preserve"> בעלות מקבץ התחבורה הציבורית (כל אמצעי התחבורה הציבורית יחד); עלות הרכב נמצאת בשום איבר. לכן שינוי בזמן הרכב (סקים של הרשת מ-2026 ב-0.90 מהסקר, או כל ערך אחר) </w:t>
      </w:r>
      <w:r>
        <w:rPr>
          <w:rFonts w:ascii="Arial" w:hAnsi="Arial" w:cs="Arial"/>
          <w:b/>
          <w:sz w:val="21"/>
          <w:rtl/>
          <w:szCs w:val="21"/>
          <w:bCs/>
        </w:rPr>
        <w:t>לא משנה אף מספר לכידה</w:t>
      </w:r>
      <w:r>
        <w:rPr>
          <w:rFonts w:ascii="Arial" w:hAnsi="Arial" w:cs="Arial"/>
          <w:sz w:val="21"/>
          <w:rtl/>
          <w:szCs w:val="21"/>
        </w:rPr>
        <w:t>. המודל חסר רגישות לאטרקטיביות המוחלטת של הרכב: רכב מהיר או איטי יותר ב-2040 לא ישנה את מה שהקו הקל "לוקח" ממנו. זו מגבלה של הפיבוט, סבירה לסינון מסדרון כשעלות הרכב קבועה בין תרחיש עם פרויקט וללא; אך כל קביעה על המעבר מרכב לקו קל נשענת על λ ועל עלויות התחבורה הציבורית בלבד. רק מודל בחירת אמצעי מלא יכלול את זמן הרכב. אמידה מחדש של λ ברמת הפרט על סקים 2026 מזיזה אותו מ-0.035 ל-0.040 ולא פותרת את חוסר הזיהוי אצל הבוחרים, כך שההנחה 0.03 וטווח ‎0.02‎–‎0.05‎ תקפים על כל אחד מסקים הרכב.</w:t>
      </w:r>
    </w:p>
    <w:p>
      <w:pPr>
        <w:bidi/>
        <w:spacing w:after="140"/>
        <w:jc w:val="right"/>
      </w:pPr>
      <w:r>
        <w:rPr>
          <w:rFonts w:ascii="Arial" w:hAnsi="Arial" w:cs="Arial"/>
          <w:sz w:val="21"/>
          <w:rtl/>
          <w:szCs w:val="21"/>
        </w:rPr>
        <w:t xml:space="preserve">26. </w:t>
      </w:r>
      <w:r>
        <w:rPr>
          <w:rFonts w:ascii="Arial" w:hAnsi="Arial" w:cs="Arial"/>
          <w:b/>
          <w:sz w:val="21"/>
          <w:rtl/>
          <w:szCs w:val="21"/>
          <w:bCs/>
        </w:rPr>
        <w:t>סקים תחבורה ציבורית ברמת האזור מזלזל בעלות שחווה נוסע מ-TAZ מסוים</w:t>
      </w:r>
      <w:r>
        <w:rPr>
          <w:rFonts w:ascii="Arial" w:hAnsi="Arial" w:cs="Arial"/>
          <w:sz w:val="21"/>
          <w:rtl/>
          <w:szCs w:val="21"/>
        </w:rPr>
        <w:t xml:space="preserve"> (⁦§6ao⁩, שלב 44). כשמנתבים TAZ-ל-TAZ ומצרפים בממוצע משוקלל אוכלוסייה × תעסוקה, העלות המוכללת בזוגות הציר המרכזי היא 45.2 דקות מוכללות לעומת 29.8 (המתנה מאוחדת) או 34.9 (המתנה בקו הטוב ביותר) בשלב 31; יחס חציוני 1.5 עם אותו זמן נסיעה ואותו מספר העברות. סקים האזור משלב הליכה לתחנה הקרובה, זמן ריצה של הקו המהיר ביותר ותדירות מאוחדת של כל הקווים הישירים – שילוב שאף נוסע בודד לא יכול לקבל. אצל הרכב אין פער כזה (13.3 לעומת 13.0). עבור הלכידה זה פחות חשוב ממה שנראה, כי הפיבוט נע לפי </w:t>
      </w:r>
      <w:r>
        <w:rPr>
          <w:rFonts w:ascii="Arial" w:hAnsi="Arial" w:cs="Arial"/>
          <w:i/>
          <w:sz w:val="21"/>
          <w:rtl/>
          <w:szCs w:val="21"/>
        </w:rPr>
        <w:t>השינוי</w:t>
      </w:r>
      <w:r>
        <w:rPr>
          <w:rFonts w:ascii="Arial" w:hAnsi="Arial" w:cs="Arial"/>
          <w:sz w:val="21"/>
          <w:rtl/>
          <w:szCs w:val="21"/>
        </w:rPr>
        <w:t xml:space="preserve"> במקבץ התחבורה הציבורית (כל אמצעי התחבורה הציבורית יחד) כשמוסיפים קו קל; אך ההשוואה בין אוטובוס לקו קל בתוך המקבץ הזה (</w:t>
      </w:r>
      <w:r>
        <w:rPr>
          <w:rFonts w:ascii="Consolas" w:hAnsi="Consolas" w:cs="Consolas"/>
          <w:sz w:val="21"/>
          <w:rtl/>
          <w:szCs w:val="21"/>
        </w:rPr>
        <w:t>P_LRT|T</w:t>
      </w:r>
      <w:r>
        <w:rPr>
          <w:rFonts w:ascii="Arial" w:hAnsi="Arial" w:cs="Arial"/>
          <w:sz w:val="21"/>
          <w:rtl/>
          <w:szCs w:val="21"/>
        </w:rPr>
        <w:t>) רגישה לכך והכיוון לא ברור: גישת תחנות הקו הקל כבר משוקללת לפי TAZ (שלב 25), זו של האוטובוס לא. שלב 39 (⁦§6ap⁩) הריץ לכידה ברמת TAZ: כשהאוטובוס בעלות מנותבת ב-TAZ והקו הקל בסקים האזורי – הלכידה עולה פי 1.64 (6,963); כשהאוטובוס ברכיבי האזור עם הליכות TAZ – נשארת 4,226. הפער הוא האסימטריה; סגירתו דורשת את רגל ההזנה וזמן הנסיעה של הקו הקל גם ברמת TAZ.</w:t>
      </w:r>
    </w:p>
    <w:p>
      <w:pPr>
        <w:bidi/>
        <w:spacing w:after="140"/>
        <w:jc w:val="right"/>
      </w:pPr>
      <w:r>
        <w:rPr>
          <w:rFonts w:ascii="Arial" w:hAnsi="Arial" w:cs="Arial"/>
          <w:sz w:val="21"/>
          <w:rtl/>
          <w:szCs w:val="21"/>
        </w:rPr>
        <w:t xml:space="preserve">27. </w:t>
      </w:r>
      <w:r>
        <w:rPr>
          <w:rFonts w:ascii="Arial" w:hAnsi="Arial" w:cs="Arial"/>
          <w:b/>
          <w:sz w:val="21"/>
          <w:rtl/>
          <w:szCs w:val="21"/>
          <w:bCs/>
        </w:rPr>
        <w:t>הנסיעות שהפיבוט "גורר" מהרכב תלויות ברמה שבה הוא מורץ</w:t>
      </w:r>
      <w:r>
        <w:rPr>
          <w:rFonts w:ascii="Arial" w:hAnsi="Arial" w:cs="Arial"/>
          <w:sz w:val="21"/>
          <w:rtl/>
          <w:szCs w:val="21"/>
        </w:rPr>
        <w:t xml:space="preserve"> (⁦§6ap⁩, שלב 39). כשכל זוג TAZ מקבל את הסקים של זוג האזורים שלו, הפיבוט ברמת TAZ מחזיר בדיוק את הנסיעות מהאוטובוס של רמת האזור, אך רק 130 מתוך 414 הנסיעות המושרות (מרכז תת-קרקעי; 77 מ-234 בקו עילי; 187 מ-614 בתכנון): ההסטה פרופורציונלית ל-S·(1−S) של נתח התחבורה הציבורית המוחלק של הזוג, ונתחי זוגות ה-TAZ (הקצאות של נסיעות סקר ל-TAZ) מפוזרים הרבה יותר מנתח זוג האזורים. כלומר המרכיב המושרה אינו תכונה של הביקוש לבדו אלא של רמת האגרגציה: ה-414 ברמת האזור הוא הקריאה העליונה, וכל לכידה ברמת TAZ שתאומץ צריכה לציין מאיזו רמה נגזרות הנסיעות המושרות.</w:t>
      </w:r>
    </w:p>
    <w:p>
      <w:pPr>
        <w:bidi/>
        <w:spacing w:after="140"/>
        <w:jc w:val="right"/>
      </w:pPr>
      <w:r>
        <w:rPr>
          <w:rFonts w:ascii="Arial" w:hAnsi="Arial" w:cs="Arial"/>
          <w:sz w:val="21"/>
          <w:rtl/>
          <w:szCs w:val="21"/>
        </w:rPr>
        <w:t xml:space="preserve">28. </w:t>
      </w:r>
      <w:r>
        <w:rPr>
          <w:rFonts w:ascii="Arial" w:hAnsi="Arial" w:cs="Arial"/>
          <w:b/>
          <w:sz w:val="21"/>
          <w:rtl/>
          <w:szCs w:val="21"/>
          <w:bCs/>
        </w:rPr>
        <w:t>תפעול הקו הראשי הוא הנחה, ומערכות ה-PM בתחזית גדלות בקצב הבוקר</w:t>
      </w:r>
      <w:r>
        <w:rPr>
          <w:rFonts w:ascii="Arial" w:hAnsi="Arial" w:cs="Arial"/>
          <w:sz w:val="21"/>
          <w:rtl/>
          <w:szCs w:val="21"/>
        </w:rPr>
        <w:t xml:space="preserve"> (⁦§6aq⁩, שלב 45). התחנות הן רשימת התחנות שנמסרה (20 צמתים, </w:t>
      </w:r>
      <w:r>
        <w:rPr>
          <w:rFonts w:ascii="Consolas" w:hAnsi="Consolas" w:cs="Consolas"/>
          <w:sz w:val="21"/>
          <w:rtl/>
          <w:szCs w:val="21"/>
        </w:rPr>
        <w:t>Main_Nofit_StopsID.csv</w:t>
      </w:r>
      <w:r>
        <w:rPr>
          <w:rFonts w:ascii="Arial" w:hAnsi="Arial" w:cs="Arial"/>
          <w:sz w:val="21"/>
          <w:rtl/>
          <w:szCs w:val="21"/>
        </w:rPr>
        <w:t xml:space="preserve">; הריצה הראשונה הניחה 27 במרווח ≥1 ק"מ, שהוסיפה ‎3‎–‎5‎% ביקוש לקו הראשי), אך נסיעה על פני הקרקע במהירות 80 קמ"ש עם עצירה של 10 שניות, תדירות 5 דקות והמשכיות בהמפרץ ללא העברה הן </w:t>
      </w:r>
      <w:r>
        <w:rPr>
          <w:rFonts w:ascii="Arial" w:hAnsi="Arial" w:cs="Arial"/>
          <w:b/>
          <w:sz w:val="21"/>
          <w:rtl/>
          <w:szCs w:val="21"/>
          <w:bCs/>
        </w:rPr>
        <w:t>הנחות</w:t>
      </w:r>
      <w:r>
        <w:rPr>
          <w:rFonts w:ascii="Arial" w:hAnsi="Arial" w:cs="Arial"/>
          <w:sz w:val="21"/>
          <w:rtl/>
          <w:szCs w:val="21"/>
        </w:rPr>
        <w:t>; קו ראשי שמסתיים בהמפרץ היה מוסיף קנס העברה לכל נסיעה שחוצה אותו. מטריצות התחזית ל-PM הן בסיס ה-PM של גל 1b כפול צמיחת הבוקר של שלב 23 לכל זוג TAZ (כי שוליי שלב 23 בנויים על ייצור ומשיכה של בוקר); צמיחה ספציפית ל-PM תדרוש שיעורי PM (משימה).</w:t>
      </w:r>
    </w:p>
    <w:p>
      <w:pPr>
        <w:bidi/>
        <w:spacing w:after="140"/>
        <w:jc w:val="right"/>
      </w:pPr>
      <w:r>
        <w:rPr>
          <w:rFonts w:ascii="Arial" w:hAnsi="Arial" w:cs="Arial"/>
          <w:sz w:val="21"/>
          <w:rtl/>
          <w:szCs w:val="21"/>
        </w:rPr>
        <w:t xml:space="preserve">29. </w:t>
      </w:r>
      <w:r>
        <w:rPr>
          <w:rFonts w:ascii="Arial" w:hAnsi="Arial" w:cs="Arial"/>
          <w:b/>
          <w:sz w:val="21"/>
          <w:rtl/>
          <w:szCs w:val="21"/>
          <w:bCs/>
        </w:rPr>
        <w:t>הסטת הרכב אינה ברת-השוואה בין תרחישי תחזית הבוקר</w:t>
      </w:r>
      <w:r>
        <w:rPr>
          <w:rFonts w:ascii="Arial" w:hAnsi="Arial" w:cs="Arial"/>
          <w:sz w:val="21"/>
          <w:rtl/>
          <w:szCs w:val="21"/>
        </w:rPr>
        <w:t xml:space="preserve"> (⁦§6aq⁩, תוספת מ-5.10.2026). הנסיעות מהרכב בפיבוט פרופורציונליות ל-S·(1−S) לכל זוג (מגבלה 27), ותחזיות שלב 23 מזרעות נסיעות בזוגות שריקים ב-2022 (אזורים עם בסיס קטן ואזורים בשינוי לוקחים את דפוס אזור-העל). לכן זוגות המסדרון עם גם רכב וגם תחבורה ציבורית עולים מ-1,620 (2022) ל-2,084 (BU 2040), 2,942 (BU 2050), 4,970 (HS 2040) ו-5,688 (HS 2050), וההסטה בבוקר מרכב לתחבורה ציבורית מוכפלת על גידול שוק של ‎4‎–‎16‎% (684 → ‎1,387‎–‎1,421‎); ב-PM, הצומח זוג אחר זוג מבסיס ה-PM, קבוצת הזוגות של 2022 נשמרת והשינוי חלק. הסטת הרכב היא סדר גודל (‎0.4‎–‎1.5‎% מנסיעות הרכב במסדרון); </w:t>
      </w:r>
      <w:r>
        <w:rPr>
          <w:rFonts w:ascii="Arial" w:hAnsi="Arial" w:cs="Arial"/>
          <w:b/>
          <w:sz w:val="21"/>
          <w:rtl/>
          <w:szCs w:val="21"/>
          <w:bCs/>
        </w:rPr>
        <w:t>ההבדלים בין התרחישים בעמודה הזו הם תוצר של הזריעה</w:t>
      </w:r>
      <w:r>
        <w:rPr>
          <w:rFonts w:ascii="Arial" w:hAnsi="Arial" w:cs="Arial"/>
          <w:sz w:val="21"/>
          <w:rtl/>
          <w:szCs w:val="21"/>
        </w:rPr>
        <w:t>. השוואת תרחישים של "משיכת הרכב" תדרוש הרצת הפיבוט ברמת האזור (הקריאה העליונה של מגבלה 27) או מודל בחירת אמצעי מלא.</w:t>
      </w:r>
    </w:p>
    <w:p>
      <w:pPr>
        <w:keepNext/>
        <w:bidi/>
        <w:spacing w:after="120" w:before="240"/>
        <w:jc w:val="right"/>
      </w:pPr>
      <w:r>
        <w:rPr>
          <w:rFonts w:ascii="Arial" w:hAnsi="Arial" w:cs="Arial"/>
          <w:b/>
          <w:color w:val="1F3864"/>
          <w:sz w:val="27"/>
          <w:rtl/>
          <w:szCs w:val="27"/>
          <w:bCs/>
        </w:rPr>
        <w:t>8.2 מגבלות שהוצאו (נשמרו כדי שאפשר יהיה לאתר הפניות ישנות)</w:t>
      </w:r>
    </w:p>
    <w:tbl>
      <w:tblPr>
        <w:tblStyle w:val="TableGrid"/>
        <w:tblW w:type="auto" w:w="0"/>
        <w:jc w:val="right"/>
        <w:tblLayout w:type="fixed"/>
        <w:tblLook w:firstColumn="1" w:firstRow="1" w:lastColumn="0" w:lastRow="0" w:noHBand="0" w:noVBand="1" w:val="04A0"/>
        <w:bidiVisual/>
      </w:tblPr>
      <w:tblGrid>
        <w:gridCol w:w="850"/>
        <w:gridCol w:w="3175"/>
        <w:gridCol w:w="5272"/>
      </w:tblGrid>
      <w:tr>
        <w:tc>
          <w:tcPr>
            <w:tcW w:type="dxa" w:w="850"/>
            <w:shd w:val="clear" w:fill="1F3864"/>
          </w:tcPr>
          <w:p>
            <w:pPr>
              <w:bidi/>
              <w:spacing w:after="40"/>
              <w:jc w:val="right"/>
            </w:pPr>
            <w:r>
              <w:rPr>
                <w:rFonts w:ascii="Arial" w:hAnsi="Arial" w:cs="Arial"/>
                <w:b/>
                <w:color w:val="FFFFFF"/>
                <w:sz w:val="20"/>
                <w:rtl/>
                <w:szCs w:val="20"/>
                <w:bCs/>
              </w:rPr>
              <w:t>מס'</w:t>
            </w:r>
          </w:p>
        </w:tc>
        <w:tc>
          <w:tcPr>
            <w:tcW w:type="dxa" w:w="3175"/>
            <w:shd w:val="clear" w:fill="1F3864"/>
          </w:tcPr>
          <w:p>
            <w:pPr>
              <w:bidi/>
              <w:spacing w:after="40"/>
              <w:jc w:val="right"/>
            </w:pPr>
            <w:r>
              <w:rPr>
                <w:rFonts w:ascii="Arial" w:hAnsi="Arial" w:cs="Arial"/>
                <w:b/>
                <w:color w:val="FFFFFF"/>
                <w:sz w:val="20"/>
                <w:rtl/>
                <w:szCs w:val="20"/>
                <w:bCs/>
              </w:rPr>
              <w:t>על מה הייתה</w:t>
            </w:r>
          </w:p>
        </w:tc>
        <w:tc>
          <w:tcPr>
            <w:tcW w:type="dxa" w:w="5272"/>
            <w:shd w:val="clear" w:fill="1F3864"/>
          </w:tcPr>
          <w:p>
            <w:pPr>
              <w:bidi/>
              <w:spacing w:after="40"/>
              <w:jc w:val="right"/>
            </w:pPr>
            <w:r>
              <w:rPr>
                <w:rFonts w:ascii="Arial" w:hAnsi="Arial" w:cs="Arial"/>
                <w:b/>
                <w:color w:val="FFFFFF"/>
                <w:sz w:val="20"/>
                <w:rtl/>
                <w:szCs w:val="20"/>
                <w:bCs/>
              </w:rPr>
              <w:t>למה הוצאה</w:t>
            </w:r>
          </w:p>
        </w:tc>
      </w:tr>
      <w:tr>
        <w:tc>
          <w:tcPr>
            <w:tcW w:type="dxa" w:w="850"/>
          </w:tcPr>
          <w:p>
            <w:pPr>
              <w:bidi/>
              <w:spacing w:after="40"/>
              <w:jc w:val="right"/>
            </w:pPr>
            <w:r>
              <w:rPr>
                <w:rFonts w:ascii="Arial" w:hAnsi="Arial" w:cs="Arial"/>
                <w:sz w:val="20"/>
                <w:rtl/>
                <w:szCs w:val="20"/>
              </w:rPr>
              <w:t>1</w:t>
            </w:r>
          </w:p>
        </w:tc>
        <w:tc>
          <w:tcPr>
            <w:tcW w:type="dxa" w:w="3175"/>
          </w:tcPr>
          <w:p>
            <w:pPr>
              <w:bidi/>
              <w:spacing w:after="40"/>
              <w:jc w:val="right"/>
            </w:pPr>
            <w:r>
              <w:rPr>
                <w:rFonts w:ascii="Arial" w:hAnsi="Arial" w:cs="Arial"/>
                <w:sz w:val="20"/>
                <w:rtl/>
                <w:szCs w:val="20"/>
              </w:rPr>
              <w:t>קובץ הפעילויות היה חדש יותר מזה שהיה בהרצה המקורית ב-Colab</w:t>
            </w:r>
          </w:p>
        </w:tc>
        <w:tc>
          <w:tcPr>
            <w:tcW w:type="dxa" w:w="5272"/>
          </w:tcPr>
          <w:p>
            <w:pPr>
              <w:bidi/>
              <w:spacing w:after="40"/>
              <w:jc w:val="right"/>
            </w:pPr>
            <w:r>
              <w:rPr>
                <w:rFonts w:ascii="Arial" w:hAnsi="Arial" w:cs="Arial"/>
                <w:sz w:val="20"/>
                <w:rtl/>
                <w:szCs w:val="20"/>
              </w:rPr>
              <w:t>נגעה למטריצות הסקר × סלולר של 2018 (שלבים ‎1‎–‎4‎) שהן היום היסטוריות; השרשרת קוראת רק את קובץ הנסיעות 2017/18</w:t>
            </w:r>
          </w:p>
        </w:tc>
      </w:tr>
      <w:tr>
        <w:tc>
          <w:tcPr>
            <w:tcW w:type="dxa" w:w="850"/>
          </w:tcPr>
          <w:p>
            <w:pPr>
              <w:bidi/>
              <w:spacing w:after="40"/>
              <w:jc w:val="right"/>
            </w:pPr>
            <w:r>
              <w:rPr>
                <w:rFonts w:ascii="Arial" w:hAnsi="Arial" w:cs="Arial"/>
                <w:sz w:val="20"/>
                <w:rtl/>
                <w:szCs w:val="20"/>
              </w:rPr>
              <w:t>2</w:t>
            </w:r>
          </w:p>
        </w:tc>
        <w:tc>
          <w:tcPr>
            <w:tcW w:type="dxa" w:w="3175"/>
          </w:tcPr>
          <w:p>
            <w:pPr>
              <w:bidi/>
              <w:spacing w:after="40"/>
              <w:jc w:val="right"/>
            </w:pPr>
            <w:r>
              <w:rPr>
                <w:rFonts w:ascii="Arial" w:hAnsi="Arial" w:cs="Arial"/>
                <w:sz w:val="20"/>
                <w:rtl/>
                <w:szCs w:val="20"/>
              </w:rPr>
              <w:t>זרמים סלולריים גסים שוכפלו לזוגות TAZ</w:t>
            </w:r>
          </w:p>
        </w:tc>
        <w:tc>
          <w:tcPr>
            <w:tcW w:type="dxa" w:w="5272"/>
          </w:tcPr>
          <w:p>
            <w:pPr>
              <w:bidi/>
              <w:spacing w:after="40"/>
              <w:jc w:val="right"/>
            </w:pPr>
            <w:r>
              <w:rPr>
                <w:rFonts w:ascii="Arial" w:hAnsi="Arial" w:cs="Arial"/>
                <w:sz w:val="20"/>
                <w:rtl/>
                <w:szCs w:val="20"/>
              </w:rPr>
              <w:t>המטריצה הסלולרית אינה קלט של השרשרת; אזורי 1250 של הסקר מפוצלים לפי אוכלוסייה ותעסוקה (מגבלה 5)</w:t>
            </w:r>
          </w:p>
        </w:tc>
      </w:tr>
      <w:tr>
        <w:tc>
          <w:tcPr>
            <w:tcW w:type="dxa" w:w="850"/>
          </w:tcPr>
          <w:p>
            <w:pPr>
              <w:bidi/>
              <w:spacing w:after="40"/>
              <w:jc w:val="right"/>
            </w:pPr>
            <w:r>
              <w:rPr>
                <w:rFonts w:ascii="Arial" w:hAnsi="Arial" w:cs="Arial"/>
                <w:sz w:val="20"/>
                <w:rtl/>
                <w:szCs w:val="20"/>
              </w:rPr>
              <w:t>6</w:t>
            </w:r>
          </w:p>
        </w:tc>
        <w:tc>
          <w:tcPr>
            <w:tcW w:type="dxa" w:w="3175"/>
          </w:tcPr>
          <w:p>
            <w:pPr>
              <w:bidi/>
              <w:spacing w:after="40"/>
              <w:jc w:val="right"/>
            </w:pPr>
            <w:r>
              <w:rPr>
                <w:rFonts w:ascii="Arial" w:hAnsi="Arial" w:cs="Arial"/>
                <w:sz w:val="20"/>
                <w:rtl/>
                <w:szCs w:val="20"/>
              </w:rPr>
              <w:t>בלוקי אזורי-העל במטריצות ה-TAZ ההיברידיות לא נשמרו</w:t>
            </w:r>
          </w:p>
        </w:tc>
        <w:tc>
          <w:tcPr>
            <w:tcW w:type="dxa" w:w="5272"/>
          </w:tcPr>
          <w:p>
            <w:pPr>
              <w:bidi/>
              <w:spacing w:after="40"/>
              <w:jc w:val="right"/>
            </w:pPr>
            <w:r>
              <w:rPr>
                <w:rFonts w:ascii="Arial" w:hAnsi="Arial" w:cs="Arial"/>
                <w:sz w:val="20"/>
                <w:rtl/>
                <w:szCs w:val="20"/>
              </w:rPr>
              <w:t>המטריצות ההיברידיות והעותק המאוזן שלהן (שלב 19) היסטוריות ואינן בשימוש</w:t>
            </w:r>
          </w:p>
        </w:tc>
      </w:tr>
      <w:tr>
        <w:tc>
          <w:tcPr>
            <w:tcW w:type="dxa" w:w="850"/>
          </w:tcPr>
          <w:p>
            <w:pPr>
              <w:bidi/>
              <w:spacing w:after="40"/>
              <w:jc w:val="right"/>
            </w:pPr>
            <w:r>
              <w:rPr>
                <w:rFonts w:ascii="Arial" w:hAnsi="Arial" w:cs="Arial"/>
                <w:sz w:val="20"/>
                <w:rtl/>
                <w:szCs w:val="20"/>
              </w:rPr>
              <w:t>9</w:t>
            </w:r>
          </w:p>
        </w:tc>
        <w:tc>
          <w:tcPr>
            <w:tcW w:type="dxa" w:w="3175"/>
          </w:tcPr>
          <w:p>
            <w:pPr>
              <w:bidi/>
              <w:spacing w:after="40"/>
              <w:jc w:val="right"/>
            </w:pPr>
            <w:r>
              <w:rPr>
                <w:rFonts w:ascii="Arial" w:hAnsi="Arial" w:cs="Arial"/>
                <w:sz w:val="20"/>
                <w:rtl/>
                <w:szCs w:val="20"/>
              </w:rPr>
              <w:t>קודי מונית 5 / 8 מחכים למילון נתונים</w:t>
            </w:r>
          </w:p>
        </w:tc>
        <w:tc>
          <w:tcPr>
            <w:tcW w:type="dxa" w:w="5272"/>
          </w:tcPr>
          <w:p>
            <w:pPr>
              <w:bidi/>
              <w:spacing w:after="40"/>
              <w:jc w:val="right"/>
            </w:pPr>
            <w:r>
              <w:rPr>
                <w:rFonts w:ascii="Arial" w:hAnsi="Arial" w:cs="Arial"/>
                <w:sz w:val="20"/>
                <w:rtl/>
                <w:szCs w:val="20"/>
              </w:rPr>
              <w:t>נפתרה ב-23.9.2026 לפי מטא-נתוני השדות (שלב 33): 4 = מונית שירות, 8 = מונית מיוחדת; שכבת המוניות נפרדת משכבת האוטובוס</w:t>
            </w:r>
          </w:p>
        </w:tc>
      </w:tr>
      <w:tr>
        <w:tc>
          <w:tcPr>
            <w:tcW w:type="dxa" w:w="850"/>
          </w:tcPr>
          <w:p>
            <w:pPr>
              <w:bidi/>
              <w:spacing w:after="40"/>
              <w:jc w:val="right"/>
            </w:pPr>
            <w:r>
              <w:rPr>
                <w:rFonts w:ascii="Arial" w:hAnsi="Arial" w:cs="Arial"/>
                <w:sz w:val="20"/>
                <w:rtl/>
                <w:szCs w:val="20"/>
              </w:rPr>
              <w:t>14</w:t>
            </w:r>
          </w:p>
        </w:tc>
        <w:tc>
          <w:tcPr>
            <w:tcW w:type="dxa" w:w="3175"/>
          </w:tcPr>
          <w:p>
            <w:pPr>
              <w:bidi/>
              <w:spacing w:after="40"/>
              <w:jc w:val="right"/>
            </w:pPr>
            <w:r>
              <w:rPr>
                <w:rFonts w:ascii="Arial" w:hAnsi="Arial" w:cs="Arial"/>
                <w:sz w:val="20"/>
                <w:rtl/>
                <w:szCs w:val="20"/>
              </w:rPr>
              <w:t>קודי אמצעי התחבורה 4 ו-5 היו הפוכים בשלבים ‎15‎–‎32‎</w:t>
            </w:r>
          </w:p>
        </w:tc>
        <w:tc>
          <w:tcPr>
            <w:tcW w:type="dxa" w:w="5272"/>
          </w:tcPr>
          <w:p>
            <w:pPr>
              <w:bidi/>
              <w:spacing w:after="40"/>
              <w:jc w:val="right"/>
            </w:pPr>
            <w:r>
              <w:rPr>
                <w:rFonts w:ascii="Arial" w:hAnsi="Arial" w:cs="Arial"/>
                <w:sz w:val="20"/>
                <w:rtl/>
                <w:szCs w:val="20"/>
              </w:rPr>
              <w:t xml:space="preserve">נפתרה: שלבים ‎15‎–‎32‎ הורצו מחדש ב-23.9.2026 עם </w:t>
            </w:r>
            <w:r>
              <w:rPr>
                <w:rFonts w:ascii="Consolas" w:hAnsi="Consolas" w:cs="Consolas"/>
                <w:sz w:val="20"/>
                <w:rtl/>
                <w:szCs w:val="20"/>
              </w:rPr>
              <w:t>BUS = [3, 5]</w:t>
            </w:r>
            <w:r>
              <w:rPr>
                <w:rFonts w:ascii="Arial" w:hAnsi="Arial" w:cs="Arial"/>
                <w:sz w:val="20"/>
                <w:rtl/>
                <w:szCs w:val="20"/>
              </w:rPr>
              <w:t xml:space="preserve">, </w:t>
            </w:r>
            <w:r>
              <w:rPr>
                <w:rFonts w:ascii="Consolas" w:hAnsi="Consolas" w:cs="Consolas"/>
                <w:sz w:val="20"/>
                <w:rtl/>
                <w:szCs w:val="20"/>
              </w:rPr>
              <w:t>TAXI = [4, 8]</w:t>
            </w:r>
            <w:r>
              <w:rPr>
                <w:rFonts w:ascii="Arial" w:hAnsi="Arial" w:cs="Arial"/>
                <w:sz w:val="20"/>
                <w:rtl/>
                <w:szCs w:val="20"/>
              </w:rPr>
              <w:t xml:space="preserve"> ונבנו שוב עם הכיול לפי הירידות של רב-קו עצמו; כל מספר מ-⁦§6m⁩ והלאה הוא מהשרשרת המתוקנת. ההשפעה בסקר 2018, בוקר: 11,406 נסיעות מוגדלות ביום שייכות לאוטובוס ולא למוניות, ו-2,006 בכיוון ההפוך</w:t>
            </w:r>
          </w:p>
        </w:tc>
      </w:tr>
    </w:tbl>
    <w:p>
      <w:pPr>
        <w:spacing w:after="80"/>
      </w:pPr>
    </w:p>
    <w:p>
      <w:pPr>
        <w:bidi/>
        <w:spacing w:after="120"/>
        <w:jc w:val="right"/>
      </w:pPr>
      <w:r>
        <w:rPr>
          <w:rFonts w:ascii="Arial" w:hAnsi="Arial" w:cs="Arial"/>
          <w:sz w:val="22"/>
          <w:rtl/>
          <w:szCs w:val="22"/>
        </w:rPr>
        <w:t>מגבלות 3, 5, 7, 8, 10, 11, 12 ו-13 שמרו על מספרן אבל נכתבו מחדש עבור השרשרת הנוכחית; הנוסח הקודם שלהן (על המטריצות ההיברידיות, התחזית המשולבת של 25 אזורים והמיפוי הסלולרי המשוכפל) נמצא בהיסטוריית המאגר לפני 20.10.2026.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