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 xml:space="preserve">Findings, and what the matrices can and cannot be used for — revision 1.3</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 Revision 1.1 (same day) corrects the LRT travel times — the calibration report’s 500 m section assumption was checked against the Red Line’s own timetable and found to halve the underground speed — and adds the bus level of service per TAZ from the national GTFS, the Metronit tagging, and the check of the bus timetable against what surveyed bus users report. Revision 1.2 adds the observed bus running times: every timetable trip routed over the measured May 2026 bus link speeds. Revision 1.3 (same day) records three decisions of the study team — money out of the comparison (a flat, integrated fare with a daily cap), the LRT valued as a premium mode (five generalized minutes), and free LRT–Metronit transfers — and adds the complete skim set per mode, the first flow comparison, and — with the zonal forecast files now pulled and the four 2040 / 2050 sets produced — the same capture on the forecast matrices (Part E).</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GTFS_bus_LOS_TAZ, GTFS_bus_observed_times, GC_data_inventory_and_skims, Mode_skims_and_flow_comparison (all under notebooks/current/); THS_2017_PCA_car_vs_transit (diagnostics). Methodology sections 6s, 6v–6ac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Output/gtfs/, Output/gc/, Output/skims/, Output/figures/.</w:t>
      </w:r>
    </w:p>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Four new inputs arrived on 22 September 2026: a new corridor aggregation (V2 — 25 areas built from 174 traffic analysis zones, arranged as three routes on a common trunk), the planned LRT alignment with its stations, a street network carrying measured bus speeds for May 2026, and the national GTFS timetable of 22 May 2026. Alongside them came a calibrated stop-to-stop travel-time function for the Tel Aviv Red Line,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Six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bus network today. </w:t>
      </w:r>
      <w:r>
        <w:rPr>
          <w:sz w:val="22"/>
          <w:szCs w:val="22"/>
          <w:rFonts w:ascii="Calibri" w:cs="Calibri" w:eastAsia="Calibri" w:hAnsi="Calibri"/>
        </w:rPr>
        <w:t xml:space="preserve">A level of service for every TAZ from the national timetable — stops, lines, peak-hour departures, headway grade, direct reach — for all buses and for the Metronit lines separately; a timetable-based in-vehicle time and headway between the 25 areas; and the same trips routed over the measured bus link speeds for an observed running time.</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 first fill of the car, bus, Metronit and LRT matrices on the 25 areas; and the bus timetable checked against what surveyed bus users report.</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 / 65.8 min (17.1 km/h) with the calibrated function transferred through the Red Line’s actual station spacing; underground saves 38 %. (Revision 1’s 73.5 / 89.7 min read the function over a nominal 500 m spacing and is superseded)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level of service from the GTFS (Tuesday 2 June 2026)</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719 of 781 TAZs served in the peak hour; on the best single line 215 TAZs grade A, 239 B, 106 C, 97 D, 61 E; 60 TAZs with a Metronit stop, 41 of them in 20 of the 25 V2 areas</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Direct bus services between the trunk areas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82 of 90 pairs (72 by Metronit); scheduled in-vehicle time 13 min median at a 1.7-minute combined headway; Metronit 10 min at 6 min</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Observed bus running time (trips routed over the measured link speeds) against the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Per trip 1.09 × (Metronit 0.87); hops under 500 m on schedule, hops over 2 km 1.4 × slower; trunk pairs 14.4 min observed against 10.4 scheduled, demand-weighted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observed: in-vehicle 14.4, walk 4.7, wait 1.6 min (partial cost 27.0). LRT: in-vehicle 11.7 (underground) / 18.9 (ground) min, walk 13.6, wait 2.5 at a 5-minute headway (partial cost 43.9 / 51.1)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GTFS-based bus door-to-door against the survey, same pairs</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min against 31.8 reported (× 1.3): a fixed overhead of about 7 minutes, 1.9 × on pairs under 3 km, 1.1–1.5 × at 3–20 km, parity beyond</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LRT function was being read too slowly, and the fix came from the Red Line’s own timetable. </w:t>
      </w:r>
      <w:r>
        <w:rPr>
          <w:sz w:val="22"/>
          <w:szCs w:val="22"/>
          <w:rFonts w:ascii="Calibri" w:cs="Calibri" w:eastAsia="Calibri" w:hAnsi="Calibri"/>
        </w:rPr>
        <w:t xml:space="preserve">The calibration report converts its per-section times to speeds by assuming 500 m between stops. The Red Line’s timetable in the GTFS shows its underground sections average 970 m and its surface sections 577 m, so 1.96 minutes per underground section is a 30 km/h section, not a 15 km/h one. Fitting running time and a stop penalty on the Red Line’s scheduled sections and levelling to the calibration gives 46 km/h plus 49 seconds per stop underground and 31 km/h plus 74 seconds at the surface. On this line’s 815 m spacing that is 40.7 minutes end to end underground (27.6 km/h) and 65.8 at ground level (17.1 km/h); going underground saves 38 %.</w:t>
      </w:r>
    </w:p>
    <w:p>
      <w:pPr>
        <w:pStyle w:val="ListParagraph"/>
        <w:numPr>
          <w:ilvl w:val="0"/>
          <w:numId w:val="2"/>
        </w:numPr>
        <w:spacing w:after="80"/>
      </w:pPr>
      <w:r>
        <w:rPr>
          <w:b/>
          <w:bCs/>
          <w:sz w:val="22"/>
          <w:szCs w:val="22"/>
          <w:rFonts w:ascii="Calibri" w:cs="Calibri" w:eastAsia="Calibri" w:hAnsi="Calibri"/>
        </w:rPr>
        <w:t xml:space="preserve">The buses run slower than their timetable where the demand is, and the LRT would be faster in the vehicle. </w:t>
      </w:r>
      <w:r>
        <w:rPr>
          <w:sz w:val="22"/>
          <w:szCs w:val="22"/>
          <w:rFonts w:ascii="Calibri" w:cs="Calibri" w:eastAsia="Calibri" w:hAnsi="Calibri"/>
        </w:rPr>
        <w:t xml:space="preserve">Every morning-peak timetable trip was routed stop by stop over the measured bus link speeds. Short hops match the schedule to the minute, so the link speeds include the dwell at stops; hops over a kilometre — the arterial stretches — run 1.25 to 1.4 times slower than scheduled in the 07:00–08:00 hour, and the Metronit runs faster than its timetable (0.87). Demand-weighted on the trunk pairs the observed bus in-vehicle time is 14.4 minutes against 10.4 scheduled, and the underground LRT’s 11.7 minutes is now three minutes below it.</w:t>
      </w:r>
    </w:p>
    <w:p>
      <w:pPr>
        <w:pStyle w:val="ListParagraph"/>
        <w:numPr>
          <w:ilvl w:val="0"/>
          <w:numId w:val="2"/>
        </w:numPr>
        <w:spacing w:after="80"/>
      </w:pPr>
      <w:r>
        <w:rPr>
          <w:b/>
          <w:bCs/>
          <w:sz w:val="22"/>
          <w:szCs w:val="22"/>
          <w:rFonts w:ascii="Calibri" w:cs="Calibri" w:eastAsia="Calibri" w:hAnsi="Calibri"/>
        </w:rPr>
        <w:t xml:space="preserve">What the LRT loses on is station access. </w:t>
      </w:r>
      <w:r>
        <w:rPr>
          <w:sz w:val="22"/>
          <w:szCs w:val="22"/>
          <w:rFonts w:ascii="Calibri" w:cs="Calibri" w:eastAsia="Calibri" w:hAnsi="Calibri"/>
        </w:rPr>
        <w:t xml:space="preserve">24 stations against 12,845 stops means 13.6 minutes of walking against 4.7, and with walking weighted twice the LRT’s partial generalized cost (43.9 underground, 51.1 at ground level, with a 5-minute headway) is above the bus’s 27.0 on every trunk pair. Door to door the underground LRT (28 min) equals what bus users report today (27 min). The open question on the LRT side is no longer its speed but its access: feeder buses, the walking network and park-and-ride.</w:t>
      </w:r>
    </w:p>
    <w:p>
      <w:pPr>
        <w:pStyle w:val="ListParagraph"/>
        <w:numPr>
          <w:ilvl w:val="0"/>
          <w:numId w:val="2"/>
        </w:numPr>
        <w:spacing w:after="80"/>
      </w:pPr>
      <w:r>
        <w:rPr>
          <w:b/>
          <w:bCs/>
          <w:sz w:val="22"/>
          <w:szCs w:val="22"/>
          <w:rFonts w:ascii="Calibri" w:cs="Calibri" w:eastAsia="Calibri" w:hAnsi="Calibri"/>
        </w:rPr>
        <w:t xml:space="preserve">The GTFS-based door-to-door time is below what bus users report, by a fixed seven minutes. </w:t>
      </w:r>
      <w:r>
        <w:rPr>
          <w:sz w:val="22"/>
          <w:szCs w:val="22"/>
          <w:rFonts w:ascii="Calibri" w:cs="Calibri" w:eastAsia="Calibri" w:hAnsi="Calibri"/>
        </w:rPr>
        <w:t xml:space="preserve">On the same area pairs the best direct service — observed in-vehicle time plus walk to the nearest stop plus half the pooled headway — gives 24 minutes door to door; surveyed bus users report 32. The ratio is 1.9 on pairs under 3 km and shrinks towards parity beyond 20 km, so it is an overhead (the transfer, the wait for the line actually needed), not a speed error: the running time itself is now observed. It is the calibration margin for the bus generalized cost.</w:t>
      </w:r>
    </w:p>
    <w:p>
      <w:pPr>
        <w:pStyle w:val="ListParagraph"/>
        <w:numPr>
          <w:ilvl w:val="0"/>
          <w:numId w:val="2"/>
        </w:numPr>
        <w:spacing w:after="80"/>
      </w:pPr>
      <w:r>
        <w:rPr>
          <w:b/>
          <w:bCs/>
          <w:sz w:val="22"/>
          <w:szCs w:val="22"/>
          <w:rFonts w:ascii="Calibri" w:cs="Calibri" w:eastAsia="Calibri" w:hAnsi="Calibri"/>
        </w:rPr>
        <w:t xml:space="preserve">The Metronit codes needed correcting. </w:t>
      </w:r>
      <w:r>
        <w:rPr>
          <w:sz w:val="22"/>
          <w:szCs w:val="22"/>
          <w:rFonts w:ascii="Calibri" w:cs="Calibri" w:eastAsia="Calibri" w:hAnsi="Calibri"/>
        </w:rPr>
        <w:t xml:space="preserve">Of the five codes supplied, only 83001 (line 1) is a Metronit route in the feed; 83003 and 83005 belong to local lines elsewhere and 83002 / 83004 do not exist. The lines in the feed are 83001, 67002 (line 2), 67003 (line 3), 62004 (line 4) and 52005 (line 5). 60 TAZs have a Metronit stop; Tirat Carmel, Shefaram, Hamovil, Nazareth and Kiryat Ata North-East have none.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spacing w:after="120" w:before="0"/>
      </w:pPr>
      <w:r>
        <w:rPr>
          <w:b/>
          <w:bCs/>
          <w:sz w:val="22"/>
          <w:szCs w:val="22"/>
          <w:rFonts w:ascii="Calibri" w:cs="Calibri" w:eastAsia="Calibri" w:hAnsi="Calibri"/>
        </w:rPr>
        <w:t xml:space="preserve">Revision 1.3 — the skims and the first flow comparison. </w:t>
      </w:r>
      <w:r>
        <w:rPr>
          <w:sz w:val="22"/>
          <w:szCs w:val="22"/>
          <w:rFonts w:ascii="Calibri" w:cs="Calibri" w:eastAsia="Calibri" w:hAnsi="Calibri"/>
        </w:rPr>
        <w:t xml:space="preserve">Each mode now has a complete 25 × 25 skim (car, bus, Metronit, LRT underground and LRT ground); the LRT reaches the fifteen areas off the drawn line through a feeder leg to the cheapest gateway station — the Metronit, with a free transfer, on 378 of those 510 pairs. Set against the observed 2022 flows the skims cannot calibrate the cost sensitivity: the transit share is highest exactly where the bus is worst placed, which is car availability, not cost. With the sensitivity assumed (0.03 per generalized minute), the LRT valued five minutes above the bus and money out of the comparison, the underground line would take 3,332 of the 11,664 transit trips made between the 25 areas in the three morning hours of 2022 (2,544 at ground level), a third to 45 % of today’s bus movements on the trunk links, most of it boarding at Hamifrats and Namal-Giborim where the Krayot feeders arrive. Across the ranges of the three assumptions the figure moves between 2,357 and 4,855 — wider than the difference between the two alignments.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 the Tel Aviv Red Line)</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underground section, 2.393 min per surface section, dwell included; speeds quoted under a 500 m spacing assumption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transferred to Haifa’s spacing through the Red Line’s actual section lengths.</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israel-public-transportation.zip (national GTFS, 22 May 2026)</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12,845 stops in the study area, 33,499 trips calling at them on the representative Tuesday (2 June 2026), 955 MB of stop times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bus level of service per TAZ and the Metronit tagging (Part D); the direct-service in-vehicle time and headway between areas that the generalized cost now uses; the Red Line’s section lengths for the LRT function.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the 500 m assumption, and the two scenarios</w:t>
      </w:r>
    </w:p>
    <w:p>
      <w:pPr>
        <w:spacing w:after="120" w:before="0"/>
      </w:pPr>
      <w:r>
        <w:rPr>
          <w:sz w:val="22"/>
          <w:szCs w:val="22"/>
          <w:rFonts w:ascii="Calibri" w:cs="Calibri" w:eastAsia="Calibri" w:hAnsi="Calibri"/>
        </w:rPr>
        <w:t xml:space="preserve">The function is T = 1.961 × (underground sections) + 2.393 × (other sections), in minutes per section, dwell included; a section counts as underground only when both its stations are. The two scenarios asked for are the two pure regimes: every section underground, or every section at ground level.</w:t>
      </w:r>
    </w:p>
    <w:p>
      <w:pPr>
        <w:spacing w:after="120" w:before="0"/>
      </w:pPr>
      <w:r>
        <w:rPr>
          <w:sz w:val="22"/>
          <w:szCs w:val="22"/>
          <w:rFonts w:ascii="Calibri" w:cs="Calibri" w:eastAsia="Calibri" w:hAnsi="Calibri"/>
        </w:rPr>
        <w:t xml:space="preserve">Revision 1 of this report read the coefficients as the calibration report does, over a nominal 500 m section, and got 73.5 and 89.7 minutes end to end. That was too slow, and the Red Line’s own timetable — in the same national GTFS, routes 34447 and 34448, 32 stops over 21.4 km in 70.6 scheduled minutes — shows why: its underground sections average 970 m and its surface sections 577 m. The calibrated 1.961 minutes per underground section is therefore a 30 km/h section. Fitting the scheduled section time against distance on the Red Line’s 14,477 scheduled sections separates running time from the stop penalty per regime, and levelling each regime to the calibration’s observed mean (0.94 underground, 1.02 surface) keeps the observed 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620"/>
        <w:gridCol w:w="1440"/>
        <w:gridCol w:w="1260"/>
        <w:gridCol w:w="3240"/>
      </w:tblGrid>
      <w:tr>
        <w:trPr>
          <w:tblHeader/>
        </w:trPr>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Regime</w:t>
            </w:r>
          </w:p>
        </w:tc>
        <w:tc>
          <w:tcPr>
            <w:tcW w:type="dxa" w:w="16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Red Line mean section</w:t>
            </w:r>
          </w:p>
        </w:tc>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Running speed</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Stop penalty</w:t>
            </w:r>
          </w:p>
        </w:tc>
        <w:tc>
          <w:tcPr>
            <w:tcW w:type="dxa" w:w="32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time at Haifa’s 815 m spacing</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970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49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1.77 min (27.6 km/h)</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Ground level</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577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min (17.1 km/h)</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2160"/>
        <w:gridCol w:w="198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decomposed form (the estimate)</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 (one calibrated section per link, fast bound)</w:t>
            </w:r>
          </w:p>
        </w:tc>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Nominal 500 m form (revision 1, superseded)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min (17.1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Saving from going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25.1 min, 38 %</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 18 %</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 18 %</w:t>
            </w:r>
          </w:p>
        </w:tc>
      </w:tr>
    </w:tbl>
    <w:p>
      <w:pPr>
        <w:spacing w:after="120"/>
      </w:pPr>
    </w:p>
    <w:p>
      <w:pPr>
        <w:spacing w:after="120" w:before="0"/>
      </w:pPr>
      <w:r>
        <w:rPr>
          <w:sz w:val="22"/>
          <w:szCs w:val="22"/>
          <w:rFonts w:ascii="Calibri" w:cs="Calibri" w:eastAsia="Calibri" w:hAnsi="Calibri"/>
        </w:rPr>
        <w:t xml:space="preserve">The decomposed form is the estimate carried into the generalized cost. The section form is kept as a bound: it is right for the underground where Haifa’s spacing is close to the Red Line’s, and too fast at the surface, where Haifa’s sections are 40 % longer than the Red Line’s. The saving from going underground is larger than the 18 % per section because the two coefficients embed different section lengths. The earlier capture-model assumption of 22–26 km/h sits inside the underground range.</w:t>
      </w:r>
    </w:p>
    <w:p>
      <w:pPr>
        <w:spacing w:before="120" w:after="60"/>
        <w:jc w:val="center"/>
      </w:pPr>
      <w:r>
        <w:drawing>
          <wp:inline distT="0" distB="0" distL="0" distR="0">
            <wp:extent cx="5810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57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the decomposed form (solid, the estimate), the section form (dashed) and the superseded nominal 500 m form (dotted);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(decomposed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(decomposed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6.1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9.8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16.0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15.0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32.8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41.5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46.2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31.3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50.6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35.2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57.0 / 47.9</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Fares and parking were in the formula until revision 1.3; they are now out of the comparison by decision (Part 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observed running time of the direct GTFS services routed over the measured link speeds, on the 422 of 600 pairs that have one (82 of 90 trunk pairs); the scheduled time kept alongside; elsewhere the fastest path on the speed network scaled by 1.12</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(decomposed form);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the nearest served GTFS stop, weighted by residents and jobs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half the combined 07:00–08:00 headway of the direct services, capped at 10 min; a placeholder where no direct service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5-minute headway (12 departures an hour)</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 where a direct service exists; missing on the 178 pairs without one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(out of the comparison)</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(flat integrated fare with a daily cap)</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(the same fare as the bus)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Excluded by the same decision</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810"/>
        <w:gridCol w:w="810"/>
        <w:gridCol w:w="1440"/>
        <w:gridCol w:w="2430"/>
      </w:tblGrid>
      <w:tr>
        <w:trPr>
          <w:tblHeader/>
        </w:trPr>
        <w:tc>
          <w:tcPr>
            <w:tcW w:type="dxa" w:w="135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21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(observed running time)</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14.4 min (direct services over the measured link speeds; the timetable says 10.4, the speed-network floor 12.5)</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27.0</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 (on its 72 trunk pairs)</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8.6 min (scheduled 7.8)</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Level with all-bus on the same pairs (20.2), which already includes it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11.7 min (decomposed form; section form 13.3)</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Dearer than the bus on every trunk pair, by 4–31 (median 17)</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18.9 min (section form 16.2)</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Money components are constant by decision and enter at zero. Bus values on the eight trunk pairs without a direct service are placeholders.</w:t>
      </w:r>
    </w:p>
    <w:p>
      <w:pPr>
        <w:spacing w:after="120" w:before="0"/>
      </w:pPr>
      <w:r>
        <w:rPr>
          <w:sz w:val="22"/>
          <w:szCs w:val="22"/>
          <w:rFonts w:ascii="Calibri" w:cs="Calibri" w:eastAsia="Calibri" w:hAnsi="Calibri"/>
        </w:rPr>
        <w:t xml:space="preserve">Two of the LRT’s minutes are structural rather than uncertain. Twenty-four stations over 18.7 km put the average trunk resident 6.8 minutes from a station against 2.4 minutes from a bus stop; with walking weighted twice, that alone is 18 generalized minutes, the whole of the LRT’s median disadvantage against the bus.</w:t>
      </w:r>
    </w:p>
    <w:p>
      <w:pPr>
        <w:spacing w:before="120" w:after="60"/>
        <w:jc w:val="center"/>
      </w:pPr>
      <w:r>
        <w:drawing>
          <wp:inline distT="0" distB="0" distL="0" distR="0">
            <wp:extent cx="58102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8097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the bus partial generalized cost from the timetable, and the LRT partial generalized cost (all underground), in generalized minutes.</w:t>
      </w:r>
    </w:p>
    <w:p>
      <w:pPr>
        <w:pStyle w:val="Heading2"/>
        <w:spacing w:before="280" w:after="120"/>
      </w:pPr>
      <w:r>
        <w:rPr>
          <w:rFonts w:ascii="Calibri" w:cs="Calibri" w:eastAsia="Calibri" w:hAnsi="Calibri"/>
        </w:rPr>
        <w:t xml:space="preserve">5.3 Observed running times, and the bus against what bus users report</w:t>
      </w:r>
    </w:p>
    <w:p>
      <w:pPr>
        <w:spacing w:after="120" w:before="0"/>
      </w:pPr>
      <w:r>
        <w:rPr>
          <w:sz w:val="22"/>
          <w:szCs w:val="22"/>
          <w:rFonts w:ascii="Calibri" w:cs="Calibri" w:eastAsia="Calibri" w:hAnsi="Calibri"/>
        </w:rPr>
        <w:t xml:space="preserve">Every morning-peak timetable trip was routed, stop by stop, over the street network with the measured May 2026 bus link speeds (weekday 3, 07:00–08:00): 7,324 trips, 15,929 distinct stop-to-stop segments routed once each by shortest path, 94 % of the routed length on links with a measured speed, 2 % of segments falling back to the schedule. Per trip the observed in-vehicle time is 1.09 times the scheduled one (Metronit 0.87, ordinary buses 1.10). The pattern by hop length says what the speeds contain: hops under 500 m, two thirds of all hops, take exactly the scheduled time, so the link speeds include the dwell at stops; hops of 1–2 km run 1.25 times slower than scheduled and hops over 2 km 1.4 times, which is the peak-hour congestion on the arterials that the timetable pads only partly. Demand-weighted on the trunk pairs the observed in-vehicle time is 14.4 minutes against 10.4 scheduled. The long interurban timetables are padded (observed 0.88 of schedule on pairs over 30 scheduled minutes), except from Nazareth, where the observed times to the Haifa trunk run 8–9 minutes above the schedule.</w:t>
      </w:r>
    </w:p>
    <w:p>
      <w:pPr>
        <w:spacing w:before="120" w:after="60"/>
        <w:jc w:val="center"/>
      </w:pPr>
      <w:r>
        <w:drawing>
          <wp:inline distT="0" distB="0" distL="0" distR="0">
            <wp:extent cx="5810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6. Observed against scheduled bus in-vehicle time per area pair (left) and the observed-to-scheduled ratio by hop length with the measured-link coverage (right).</w:t>
      </w:r>
    </w:p>
    <w:p>
      <w:pPr>
        <w:spacing w:after="120" w:before="0"/>
      </w:pPr>
      <w:r>
        <w:rPr>
          <w:sz w:val="22"/>
          <w:szCs w:val="22"/>
          <w:rFonts w:ascii="Calibri" w:cs="Calibri" w:eastAsia="Calibri" w:hAnsi="Calibri"/>
        </w:rPr>
        <w:t xml:space="preserve">The surveyed bus trips of 2b were then compared, pair by pair, with the GTFS-based door-to-door time for their area pair: observed in-vehicle time plus walking to the nearest served stop plus half the pooled headway. On the pairs with a direct service, which carry 97 % of the surveyed bus trips, this gives 24.3 minutes (in-vehicle 17.1, walk 5.3, wait 1.9) against 31.8 reported. The ratio is not constant: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41"/>
        <w:gridCol w:w="1206"/>
        <w:gridCol w:w="1485"/>
        <w:gridCol w:w="1485"/>
        <w:gridCol w:w="1577"/>
        <w:gridCol w:w="1206"/>
      </w:tblGrid>
      <w:tr>
        <w:trPr>
          <w:tblHeader/>
        </w:trPr>
        <w:tc>
          <w:tcPr>
            <w:tcW w:type="dxa" w:w="2041"/>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Area pairs</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Sampled bus trips</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door-to-door (min)</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observed in-vehicle (min)</w:t>
            </w:r>
          </w:p>
        </w:tc>
        <w:tc>
          <w:tcPr>
            <w:tcW w:type="dxa" w:w="1577"/>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door-to-door (min)</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 GTFS</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All with a direct service</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99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31.8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17.1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24.3</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Trunk to trunk</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26.8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20.0</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Under 3 km apart</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57</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7.8</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13.7</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1.9</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28.9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18.7</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1.1</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50.2</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27.3</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36.9</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20–60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54.3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55.9</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70.4</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0.8</w:t>
            </w:r>
          </w:p>
        </w:tc>
      </w:tr>
    </w:tbl>
    <w:p>
      <w:pPr>
        <w:spacing w:after="120"/>
      </w:pPr>
    </w:p>
    <w:p>
      <w:pPr>
        <w:spacing w:after="120" w:before="0"/>
      </w:pPr>
      <w:r>
        <w:rPr>
          <w:sz w:val="22"/>
          <w:szCs w:val="22"/>
          <w:rFonts w:ascii="Calibri" w:cs="Calibri" w:eastAsia="Calibri" w:hAnsi="Calibri"/>
        </w:rPr>
        <w:t xml:space="preserve">The gap is an overhead of about seven minutes rather than a proportional error: large on short pairs, gone on the longest. With the running time now observed, it is what a best direct service does not carry — the transfer that a share of bus journeys involve and the wait for the line actually needed rather than the pooled headway of everything that passes. Only three pairs hold three or more sampled trips, so this is a trip-level comparison by distance band, not a pair-level fit. For the capture model it is the calibration margin for the bus generalized cost: either add the overhead, or replace the pooled wait by the headway of the route actually used.</w:t>
      </w:r>
    </w:p>
    <w:p>
      <w:pPr>
        <w:spacing w:before="120" w:after="6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3622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7. Bus: the GTFS-based door-to-door time (observed in-vehicle time, walk and wait) against what surveyed bus users report — by area pair (left, indicative) and by distance band (right).</w:t>
      </w:r>
    </w:p>
    <w:p>
      <w:pPr>
        <w:pStyle w:val="Heading2"/>
        <w:spacing w:before="280" w:after="120"/>
      </w:pPr>
      <w:r>
        <w:rPr>
          <w:rFonts w:ascii="Calibri" w:cs="Calibri" w:eastAsia="Calibri" w:hAnsi="Calibri"/>
        </w:rPr>
        <w:t xml:space="preserve">5.4 What decides the answer now</w:t>
      </w:r>
    </w:p>
    <w:p>
      <w:pPr>
        <w:spacing w:after="120" w:before="0"/>
      </w:pPr>
      <w:r>
        <w:rPr>
          <w:sz w:val="22"/>
          <w:szCs w:val="22"/>
          <w:rFonts w:ascii="Calibri" w:cs="Calibri" w:eastAsia="Calibri" w:hAnsi="Calibri"/>
        </w:rPr>
        <w:t xml:space="preserve">Revision 1 said the LRT speed was the decisive input. With the function transferred through the Red Line’s actual spacing and the bus running times observed rather than scheduled, it no longer is: the LRT’s in-vehicle time on the trunk pairs is three minutes below the buses’ observed running time underground and four minutes above it at ground level. What separates the LRT from the bus in this first fill is station access, and that is a matter of the access model — feeder buses to the stations, the walking network instead of a straight-line detour factor, park-and-ride where the station plan allows — and of the station plan itself, not of the travel-time function. The two inputs to obtain first are therefore the alignment and stations beyond Hamifrats and on the three branches, without which 15 of the 25 areas have no LRT time at all, and an access treatment for the LRT. The money components are out of the comparison by decision: the flat, integrated fare with a daily cap is the same for every transit mode and every pair, and against the car it is a constant per trip that the pivot on the observed shares absorbs.</w:t>
      </w:r>
    </w:p>
    <w:p>
      <w:pPr>
        <w:pStyle w:val="Heading1"/>
        <w:spacing w:before="360" w:after="160"/>
      </w:pPr>
      <w:r>
        <w:rPr>
          <w:rFonts w:ascii="Calibri" w:cs="Calibri" w:eastAsia="Calibri" w:hAnsi="Calibri"/>
        </w:rPr>
        <w:t xml:space="preserve">6. Part D — the bus network today: level of service per TAZ from the GTFS</w:t>
      </w:r>
    </w:p>
    <w:p>
      <w:pPr>
        <w:spacing w:after="120" w:before="0"/>
      </w:pPr>
      <w:r>
        <w:rPr>
          <w:sz w:val="22"/>
          <w:szCs w:val="22"/>
          <w:rFonts w:ascii="Calibri" w:cs="Calibri" w:eastAsia="Calibri" w:hAnsi="Calibri"/>
        </w:rPr>
        <w:t xml:space="preserve">The national timetable of 22 May 2026 was reduced to the study area on its representative Tuesday, 2 June 2026: 12,845 stops in 730 of the 781 TAZs, 33,499 trips calling at them on the day, 7,324 of them departing a study-area stop between 06:00 and 09:00. For every TAZ, for all buses and for the Metronit separately, the table Output/gtfs/bus_los_taz.csv gives the served stops, the lines, the departures in the three hours and in the peak hour, the combined headway of everything that passes, the headway of the best single line, the number of TAZs reachable without a transfer (and within 30 scheduled minutes), the distance from the TAZ centroid to the nearest stop, and a frequency grade in the TCQSM classes (A ≤ 10 min, B ≤ 15, C ≤ 20, D ≤ 30, E ≤ 60). The grade on the best single line is the informative one; the combined headway grades almost every TAZ A because some bus passes every few minutes.</w:t>
      </w:r>
    </w:p>
    <w:p>
      <w:pPr>
        <w:spacing w:after="120" w:before="0"/>
      </w:pPr>
      <w:r>
        <w:rPr>
          <w:sz w:val="22"/>
          <w:szCs w:val="22"/>
          <w:rFonts w:ascii="Calibri" w:cs="Calibri" w:eastAsia="Calibri" w:hAnsi="Calibri"/>
        </w:rPr>
        <w:t xml:space="preserve">The Metronit was tagged by its route codes in the feed. The five codes supplied with the request were checked: only 83001 (line 1) is a Metronit route; 83003 and 83005 belong to local lines in Kiryat Malachi and Arara BaNegev, and 83002 and 83004 do not exist. The lines in the feed, all under Superbus, are 83001 (line 1, Hof HaCarmel – Krayot), 67002 (line 2, Bat Galim – Kiryat Ata), 67003 (line 3, Krayot loop), 62004 (line 4, via the Carmel tunnels) and 52005 (line 5, Yagur). The notebook prints every matched route so the tagging can be audited.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55"/>
        <w:gridCol w:w="818"/>
        <w:gridCol w:w="1545"/>
        <w:gridCol w:w="1727"/>
        <w:gridCol w:w="1455"/>
      </w:tblGrid>
      <w:tr>
        <w:trPr>
          <w:tblHeader/>
        </w:trPr>
        <w:tc>
          <w:tcPr>
            <w:tcW w:type="dxa" w:w="20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V2 area</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(unserved in the peak hour)</w:t>
            </w:r>
          </w:p>
        </w:tc>
        <w:tc>
          <w:tcPr>
            <w:tcW w:type="dxa" w:w="8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Lines</w:t>
            </w:r>
          </w:p>
        </w:tc>
        <w:tc>
          <w:tcPr>
            <w:tcW w:type="dxa" w:w="154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Best-line headway (min, median TAZ)</w:t>
            </w:r>
          </w:p>
        </w:tc>
        <w:tc>
          <w:tcPr>
            <w:tcW w:type="dxa" w:w="1727"/>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reachable without transfer in 30 min</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with a Metronit stop</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Hamifrats</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Bat Galim-Kiryat Eliezer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Lower City</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Bialik Center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Yam B+C</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Tirat Carmel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(3)</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North-East</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Shefaram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Hamovil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Nazareth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bl>
    <w:p>
      <w:pPr>
        <w:spacing w:after="200"/>
      </w:pPr>
      <w:r>
        <w:rPr>
          <w:i/>
          <w:iCs/>
          <w:color w:val="52514E"/>
          <w:sz w:val="18"/>
          <w:szCs w:val="18"/>
          <w:rFonts w:ascii="Calibri" w:cs="Calibri" w:eastAsia="Calibri" w:hAnsi="Calibri"/>
        </w:rPr>
        <w:t xml:space="preserve">A selection of the 25 areas; the full table is in the notebook. 719 of the 781 TAZs have a peak-hour departure; the 62 without are mostly zones with no stop at all (Bazan, the port, the Matam fringe, Kiryat Ata industry).</w:t>
      </w:r>
    </w:p>
    <w:p>
      <w:pPr>
        <w:spacing w:after="120" w:before="0"/>
      </w:pPr>
      <w:r>
        <w:rPr>
          <w:sz w:val="22"/>
          <w:szCs w:val="22"/>
          <w:rFonts w:ascii="Calibri" w:cs="Calibri" w:eastAsia="Calibri" w:hAnsi="Calibri"/>
        </w:rPr>
        <w:t xml:space="preserve">The Haifa trunk is A to B on the best line and reaches 40 to 100 TAZs without a transfer within half an hour. The branches are weaker in kind: the Kiryat Ata branch has 18 to 20 minute best-line headways, five of its fourteen TAZs unserved in the peak hour and a direct reach of ten TAZs; Shefaram and Hamovil 20 and 30 minutes; Nazareth is dense (2,438 peak-hour departures across its 38 TAZs) but local. Sixty TAZs have a Metronit stop, 41 of them in twenty of the 25 V2 areas; Tirat Carmel, Shefaram, Hamovil, Nazareth and Kiryat Ata North-East have none.</w:t>
      </w:r>
    </w:p>
    <w:p>
      <w:pPr>
        <w:spacing w:after="120" w:before="0"/>
      </w:pPr>
      <w:r>
        <w:rPr>
          <w:sz w:val="22"/>
          <w:szCs w:val="22"/>
          <w:rFonts w:ascii="Calibri" w:cs="Calibri" w:eastAsia="Calibri" w:hAnsi="Calibri"/>
        </w:rPr>
        <w:t xml:space="preserve">Between the 25 areas, 422 of the 600 ordered pairs have a direct bus service in the morning peak and 278 a direct Metronit service; on the trunk 82 of 90 pairs (72 by Metronit). The eight trunk pairs without one are Tirat Carmel to and from Bat Galim, Hamoshava, Lower City and Hamifrats, which need a change at Hof HaCarmel. The scheduled in-vehicle time of these direct services, their number in the peak hour and the implied headway are the bus skim of Part C.</w:t>
      </w:r>
    </w:p>
    <w:p>
      <w:pPr>
        <w:spacing w:before="120" w:after="60"/>
        <w:jc w:val="center"/>
      </w:pPr>
      <w:r>
        <w:drawing>
          <wp:inline distT="0" distB="0" distL="0" distR="0">
            <wp:extent cx="58102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6860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8. Left: bus frequency grade per TAZ on the combined peak-hour headway (Tuesday 2 June 2026, 07:00–08:00). Right: the TAZs with a Metronit stop and the Metronit stops.</w:t>
      </w:r>
    </w:p>
    <w:p>
      <w:pPr>
        <w:pStyle w:val="Heading1"/>
        <w:spacing w:before="360" w:after="160"/>
      </w:pPr>
      <w:r>
        <w:rPr>
          <w:rFonts w:ascii="Calibri" w:cs="Calibri" w:eastAsia="Calibri" w:hAnsi="Calibri"/>
        </w:rPr>
        <w:t xml:space="preserve">7. Part E — the complete skims and the first flow comparison</w:t>
      </w:r>
    </w:p>
    <w:p>
      <w:pPr>
        <w:pStyle w:val="Heading2"/>
        <w:spacing w:before="280" w:after="120"/>
      </w:pPr>
      <w:r>
        <w:rPr>
          <w:rFonts w:ascii="Calibri" w:cs="Calibri" w:eastAsia="Calibri" w:hAnsi="Calibri"/>
        </w:rPr>
        <w:t xml:space="preserve">7.1 One skim set per mode</w:t>
      </w:r>
    </w:p>
    <w:p>
      <w:pPr>
        <w:spacing w:after="120" w:before="0"/>
      </w:pPr>
      <w:r>
        <w:rPr>
          <w:sz w:val="22"/>
          <w:szCs w:val="22"/>
          <w:rFonts w:ascii="Calibri" w:cs="Calibri" w:eastAsia="Calibri" w:hAnsi="Calibri"/>
        </w:rPr>
        <w:t xml:space="preserve">The components of Part C were assembled into one complete 25 × 25 skim per mode — in-vehicle time, walk, wait, transfers, partial generalized cost and a status for every cell — for car, bus, Metronit, LRT all underground and LRT all ground (Output/skims/skims_area_v2.xlsx, one sheet per mode and component, and the same as CSV). Car is full from the survey; bus is the observed running time of the direct services on 422 pairs and a scaled fastest-path floor with one transfer on the other 178; the Metronit is a direct-service skim on 278 pairs and not available elsewhere. The LRT, which the drawn line serves on ten areas only, is extended to all 25 through a feeder leg: from an area off the line the traveller rides to the cheapest gateway station and transfers. The feeder is the bus, with the eight-minute transfer penalty, or — where a direct Metronit service reaches the gateway — the Metronit, with the LRT–Metronit transfer free by decision; both ends off the line combine two such legs. The gateway and the feeder modes are recorded per pair. Money is out of the comparison by decision: the transit fare in the area is flat and integrated with a daily cap, the same for bus, Metronit and LRT and for every pair, and against the car a constant per trip.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20"/>
        <w:gridCol w:w="1194"/>
        <w:gridCol w:w="1378"/>
        <w:gridCol w:w="918"/>
        <w:gridCol w:w="918"/>
        <w:gridCol w:w="1102"/>
        <w:gridCol w:w="1469"/>
      </w:tblGrid>
      <w:tr>
        <w:trPr>
          <w:tblHeader/>
        </w:trPr>
        <w:tc>
          <w:tcPr>
            <w:tcW w:type="dxa" w:w="20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1194"/>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Pairs skimmed</w:t>
            </w:r>
          </w:p>
        </w:tc>
        <w:tc>
          <w:tcPr>
            <w:tcW w:type="dxa" w:w="137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Trunk pairs: IVT</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102"/>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GC</w:t>
            </w:r>
          </w:p>
        </w:tc>
        <w:tc>
          <w:tcPr>
            <w:tcW w:type="dxa" w:w="1469"/>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All pairs: GC</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14.7</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598</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14.9</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27.8</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38.5</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278</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25.6</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31.0 (its pairs)</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12.6</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64.6</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51.8</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70.0</w:t>
            </w:r>
          </w:p>
        </w:tc>
      </w:tr>
    </w:tbl>
    <w:p>
      <w:pPr>
        <w:spacing w:after="200"/>
      </w:pPr>
      <w:r>
        <w:rPr>
          <w:i/>
          <w:iCs/>
          <w:color w:val="52514E"/>
          <w:sz w:val="18"/>
          <w:szCs w:val="18"/>
          <w:rFonts w:ascii="Calibri" w:cs="Calibri" w:eastAsia="Calibri" w:hAnsi="Calibri"/>
        </w:rPr>
        <w:t xml:space="preserve">Minutes, weighted by the 2022 transit trips of each pair; the trunk pairs are the 90 pairs among the ten station areas. GC = IVT + 2 × walk + 2 × wait + 8 × penalised transfers, in generalized minutes; the LRT premium is not in the skim.</w:t>
      </w:r>
    </w:p>
    <w:p>
      <w:pPr>
        <w:spacing w:after="120" w:before="0"/>
      </w:pPr>
      <w:r>
        <w:rPr>
          <w:sz w:val="22"/>
          <w:szCs w:val="22"/>
          <w:rFonts w:ascii="Calibri" w:cs="Calibri" w:eastAsia="Calibri" w:hAnsi="Calibri"/>
        </w:rPr>
        <w:t xml:space="preserve">On physical cost the LRT is dearer than the bus on 560 of the 598 pairs — on the trunk by 4 to 28 generalized minutes, median 15 — and what makes it dearer on the trunk is station access: 13.2 minutes of walking against 4.8 to the nearest bus stop, weighted twice. Off the line it is the feeder ride. With the five-minute premium the LRT is the cheaper transit mode on 96 pairs carrying 441 of the transit trips.</w:t>
      </w:r>
    </w:p>
    <w:p>
      <w:pPr>
        <w:pStyle w:val="Heading2"/>
        <w:spacing w:before="280" w:after="120"/>
      </w:pPr>
      <w:r>
        <w:rPr>
          <w:rFonts w:ascii="Calibri" w:cs="Calibri" w:eastAsia="Calibri" w:hAnsi="Calibri"/>
        </w:rPr>
        <w:t xml:space="preserve">7.2 The 2022 flows do not calibrate the cost sensitivity</w:t>
      </w:r>
    </w:p>
    <w:p>
      <w:pPr>
        <w:spacing w:after="120" w:before="0"/>
      </w:pPr>
      <w:r>
        <w:rPr>
          <w:sz w:val="22"/>
          <w:szCs w:val="22"/>
          <w:rFonts w:ascii="Calibri" w:cs="Calibri" w:eastAsia="Calibri" w:hAnsi="Calibri"/>
        </w:rPr>
        <w:t xml:space="preserve">The plan was to read the cost sensitivity off revealed behaviour: the observed 2022 transit share of each pair against the bus’s cost handicap over the car. On 573 pairs and 67,700 car and transit trips the fit returns the wrong sign, and no sensitivity at all once a constant per distance band is allowed. The transit share is 0.11 under three kilometres, 0.25 at three to six, 0.16 to 0.17 at six to twenty and 0.41 beyond twenty (Nazareth, Shefaram), while the bus’s handicap grows steadily from 11 to 28 generalized minutes over the same bands: the pairs where the bus is worst placed are those whose travellers are least car-available, and car availability is not in the skims. The cross-section identifies car availability, not cost. The sensitivity is therefore assumed — 0.03 per generalized minute, a range of 0.02 to 0.05, twice that within the transit nest — with the observed shares entering only as the pivot; fitting it properly needs a segmented estimation on the survey’s person records.</w:t>
      </w:r>
    </w:p>
    <w:p>
      <w:pPr>
        <w:spacing w:before="120" w:after="60"/>
        <w:jc w:val="center"/>
      </w:pPr>
      <w:r>
        <w:drawing>
          <wp:inline distT="0" distB="0" distL="0" distR="0">
            <wp:extent cx="58102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34327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9. The observed 2022 transit share of each pair against the skim cost difference (bus minus car); the orange line is the trip-weighted share by band, the black line the fitted logit, whose slope has the wrong sign.</w:t>
      </w:r>
    </w:p>
    <w:p>
      <w:pPr>
        <w:pStyle w:val="Heading2"/>
        <w:spacing w:before="280" w:after="120"/>
      </w:pPr>
      <w:r>
        <w:rPr>
          <w:rFonts w:ascii="Calibri" w:cs="Calibri" w:eastAsia="Calibri" w:hAnsi="Calibri"/>
        </w:rPr>
        <w:t xml:space="preserve">7.3 What the LRT would take, on the 2022 market between the 25 areas</w:t>
      </w:r>
    </w:p>
    <w:p>
      <w:pPr>
        <w:spacing w:after="120" w:before="0"/>
      </w:pPr>
      <w:r>
        <w:rPr>
          <w:sz w:val="22"/>
          <w:szCs w:val="22"/>
          <w:rFonts w:ascii="Calibri" w:cs="Calibri" w:eastAsia="Calibri" w:hAnsi="Calibri"/>
        </w:rPr>
        <w:t xml:space="preserve">A nested incremental logit pivoted on the observed trips of each pair — with the LRT removed it returns 2022 exactly — splits the transit trips between bus and LRT on the cost difference less the premium, and lets the improved transit nest draw a little from the car. The market is the 11,664 bus and rail trips and 56,445 car trips made between the 25 areas in the three morning hours of 2022; nothing from outside the areas, no growth to 2040, no capacity, no route choice against the buses that remain.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22"/>
        <w:gridCol w:w="1469"/>
        <w:gridCol w:w="918"/>
        <w:gridCol w:w="918"/>
        <w:gridCol w:w="1194"/>
        <w:gridCol w:w="1378"/>
      </w:tblGrid>
      <w:tr>
        <w:trPr>
          <w:tblHeader/>
        </w:trPr>
        <w:tc>
          <w:tcPr>
            <w:tcW w:type="dxa" w:w="3122"/>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Scenario and case</w:t>
            </w:r>
          </w:p>
        </w:tc>
        <w:tc>
          <w:tcPr>
            <w:tcW w:type="dxa" w:w="1469"/>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 trips 06:00–09:00</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from bus</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from car</w:t>
            </w:r>
          </w:p>
        </w:tc>
        <w:tc>
          <w:tcPr>
            <w:tcW w:type="dxa" w:w="1194"/>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share of transit</w:t>
            </w:r>
          </w:p>
        </w:tc>
        <w:tc>
          <w:tcPr>
            <w:tcW w:type="dxa" w:w="137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trunk pairs: share of transit</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central (λ 0.03, premium 5, free LRT–Metronit transfer)</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3,332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3,037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295</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34 %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4,855 / 2,357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36 % / 19 %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42 % / 25 %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premium 0 / 10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2,658 / 4,122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22 % / 32 %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28 % / 41 %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central</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2,544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2,375</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169</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21 %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4,277 / 1,472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32 % / 12 %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36 % / 14 %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premium 0 / 10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1,999 / 3,200</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 / 26 %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20 % / 31 %</w:t>
            </w:r>
          </w:p>
        </w:tc>
      </w:tr>
    </w:tbl>
    <w:p>
      <w:pPr>
        <w:spacing w:after="120" w:before="0"/>
      </w:pPr>
      <w:r>
        <w:rPr>
          <w:sz w:val="22"/>
          <w:szCs w:val="22"/>
          <w:rFonts w:ascii="Calibri" w:cs="Calibri" w:eastAsia="Calibri" w:hAnsi="Calibri"/>
        </w:rPr>
        <w:t xml:space="preserve">Two of the three assumptions each add about a fifth to the central figure: without the premium the underground line takes 2,658 trips, some 400 of which the free Metronit transfer brings in from the Krayot; with a ten-minute premium 4,122. The range across the cost sensitivity, 2,357 to 4,855, is wider than the difference between the two alignments. The trips board mostly at the two Krayot-facing ends — Hamifrats 995 and Namal-Giborim 747, where the Metronit feeders arrive — then Hecht-Shprintzak 391 and Bat Galim 353; the largest single flows run to the Matam employment end from Bat Galim (122), Hecht-Shprintzak (116) and Tirat Carmel (104), then Nazareth to the Lower City (75) by feeder bus.</w:t>
      </w:r>
    </w:p>
    <w:p>
      <w:pPr>
        <w:spacing w:before="120" w:after="60"/>
        <w:jc w:val="center"/>
      </w:pPr>
      <w:r>
        <w:drawing>
          <wp:inline distT="0" distB="0" distL="0" distR="0">
            <wp:extent cx="581025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5148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10. The nine trunk links, both directions: today’s bus movements (grey) against the LRT loads of the central case, underground (blue) and ground (orange); the whiskers span the cost-sensitivity range.</w:t>
      </w:r>
    </w:p>
    <w:p>
      <w:pPr>
        <w:spacing w:after="120" w:before="0"/>
      </w:pPr>
      <w:r>
        <w:rPr>
          <w:sz w:val="22"/>
          <w:szCs w:val="22"/>
          <w:rFonts w:ascii="Calibri" w:cs="Calibri" w:eastAsia="Calibri" w:hAnsi="Calibri"/>
        </w:rPr>
        <w:t xml:space="preserve">On the trunk links the underground line carries 79 to 995 trips per link and direction over the three hours (47 to 588 in the peak hour), a third to 45 % of the bus movements on the same links today and 84 % on Namal-Giborim to Hamifrats towards the Krayot, where the feeder trips concentrate; the ground scenario carries 44 to 595. These are the loads of the corridor-internal 2022 market only; the external trips would add to them, the buses that keep running in parallel would take from them.</w:t>
      </w:r>
    </w:p>
    <w:p>
      <w:pPr>
        <w:pStyle w:val="Heading2"/>
        <w:spacing w:before="280" w:after="120"/>
      </w:pPr>
      <w:r>
        <w:rPr>
          <w:rFonts w:ascii="Calibri" w:cs="Calibri" w:eastAsia="Calibri" w:hAnsi="Calibri"/>
        </w:rPr>
        <w:t xml:space="preserve">7.4 The same capture on the 2040 / 2050 matrices</w:t>
      </w:r>
    </w:p>
    <w:p>
      <w:pPr>
        <w:spacing w:after="120" w:before="0"/>
      </w:pPr>
      <w:r>
        <w:rPr>
          <w:sz w:val="22"/>
          <w:szCs w:val="22"/>
          <w:rFonts w:ascii="Calibri" w:cs="Calibri" w:eastAsia="Calibri" w:hAnsi="Calibri"/>
        </w:rPr>
        <w:t xml:space="preserve">With the zonal forecast files pulled, the four demographic-reference sets of the forecast step (BU and HS, 2040 and 2050) were produced at TAZ level and aggregated to the 25 areas: transit trips between the areas grow from 11,664 to 14,836 and 16,369 under BU and to 16,076 and 18,291 under HS, car trips a little faster, so the no-build transit share stays at 0.16–0.17 by construction. The capture applied to them, with the skims held at today’s conditions, gives 4,114 and 4,498 LRT trips underground under BU and 4,520 and 5,354 under HS (ground level 3,105 / 3,386 and 3,430 / 4,047): the capture rate is the same as in 2022 — 28 to 29 % of the transit trips underground — because nothing in the skims changes with the year; what changes is the market and where it grows. BU grows Tirat Carmel and the Krayot branch, HS the Carmel coast (Matam, Hof Carmel, Bat Galim) and the western Krayot, and the boardings follow: Hamifrats stays the largest station area in every scenario (995 today, 1,717 by HS 2050), Tirat Carmel more than doubles under BU, Bat Galim and Matam under HS. The busiest trunk link, Namal-Giborim to Hamifrats towards the Krayot, goes from 995 trips in the three hours today to 1,367 (BU 2050) and 1,717 (HS 2050) — about 1,000 in the peak hour by HS 2050.</w:t>
      </w:r>
    </w:p>
    <w:p>
      <w:pPr>
        <w:pStyle w:val="Heading1"/>
        <w:spacing w:before="360" w:after="160"/>
      </w:pPr>
      <w:r>
        <w:rPr>
          <w:rFonts w:ascii="Calibri" w:cs="Calibri" w:eastAsia="Calibri" w:hAnsi="Calibri"/>
        </w:rPr>
        <w:t xml:space="preserve">8. Part F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all_ground}.csv (+ …_section_form, …_nominal500m_form)</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the decomposed form is the estimate, the other two are bounds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(40.7 / 65.8 min end to end); the 38 %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nominal 500 m form (revision 1, superseded);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gtfs/bus_los_taz.csv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Bus and Metronit level of service per TAZ from the timetable of 22 May 2026 (Tuesday 2 June)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TAZs and areas by service; the BRT-access flag; catchment and station-area work</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Observed operations (it is the schedule); the combined-headway grade as a measure of service to one destination</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gtfs/bus_direct_skim_area_v2.csv, gtfs/bus_observed_skim_area_v2.csv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Scheduled and observed in-vehicle time, trips and headway of the direct services between the 25 areas, bus and Metronit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bus in-vehicle time (observed), wait and transfer count of the generalized cost on the 422 pairs with a direct service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Pairs without a direct service (transfer paths not built); door-to-door time without the seven-minute overhead of 5.3</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(car, bus, brt, lrt),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including the Metronit;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 (LRT access by straight-line walk; the LRT off the line only through a feeder)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skims/skims_area_v2.xlsx, skim_{mode}_{component}.csv, skims_area_v2_long.csv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One complete 25 × 25 skim set per mode — car, bus, Metronit, LRT underground, LRT ground — with in-vehicle time, walk, wait, transfers, partial generalized cost and a status per cell; the LRT off the line through a feeder (bus, or Metronit with a free transfer) to the cheapest gateway station, recorded per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comparing modes pair by pair; feeding any assignment or appraisal that works on the 25 areas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Intra-area cells (not skimmed); TAZ-level questions; the 178 bus pairs without a direct service (a scaled floor with one transfer assumed)</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skims/lrt_capture_scenarios.csv, lrt_trips_2022_*_central.csv, trunk_link_flows_bus_vs_lrt.csv, lrt_boardings_by_station_area_central.csv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LRT trips per pair, by scenario and case, and their loads on the nine trunk links against today’s bus movements; boardings by station area</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order of magnitude of the corridor-internal market the LRT would take in 2022 conditions and where it loads; sensitivity to the three assumptions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ridership forecast: no external trips, no forecast-year growth, no capacity, no route choice against the buses that remain; the sensitivity is assumed, not estimated</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forecast_taz/{BU_2040, BU_2050, HS_2040, HS_2050}/</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four demographic-reference matrix sets at TAZ level (car, transit, taxi-type, total), grown from the final 2022 layers on the zonal forecasts; dry_run/ keeps the mechanics test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growth by scenario and where it falls; the no-build input to the capture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forecast of mode choice or destination choice (both held at 2022); taxi-type row margins (unconverged to 10–15 %)</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forecast sets on the 25 areas and the step 31 capture run on each: LRT trips per pair, boardings, trunk-link loads by scenario-year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order of magnitude and growth of the LRT’s corridor-internal market to 2040 / 2050; the tilt of the trunk loads by reference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ridership forecast: today’s skims, no external trips, no capacity, assumptions not estimates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for the LRT, the decomposed form unless a bound is meant.</w:t>
      </w:r>
    </w:p>
    <w:p>
      <w:pPr>
        <w:pStyle w:val="Heading1"/>
        <w:spacing w:before="360" w:after="160"/>
      </w:pPr>
      <w:r>
        <w:rPr>
          <w:rFonts w:ascii="Calibri" w:cs="Calibri" w:eastAsia="Calibri" w:hAnsi="Calibri"/>
        </w:rPr>
        <w:t xml:space="preserve">9.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the Red Line and transferred to Haifa’s spacing through the Red Line’s scheduled running time and stop penalty. The level is the calibration’s; the split between running and dwell is the schedule’s. A regime per section of the actual design would replace the two pure scenarios.</w:t>
      </w:r>
    </w:p>
    <w:p>
      <w:pPr>
        <w:pStyle w:val="ListParagraph"/>
        <w:numPr>
          <w:ilvl w:val="0"/>
          <w:numId w:val="3"/>
        </w:numPr>
        <w:spacing w:after="80"/>
      </w:pPr>
      <w:r>
        <w:rPr>
          <w:sz w:val="22"/>
          <w:szCs w:val="22"/>
          <w:rFonts w:ascii="Calibri" w:cs="Calibri" w:eastAsia="Calibri" w:hAnsi="Calibri"/>
        </w:rPr>
        <w:t xml:space="preserve">The bus generalized cost is the best direct service at its observed running time. Bus users report seven minutes more door to door; the 178 area pairs without a direct service, eight of them on the trunk, have no transfer path yet. The observed times route each trip by shortest path between its stops, and 13.5 % of the hops needed link direction ignored to route plausibly.</w:t>
      </w:r>
    </w:p>
    <w:p>
      <w:pPr>
        <w:pStyle w:val="ListParagraph"/>
        <w:numPr>
          <w:ilvl w:val="0"/>
          <w:numId w:val="3"/>
        </w:numPr>
        <w:spacing w:after="80"/>
      </w:pPr>
      <w:r>
        <w:rPr>
          <w:sz w:val="22"/>
          <w:szCs w:val="22"/>
          <w:rFonts w:ascii="Calibri" w:cs="Calibri" w:eastAsia="Calibri" w:hAnsi="Calibri"/>
        </w:rPr>
        <w:t xml:space="preserve">The LRT’s access is a straight-line walk from TAZ centroids to 24 stations, the bus’s to the nearest of 12,845 stops. The comparison between them is dominated by that difference until feeder access is modelled.</w:t>
      </w:r>
    </w:p>
    <w:p>
      <w:pPr>
        <w:pStyle w:val="ListParagraph"/>
        <w:numPr>
          <w:ilvl w:val="0"/>
          <w:numId w:val="3"/>
        </w:numPr>
        <w:spacing w:after="80"/>
      </w:pPr>
      <w:r>
        <w:rPr>
          <w:sz w:val="22"/>
          <w:szCs w:val="22"/>
          <w:rFonts w:ascii="Calibri" w:cs="Calibri" w:eastAsia="Calibri" w:hAnsi="Calibri"/>
        </w:rPr>
        <w:t xml:space="preserve">Money is out of the comparison by decision (the flat, integrated fare with a daily cap). The cost sensitivity, the LRT premium and the free LRT–Metronit transfer are assumptions, not estimates; the capture numbers move by a third across their ranges.</w:t>
      </w:r>
    </w:p>
    <w:p>
      <w:pPr>
        <w:pStyle w:val="ListParagraph"/>
        <w:numPr>
          <w:ilvl w:val="0"/>
          <w:numId w:val="3"/>
        </w:numPr>
        <w:spacing w:after="80"/>
      </w:pPr>
      <w:r>
        <w:rPr>
          <w:sz w:val="22"/>
          <w:szCs w:val="22"/>
          <w:rFonts w:ascii="Calibri" w:cs="Calibri" w:eastAsia="Calibri" w:hAnsi="Calibri"/>
        </w:rPr>
        <w:t xml:space="preserve">The 2040 / 2050 matrices are a demographic reference: margins grown from the zonal forecasts, destination choice and mode split at 2022. The capture on them (Part E) applies today’s skims unchanged.</w:t>
      </w:r>
    </w:p>
    <w:p>
      <w:pPr>
        <w:pStyle w:val="Heading1"/>
        <w:spacing w:before="360" w:after="160"/>
      </w:pPr>
      <w:r>
        <w:rPr>
          <w:rFonts w:ascii="Calibri" w:cs="Calibri" w:eastAsia="Calibri" w:hAnsi="Calibri"/>
        </w:rPr>
        <w:t xml:space="preserve">10.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LRT access. </w:t>
      </w:r>
      <w:r>
        <w:rPr>
          <w:sz w:val="22"/>
          <w:szCs w:val="22"/>
          <w:rFonts w:ascii="Calibri" w:cs="Calibri" w:eastAsia="Calibri" w:hAnsi="Calibri"/>
        </w:rPr>
        <w:t xml:space="preserve">Feeder-bus access to the stations from the GTFS, a walking network instead of the straight-line detour factor, and park-and-ride where the station plan allows. This is what the generalized-cost comparison now turns on.</w:t>
      </w:r>
    </w:p>
    <w:p>
      <w:pPr>
        <w:pStyle w:val="ListParagraph"/>
        <w:numPr>
          <w:ilvl w:val="0"/>
          <w:numId w:val="3"/>
        </w:numPr>
        <w:spacing w:after="80"/>
      </w:pPr>
      <w:r>
        <w:rPr>
          <w:b/>
          <w:bCs/>
          <w:sz w:val="22"/>
          <w:szCs w:val="22"/>
          <w:rFonts w:ascii="Calibri" w:cs="Calibri" w:eastAsia="Calibri" w:hAnsi="Calibri"/>
        </w:rPr>
        <w:t xml:space="preserve">Bus transfer paths. </w:t>
      </w:r>
      <w:r>
        <w:rPr>
          <w:sz w:val="22"/>
          <w:szCs w:val="22"/>
          <w:rFonts w:ascii="Calibri" w:cs="Calibri" w:eastAsia="Calibri" w:hAnsi="Calibri"/>
        </w:rPr>
        <w:t xml:space="preserve">The 178 area pairs without a direct service, and the wait set to the headway of the route actually used.</w:t>
      </w:r>
    </w:p>
    <w:p>
      <w:pPr>
        <w:pStyle w:val="ListParagraph"/>
        <w:numPr>
          <w:ilvl w:val="0"/>
          <w:numId w:val="3"/>
        </w:numPr>
        <w:spacing w:after="80"/>
      </w:pPr>
      <w:r>
        <w:rPr>
          <w:b/>
          <w:bCs/>
          <w:sz w:val="22"/>
          <w:szCs w:val="22"/>
          <w:rFonts w:ascii="Calibri" w:cs="Calibri" w:eastAsia="Calibri" w:hAnsi="Calibri"/>
        </w:rPr>
        <w:t xml:space="preserve">The cost sensitivity. </w:t>
      </w:r>
      <w:r>
        <w:rPr>
          <w:sz w:val="22"/>
          <w:szCs w:val="22"/>
          <w:rFonts w:ascii="Calibri" w:cs="Calibri" w:eastAsia="Calibri" w:hAnsi="Calibri"/>
        </w:rPr>
        <w:t xml:space="preserve">A segmented mode-choice estimation on the survey’s person records (car availability, purpose), or a value transferred from the national model with its source; confirm the walk / wait / transfer weights, the LRT premium and the free LRT–Metronit transfer against נוהל פר"ת.</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 a regime (underground / ground) per section of the actual LRT design.</w:t>
      </w:r>
    </w:p>
    <w:p>
      <w:pPr>
        <w:pStyle w:val="Heading1"/>
        <w:spacing w:before="360" w:after="160"/>
      </w:pPr>
      <w:r>
        <w:rPr>
          <w:rFonts w:ascii="Calibri" w:cs="Calibri" w:eastAsia="Calibri" w:hAnsi="Calibri"/>
        </w:rPr>
        <w:t xml:space="preserve">11.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lrt_calibration_redline_spacing_check.csv; lrt_station_distances_km.csv; lrt_station_times_{all_underground, all_ground}.csv (decomposed form) with _section_form and _nominal500m_form; lrt_end_to_end_summary.csv;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Output/gtfs/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bus_los_taz.csv (781 TAZs, bus and Metronit metrics, grades, BRT access); bus_direct_skim_area_v2.csv (422 area pairs, scheduled); bus_observed_skim_area_v2.csv (observed), bus_segments_observed.csv, bus_trips_observed.csv.gz; the stop and stop-time intermediates; dry_run/ (the synthetic mechanics test)</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bus_gtfs_vs_survey_summary.csv and _pairs.csv; lrt_access_taz_v2.csv, lrt_access_area_v2.csv; gc_components_area_v2_long.csv; gc_area_v2_{car, bus, brt,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 gtfs_bus_observed_vs_scheduled.png; gc_bus_gtfs_vs_survey.png; gtfs_bus_los_taz.png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revision 1.2,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solmi6embwwvl55d3dqkx.png"/><Relationship Id="rId8" Type="http://schemas.openxmlformats.org/officeDocument/2006/relationships/image" Target="media/utvqarmki-t590dpa8faa.png"/><Relationship Id="rId9" Type="http://schemas.openxmlformats.org/officeDocument/2006/relationships/image" Target="media/gr3bv5cizrceatcxi9q-m.png"/><Relationship Id="rId10" Type="http://schemas.openxmlformats.org/officeDocument/2006/relationships/image" Target="media/g1flsrsnmcnxtaewwmhzz.png"/><Relationship Id="rId11" Type="http://schemas.openxmlformats.org/officeDocument/2006/relationships/image" Target="media/tt7oa1_8qiw2ls-67zku-.png"/><Relationship Id="rId12" Type="http://schemas.openxmlformats.org/officeDocument/2006/relationships/image" Target="media/1oha2al_jgbaanwn0vs0k.png"/><Relationship Id="rId13" Type="http://schemas.openxmlformats.org/officeDocument/2006/relationships/image" Target="media/xofmhfe_ntur8ijnybkkx.png"/><Relationship Id="rId14" Type="http://schemas.openxmlformats.org/officeDocument/2006/relationships/image" Target="media/pphg4auvmoylmz3dfe7pg.png"/><Relationship Id="rId15" Type="http://schemas.openxmlformats.org/officeDocument/2006/relationships/image" Target="media/yvukatmncompvyjabaaii.png"/><Relationship Id="rId16" Type="http://schemas.openxmlformats.org/officeDocument/2006/relationships/image" Target="media/rte7cl2bzgjw3-bkpwlsw.png"/><Relationship Id="rIdFont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2026-09-22T15:53:02.057Z</dcterms:created>
  <dcterms:modified xsi:type="dcterms:W3CDTF">2026-09-22T15:53:02.061Z</dcterms:modified>
</cp:coreProperties>
</file>

<file path=docProps/custom.xml><?xml version="1.0" encoding="utf-8"?>
<Properties xmlns="http://schemas.openxmlformats.org/officeDocument/2006/custom-properties" xmlns:vt="http://schemas.openxmlformats.org/officeDocument/2006/docPropsVTypes"/>
</file>