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Executive decision summary</w:t>
      </w:r>
    </w:p>
    <w:p>
      <w:r>
        <w:t>The question. The Nofit light-rail main route (Hamifrats – Nazareth) is under construction. Should it be extended through Haifa to Tirat Carmel, and if so, run through as one line or terminate at Hamifrats? This report sizes and locates the demand for the extension, from the observed 2022 travel market grown to 2040 and 2050, and states what that evidence does and does not support.</w:t>
      </w:r>
    </w:p>
    <w:p>
      <w:r>
        <w:rPr>
          <w:b/>
        </w:rPr>
        <w:t>Reference case. 2050 BU is the principal planning year and scenario; 2040 and the high (HS) scenario illustrate growth sensitivity. The through line in the Prioritized regime (priority at the interchanges) is the reference alternative.</w:t>
      </w:r>
    </w:p>
    <w:tbl>
      <w:tblPr>
        <w:tblStyle w:val="LightGrid-Accent1"/>
        <w:tblW w:type="auto" w:w="0"/>
        <w:tblLook w:firstColumn="1" w:firstRow="1" w:lastColumn="0" w:lastRow="0" w:noHBand="0" w:noVBand="1" w:val="04A0"/>
      </w:tblPr>
      <w:tblGrid>
        <w:gridCol w:w="4986"/>
        <w:gridCol w:w="4986"/>
      </w:tblGrid>
      <w:tr>
        <w:tc>
          <w:tcPr>
            <w:tcW w:type="dxa" w:w="4986"/>
          </w:tcPr>
          <w:p>
            <w:r>
              <w:rPr>
                <w:b/>
                <w:sz w:val="16"/>
              </w:rPr>
              <w:t>Reference case 2050 BU, main route + extension, Prioritized</w:t>
            </w:r>
          </w:p>
        </w:tc>
        <w:tc>
          <w:tcPr>
            <w:tcW w:type="dxa" w:w="4986"/>
          </w:tcPr>
          <w:p>
            <w:r>
              <w:rPr>
                <w:b/>
                <w:sz w:val="16"/>
              </w:rPr>
              <w:t>value</w:t>
            </w:r>
          </w:p>
        </w:tc>
      </w:tr>
      <w:tr>
        <w:tc>
          <w:tcPr>
            <w:tcW w:type="dxa" w:w="4986"/>
          </w:tcPr>
          <w:p>
            <w:r>
              <w:rPr>
                <w:sz w:val="16"/>
              </w:rPr>
              <w:t>LRT riders on the corridor, AM 06:00–09:00 / AM peak hour</w:t>
            </w:r>
          </w:p>
        </w:tc>
        <w:tc>
          <w:tcPr>
            <w:tcW w:type="dxa" w:w="4986"/>
          </w:tcPr>
          <w:p>
            <w:r>
              <w:rPr>
                <w:sz w:val="16"/>
              </w:rPr>
              <w:t>7,433 / 4,378</w:t>
            </w:r>
          </w:p>
        </w:tc>
      </w:tr>
      <w:tr>
        <w:tc>
          <w:tcPr>
            <w:tcW w:type="dxa" w:w="4986"/>
          </w:tcPr>
          <w:p>
            <w:r>
              <w:rPr>
                <w:sz w:val="16"/>
              </w:rPr>
              <w:t>… of which use the extension (S01–S24) / travel only between extension stations</w:t>
            </w:r>
          </w:p>
        </w:tc>
        <w:tc>
          <w:tcPr>
            <w:tcW w:type="dxa" w:w="4986"/>
          </w:tcPr>
          <w:p>
            <w:r>
              <w:rPr>
                <w:sz w:val="16"/>
              </w:rPr>
              <w:t>6,003 (81 %) / 3,851</w:t>
            </w:r>
          </w:p>
        </w:tc>
      </w:tr>
      <w:tr>
        <w:tc>
          <w:tcPr>
            <w:tcW w:type="dxa" w:w="4986"/>
          </w:tcPr>
          <w:p>
            <w:r>
              <w:rPr>
                <w:sz w:val="16"/>
              </w:rPr>
              <w:t>LRT riders, PM 16:00–19:00 / PM peak hour</w:t>
            </w:r>
          </w:p>
        </w:tc>
        <w:tc>
          <w:tcPr>
            <w:tcW w:type="dxa" w:w="4986"/>
          </w:tcPr>
          <w:p>
            <w:r>
              <w:rPr>
                <w:sz w:val="16"/>
              </w:rPr>
              <w:t>6,135 / 2,934</w:t>
            </w:r>
          </w:p>
        </w:tc>
      </w:tr>
      <w:tr>
        <w:tc>
          <w:tcPr>
            <w:tcW w:type="dxa" w:w="4986"/>
          </w:tcPr>
          <w:p>
            <w:r>
              <w:rPr>
                <w:sz w:val="16"/>
              </w:rPr>
              <w:t>Through-running against terminating at Hamifrats: extension riders / total LRT riders</w:t>
            </w:r>
          </w:p>
        </w:tc>
        <w:tc>
          <w:tcPr>
            <w:tcW w:type="dxa" w:w="4986"/>
          </w:tcPr>
          <w:p>
            <w:r>
              <w:rPr>
                <w:sz w:val="16"/>
              </w:rPr>
              <w:t>6,003 vs 5,939 (+1 %) / 7,433 vs 5,939 (+25 %)</w:t>
            </w:r>
          </w:p>
        </w:tc>
      </w:tr>
      <w:tr>
        <w:tc>
          <w:tcPr>
            <w:tcW w:type="dxa" w:w="4986"/>
          </w:tcPr>
          <w:p>
            <w:r>
              <w:rPr>
                <w:sz w:val="16"/>
              </w:rPr>
              <w:t>Where the riders come from (AM 3 h)</w:t>
            </w:r>
          </w:p>
        </w:tc>
        <w:tc>
          <w:tcPr>
            <w:tcW w:type="dxa" w:w="4986"/>
          </w:tcPr>
          <w:p>
            <w:r>
              <w:rPr>
                <w:sz w:val="16"/>
              </w:rPr>
              <w:t>Metronit 3,731 (33 % of its corridor trips), bus 2,881, car 818 (0.9 % of corridor car trips)</w:t>
            </w:r>
          </w:p>
        </w:tc>
      </w:tr>
      <w:tr>
        <w:tc>
          <w:tcPr>
            <w:tcW w:type="dxa" w:w="4986"/>
          </w:tcPr>
          <w:p>
            <w:r>
              <w:rPr>
                <w:sz w:val="16"/>
              </w:rPr>
              <w:t>Peak load, AM peak hour, one direction</w:t>
            </w:r>
          </w:p>
        </w:tc>
        <w:tc>
          <w:tcPr>
            <w:tcW w:type="dxa" w:w="4986"/>
          </w:tcPr>
          <w:p>
            <w:r>
              <w:rPr>
                <w:sz w:val="16"/>
              </w:rPr>
              <w:t>1,071 at the entry into Hamifrats (S24–M02, towards Tirat Carmel); on the extension itself 1,028</w:t>
            </w:r>
          </w:p>
        </w:tc>
      </w:tr>
      <w:tr>
        <w:tc>
          <w:tcPr>
            <w:tcW w:type="dxa" w:w="4986"/>
          </w:tcPr>
          <w:p>
            <w:r>
              <w:rPr>
                <w:sz w:val="16"/>
              </w:rPr>
              <w:t>Transit share of the corridor market, before → after</w:t>
            </w:r>
          </w:p>
        </w:tc>
        <w:tc>
          <w:tcPr>
            <w:tcW w:type="dxa" w:w="4986"/>
          </w:tcPr>
          <w:p>
            <w:r>
              <w:rPr>
                <w:sz w:val="16"/>
              </w:rPr>
              <w:t>19.3 % → 20.6 %; the LRT takes 34 % of transit</w:t>
            </w:r>
          </w:p>
        </w:tc>
      </w:tr>
      <w:tr>
        <w:tc>
          <w:tcPr>
            <w:tcW w:type="dxa" w:w="4986"/>
          </w:tcPr>
          <w:p>
            <w:r>
              <w:rPr>
                <w:sz w:val="16"/>
              </w:rPr>
              <w:t>Largest markets (AM 3 h)</w:t>
            </w:r>
          </w:p>
        </w:tc>
        <w:tc>
          <w:tcPr>
            <w:tcW w:type="dxa" w:w="4986"/>
          </w:tcPr>
          <w:p>
            <w:r>
              <w:rPr>
                <w:sz w:val="16"/>
              </w:rPr>
              <w:t>Haifa internal (both ends Matam – Hamifrats) 1,663 (22 %); Tirat Carmel ↔ Haifa 2,189 (29 %); Krayot ↔ Haifa (Krayot by feeder) 1,665 (22 %); Main route (Kiryat Ata – Nazareth) ↔ Haifa 891 (12 %)</w:t>
            </w:r>
          </w:p>
        </w:tc>
      </w:tr>
      <w:tr>
        <w:tc>
          <w:tcPr>
            <w:tcW w:type="dxa" w:w="4986"/>
          </w:tcPr>
          <w:p>
            <w:r>
              <w:rPr>
                <w:sz w:val="16"/>
              </w:rPr>
              <w:t>Unprioritized extension (at grade through the interchanges)</w:t>
            </w:r>
          </w:p>
        </w:tc>
        <w:tc>
          <w:tcPr>
            <w:tcW w:type="dxa" w:w="4986"/>
          </w:tcPr>
          <w:p>
            <w:r>
              <w:rPr>
                <w:sz w:val="16"/>
              </w:rPr>
              <w:t>5,700 (-23 %)</w:t>
            </w:r>
          </w:p>
        </w:tc>
      </w:tr>
      <w:tr>
        <w:tc>
          <w:tcPr>
            <w:tcW w:type="dxa" w:w="4986"/>
          </w:tcPr>
          <w:p>
            <w:r>
              <w:rPr>
                <w:sz w:val="16"/>
              </w:rPr>
              <w:t>Slower buses in 2050 (× 1.20 in mixed traffic)</w:t>
            </w:r>
          </w:p>
        </w:tc>
        <w:tc>
          <w:tcPr>
            <w:tcW w:type="dxa" w:w="4986"/>
          </w:tcPr>
          <w:p>
            <w:r>
              <w:rPr>
                <w:sz w:val="16"/>
              </w:rPr>
              <w:t>7,804 (+5 %)</w:t>
            </w:r>
          </w:p>
        </w:tc>
      </w:tr>
    </w:tbl>
    <w:p>
      <w:r>
        <w:rPr>
          <w:b/>
        </w:rPr>
        <w:t>Planning range (AM 06:00–09:00 LRT riders, reference case). The range is the cost sensitivity λ at the ends of its carried range (0.05 / 0.02 around the central 0.03), the widest single factor of the uncertainty experiment (step 40); the LRT premium (0 / 10 minutes) gives a narrower band inside it. The regime is a design choice, not an uncertainty, and is shown separately.</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case</w:t>
            </w:r>
          </w:p>
        </w:tc>
        <w:tc>
          <w:tcPr>
            <w:tcW w:type="dxa" w:w="3324"/>
          </w:tcPr>
          <w:p>
            <w:r>
              <w:rPr>
                <w:b/>
                <w:sz w:val="16"/>
              </w:rPr>
              <w:t>LRT riders, 3 h</w:t>
            </w:r>
          </w:p>
        </w:tc>
        <w:tc>
          <w:tcPr>
            <w:tcW w:type="dxa" w:w="3324"/>
          </w:tcPr>
          <w:p>
            <w:r>
              <w:rPr>
                <w:b/>
                <w:sz w:val="16"/>
              </w:rPr>
              <w:t>LRT riders, peak hour</w:t>
            </w:r>
          </w:p>
        </w:tc>
      </w:tr>
      <w:tr>
        <w:tc>
          <w:tcPr>
            <w:tcW w:type="dxa" w:w="3324"/>
          </w:tcPr>
          <w:p>
            <w:r>
              <w:rPr>
                <w:sz w:val="16"/>
              </w:rPr>
              <w:t>Central planning case (λ 0.03, premium 5, Prioritized)</w:t>
            </w:r>
          </w:p>
        </w:tc>
        <w:tc>
          <w:tcPr>
            <w:tcW w:type="dxa" w:w="3324"/>
          </w:tcPr>
          <w:p>
            <w:r>
              <w:rPr>
                <w:sz w:val="16"/>
              </w:rPr>
              <w:t>7,433</w:t>
            </w:r>
          </w:p>
        </w:tc>
        <w:tc>
          <w:tcPr>
            <w:tcW w:type="dxa" w:w="3324"/>
          </w:tcPr>
          <w:p>
            <w:r>
              <w:rPr>
                <w:sz w:val="16"/>
              </w:rPr>
              <w:t>4,378</w:t>
            </w:r>
          </w:p>
        </w:tc>
      </w:tr>
      <w:tr>
        <w:tc>
          <w:tcPr>
            <w:tcW w:type="dxa" w:w="3324"/>
          </w:tcPr>
          <w:p>
            <w:r>
              <w:rPr>
                <w:sz w:val="16"/>
              </w:rPr>
              <w:t>Plausible lower case (λ 0.05: travellers least sensitive to cost)</w:t>
            </w:r>
          </w:p>
        </w:tc>
        <w:tc>
          <w:tcPr>
            <w:tcW w:type="dxa" w:w="3324"/>
          </w:tcPr>
          <w:p>
            <w:r>
              <w:rPr>
                <w:sz w:val="16"/>
              </w:rPr>
              <w:t>5,532</w:t>
            </w:r>
          </w:p>
        </w:tc>
        <w:tc>
          <w:tcPr>
            <w:tcW w:type="dxa" w:w="3324"/>
          </w:tcPr>
          <w:p>
            <w:r>
              <w:rPr>
                <w:sz w:val="16"/>
              </w:rPr>
              <w:t>3,258</w:t>
            </w:r>
          </w:p>
        </w:tc>
      </w:tr>
      <w:tr>
        <w:tc>
          <w:tcPr>
            <w:tcW w:type="dxa" w:w="3324"/>
          </w:tcPr>
          <w:p>
            <w:r>
              <w:rPr>
                <w:sz w:val="16"/>
              </w:rPr>
              <w:t>Plausible upper case (λ 0.02: most sensitive)</w:t>
            </w:r>
          </w:p>
        </w:tc>
        <w:tc>
          <w:tcPr>
            <w:tcW w:type="dxa" w:w="3324"/>
          </w:tcPr>
          <w:p>
            <w:r>
              <w:rPr>
                <w:sz w:val="16"/>
              </w:rPr>
              <w:t>10,537</w:t>
            </w:r>
          </w:p>
        </w:tc>
        <w:tc>
          <w:tcPr>
            <w:tcW w:type="dxa" w:w="3324"/>
          </w:tcPr>
          <w:p>
            <w:r>
              <w:rPr>
                <w:sz w:val="16"/>
              </w:rPr>
              <w:t>6,207</w:t>
            </w:r>
          </w:p>
        </w:tc>
      </w:tr>
      <w:tr>
        <w:tc>
          <w:tcPr>
            <w:tcW w:type="dxa" w:w="3324"/>
          </w:tcPr>
          <w:p>
            <w:r>
              <w:rPr>
                <w:sz w:val="16"/>
              </w:rPr>
              <w:t>Design choice: Unprioritized extension, central λ</w:t>
            </w:r>
          </w:p>
        </w:tc>
        <w:tc>
          <w:tcPr>
            <w:tcW w:type="dxa" w:w="3324"/>
          </w:tcPr>
          <w:p>
            <w:r>
              <w:rPr>
                <w:sz w:val="16"/>
              </w:rPr>
              <w:t>5,700</w:t>
            </w:r>
          </w:p>
        </w:tc>
        <w:tc>
          <w:tcPr>
            <w:tcW w:type="dxa" w:w="3324"/>
          </w:tcPr>
          <w:p>
            <w:r>
              <w:rPr>
                <w:sz w:val="16"/>
              </w:rPr>
              <w:t>3,357</w:t>
            </w:r>
          </w:p>
        </w:tc>
      </w:tr>
    </w:tbl>
    <w:p>
      <w:r>
        <w:rPr>
          <w:b/>
        </w:rPr>
        <w:t>What the demand evidence supports:</w:t>
      </w:r>
    </w:p>
    <w:p>
      <w:pPr>
        <w:pStyle w:val="ListBullet"/>
      </w:pPr>
      <w:r>
        <w:t>An extension market of the order of 4,000–9,000 AM three-hour riders in 2050 BU, located on the Carmel coast and the lower city, with Tirat Carmel ↔ Haifa, Haifa internal and the Krayot feeder market as its three legs.</w:t>
      </w:r>
    </w:p>
    <w:p>
      <w:pPr>
        <w:pStyle w:val="ListBullet"/>
      </w:pPr>
      <w:r>
        <w:t>That the extension's riders do not depend on through-running: 6,003 on the through line against 5,939 if it terminates at Hamifrats. Through-running's benefit is the transfer it spares the 2,849 trips (38 %) that cross Hamifrats, which today ride the Metronit through; the +25 % on the line is the main route's own market, carried either way.</w:t>
      </w:r>
    </w:p>
    <w:p>
      <w:pPr>
        <w:pStyle w:val="ListBullet"/>
      </w:pPr>
      <w:r>
        <w:t>Priority at the interchanges: the at-grade regime loses about a quarter of the riders, mostly on the extension, a larger effect than the growth between 2040 and 2050.</w:t>
      </w:r>
    </w:p>
    <w:p>
      <w:pPr>
        <w:pStyle w:val="ListBullet"/>
      </w:pPr>
      <w:r>
        <w:t>A peak load in the low thousands per hour and direction at the Hamifrats entry, which is a light-rail scale of demand, not a metro one.</w:t>
      </w:r>
    </w:p>
    <w:p>
      <w:pPr>
        <w:pStyle w:val="ListBullet"/>
      </w:pPr>
      <w:r>
        <w:t>The ranking of these alternatives and regimes, and the order of magnitude of the draw from the Metronit, the bus and the car.</w:t>
      </w:r>
    </w:p>
    <w:p>
      <w:r>
        <w:rPr>
          <w:b/>
        </w:rPr>
        <w:t>What it does not support:</w:t>
      </w:r>
    </w:p>
    <w:p>
      <w:pPr>
        <w:pStyle w:val="ListBullet"/>
      </w:pPr>
      <w:r>
        <w:t>A ridership forecast for appraisal, fleet or frequency decisions: the loads are unconstrained potential movements on a service plan that keeps every bus and Metronit line as it runs today, from a base validated at corridor level but not at link level, with the cost sensitivity bounded by a range rather than estimated for the car-owning riders the line must win.</w:t>
      </w:r>
    </w:p>
    <w:p>
      <w:pPr>
        <w:pStyle w:val="ListBullet"/>
      </w:pPr>
      <w:r>
        <w:t>Any statement about the car in 2040 / 2050: the car-to-LRT shift is an order of magnitude and does not respond to road conditions in this model.</w:t>
      </w:r>
    </w:p>
    <w:p>
      <w:pPr>
        <w:pStyle w:val="ListBullet"/>
      </w:pPr>
      <w:r>
        <w:t>A new-market claim: most LRT riders are today's Metronit and bus riders on a faster vehicle; the net addition to transit is the car shift, a few hundred to a thousand trips in three hours.</w:t>
      </w:r>
    </w:p>
    <w:p>
      <w:pPr>
        <w:pStyle w:val="ListBullet"/>
      </w:pPr>
      <w:r>
        <w:t>Station-level or TAZ-level numbers as such, or anything about the main route's own operation, which is assumed.</w:t>
      </w:r>
    </w:p>
    <w:p>
      <w:r>
        <w:br w:type="page"/>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Level of service held at May 2026 in every scenario-year. The 2040 / 2050 runs use today's car and bus times while the corridor demand grows by 30–60 %: the regional model's future network is not available, and degrading today's network with tomorrow's demand while leaving out every planned road and transit scheme would be the worse assumption. What slower buses would do is tested in section 4.9 (+2 % of LRT trips in 2040, +4–5 % in 2050); a slower car cannot register in the pivot at all (see below).</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2"/>
      </w:pPr>
      <w:r>
        <w:t>2.4 The generalized cost, in plain terms</w:t>
      </w:r>
    </w:p>
    <w:p>
      <w:r>
        <w:t>The generalized cost is "how long the trip feels", in minutes. Standing at a stop, walking to it and changing vehicles are more irksome than sitting in a moving vehicle, so those minutes count more than once. The result is one number per trip that puts a bus trip, a Metronit trip, an LRT trip and a car trip on the same scale:</w:t>
      </w:r>
    </w:p>
    <w:p>
      <w:r>
        <w:t>GC = in-vehicle time + 2 × walking time + 2 × waiting time + 8 min per transfer (4 min between Metronit and LRT) − LRT premium (5 min over a bus path, 2.5 over a Metronit path)</w:t>
      </w:r>
    </w:p>
    <w:p>
      <w:r>
        <w:t>Waiting is half the headway, capped at 10 minutes. Walking is at 4 km/h on the straight line × 1.3 for the street detour. The transfer penalty is a flat charge for the uncertainty and the hassle of changing vehicles, on top of the actual time; the first boarding is not a transfer. The LRT premium reflects the preference for rail-like vehicles over buses found in the calibrated Israeli models. The car is the drive time on the measured speeds plus 3 minutes for parking and the walk at the ends. Money is out of every mode by decision: the fare is flat and integrated, and no parking-cost data exist for the area.</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6"/>
              </w:rPr>
              <w:t>component (example: Kiryat Haim → Bat Galim)</w:t>
            </w:r>
          </w:p>
        </w:tc>
        <w:tc>
          <w:tcPr>
            <w:tcW w:type="dxa" w:w="3324"/>
          </w:tcPr>
          <w:p>
            <w:r>
              <w:rPr>
                <w:b/>
                <w:sz w:val="16"/>
              </w:rPr>
              <w:t>by bus</w:t>
            </w:r>
          </w:p>
        </w:tc>
        <w:tc>
          <w:tcPr>
            <w:tcW w:type="dxa" w:w="3324"/>
          </w:tcPr>
          <w:p>
            <w:r>
              <w:rPr>
                <w:b/>
                <w:sz w:val="16"/>
              </w:rPr>
              <w:t>by LRT</w:t>
            </w:r>
          </w:p>
        </w:tc>
      </w:tr>
      <w:tr>
        <w:tc>
          <w:tcPr>
            <w:tcW w:type="dxa" w:w="3324"/>
          </w:tcPr>
          <w:p>
            <w:r>
              <w:rPr>
                <w:sz w:val="16"/>
              </w:rPr>
              <w:t>walk to the stop / station</w:t>
            </w:r>
          </w:p>
        </w:tc>
        <w:tc>
          <w:tcPr>
            <w:tcW w:type="dxa" w:w="3324"/>
          </w:tcPr>
          <w:p>
            <w:r>
              <w:rPr>
                <w:sz w:val="16"/>
              </w:rPr>
              <w:t>6 min × 2 = 12</w:t>
            </w:r>
          </w:p>
        </w:tc>
        <w:tc>
          <w:tcPr>
            <w:tcW w:type="dxa" w:w="3324"/>
          </w:tcPr>
          <w:p>
            <w:r>
              <w:rPr>
                <w:sz w:val="16"/>
              </w:rPr>
              <w:t>9 min × 2 = 18</w:t>
            </w:r>
          </w:p>
        </w:tc>
      </w:tr>
      <w:tr>
        <w:tc>
          <w:tcPr>
            <w:tcW w:type="dxa" w:w="3324"/>
          </w:tcPr>
          <w:p>
            <w:r>
              <w:rPr>
                <w:sz w:val="16"/>
              </w:rPr>
              <w:t>wait: 10-min headway → 5 / 5-min headway → 2.5</w:t>
            </w:r>
          </w:p>
        </w:tc>
        <w:tc>
          <w:tcPr>
            <w:tcW w:type="dxa" w:w="3324"/>
          </w:tcPr>
          <w:p>
            <w:r>
              <w:rPr>
                <w:sz w:val="16"/>
              </w:rPr>
              <w:t>5 × 2 = 10</w:t>
            </w:r>
          </w:p>
        </w:tc>
        <w:tc>
          <w:tcPr>
            <w:tcW w:type="dxa" w:w="3324"/>
          </w:tcPr>
          <w:p>
            <w:r>
              <w:rPr>
                <w:sz w:val="16"/>
              </w:rPr>
              <w:t>2.5 × 2 = 5</w:t>
            </w:r>
          </w:p>
        </w:tc>
      </w:tr>
      <w:tr>
        <w:tc>
          <w:tcPr>
            <w:tcW w:type="dxa" w:w="3324"/>
          </w:tcPr>
          <w:p>
            <w:r>
              <w:rPr>
                <w:sz w:val="16"/>
              </w:rPr>
              <w:t>in-vehicle time</w:t>
            </w:r>
          </w:p>
        </w:tc>
        <w:tc>
          <w:tcPr>
            <w:tcW w:type="dxa" w:w="3324"/>
          </w:tcPr>
          <w:p>
            <w:r>
              <w:rPr>
                <w:sz w:val="16"/>
              </w:rPr>
              <w:t>28</w:t>
            </w:r>
          </w:p>
        </w:tc>
        <w:tc>
          <w:tcPr>
            <w:tcW w:type="dxa" w:w="3324"/>
          </w:tcPr>
          <w:p>
            <w:r>
              <w:rPr>
                <w:sz w:val="16"/>
              </w:rPr>
              <w:t>20</w:t>
            </w:r>
          </w:p>
        </w:tc>
      </w:tr>
      <w:tr>
        <w:tc>
          <w:tcPr>
            <w:tcW w:type="dxa" w:w="3324"/>
          </w:tcPr>
          <w:p>
            <w:r>
              <w:rPr>
                <w:sz w:val="16"/>
              </w:rPr>
              <w:t>transfers</w:t>
            </w:r>
          </w:p>
        </w:tc>
        <w:tc>
          <w:tcPr>
            <w:tcW w:type="dxa" w:w="3324"/>
          </w:tcPr>
          <w:p>
            <w:r>
              <w:rPr>
                <w:sz w:val="16"/>
              </w:rPr>
              <w:t>0</w:t>
            </w:r>
          </w:p>
        </w:tc>
        <w:tc>
          <w:tcPr>
            <w:tcW w:type="dxa" w:w="3324"/>
          </w:tcPr>
          <w:p>
            <w:r>
              <w:rPr>
                <w:sz w:val="16"/>
              </w:rPr>
              <w:t>0</w:t>
            </w:r>
          </w:p>
        </w:tc>
      </w:tr>
      <w:tr>
        <w:tc>
          <w:tcPr>
            <w:tcW w:type="dxa" w:w="3324"/>
          </w:tcPr>
          <w:p>
            <w:r>
              <w:rPr>
                <w:sz w:val="16"/>
              </w:rPr>
              <w:t>walk at the end</w:t>
            </w:r>
          </w:p>
        </w:tc>
        <w:tc>
          <w:tcPr>
            <w:tcW w:type="dxa" w:w="3324"/>
          </w:tcPr>
          <w:p>
            <w:r>
              <w:rPr>
                <w:sz w:val="16"/>
              </w:rPr>
              <w:t>4 min × 2 = 8</w:t>
            </w:r>
          </w:p>
        </w:tc>
        <w:tc>
          <w:tcPr>
            <w:tcW w:type="dxa" w:w="3324"/>
          </w:tcPr>
          <w:p>
            <w:r>
              <w:rPr>
                <w:sz w:val="16"/>
              </w:rPr>
              <w:t>5 min × 2 = 10</w:t>
            </w:r>
          </w:p>
        </w:tc>
      </w:tr>
      <w:tr>
        <w:tc>
          <w:tcPr>
            <w:tcW w:type="dxa" w:w="3324"/>
          </w:tcPr>
          <w:p>
            <w:r>
              <w:rPr>
                <w:sz w:val="16"/>
              </w:rPr>
              <w:t>LRT premium</w:t>
            </w:r>
          </w:p>
        </w:tc>
        <w:tc>
          <w:tcPr>
            <w:tcW w:type="dxa" w:w="3324"/>
          </w:tcPr>
          <w:p>
            <w:r>
              <w:rPr>
                <w:sz w:val="16"/>
              </w:rPr>
              <w:t>0</w:t>
            </w:r>
          </w:p>
        </w:tc>
        <w:tc>
          <w:tcPr>
            <w:tcW w:type="dxa" w:w="3324"/>
          </w:tcPr>
          <w:p>
            <w:r>
              <w:rPr>
                <w:sz w:val="16"/>
              </w:rPr>
              <w:t>−5</w:t>
            </w:r>
          </w:p>
        </w:tc>
      </w:tr>
      <w:tr>
        <w:tc>
          <w:tcPr>
            <w:tcW w:type="dxa" w:w="3324"/>
          </w:tcPr>
          <w:p>
            <w:r>
              <w:rPr>
                <w:sz w:val="16"/>
              </w:rPr>
              <w:t>generalized cost</w:t>
            </w:r>
          </w:p>
        </w:tc>
        <w:tc>
          <w:tcPr>
            <w:tcW w:type="dxa" w:w="3324"/>
          </w:tcPr>
          <w:p>
            <w:r>
              <w:rPr>
                <w:sz w:val="16"/>
              </w:rPr>
              <w:t>58</w:t>
            </w:r>
          </w:p>
        </w:tc>
        <w:tc>
          <w:tcPr>
            <w:tcW w:type="dxa" w:w="3324"/>
          </w:tcPr>
          <w:p>
            <w:r>
              <w:rPr>
                <w:sz w:val="16"/>
              </w:rPr>
              <w:t>48</w:t>
            </w:r>
          </w:p>
        </w:tc>
      </w:tr>
    </w:tbl>
    <w:p>
      <w:r>
        <w:rPr>
          <w:sz w:val="16"/>
        </w:rPr>
        <w:t>Table 2.2 — A worked example. The LRT trip is ten felt minutes cheaper although its walking is longer, because it is faster and comes more often.</w:t>
      </w:r>
    </w:p>
    <w:p>
      <w:r>
        <w:t>The model never uses the cost alone; it uses the difference between two options and a sensitivity λ that turns felt minutes into a probability. Within the transit nest (λ_T = 0.06 per generalized minute) a ten-minute advantage gives the LRT about 65 % of a pair's transit riders, twenty minutes about 77 %, equal cost 50 %. The shift from the car works on the improvement of the whole transit bundle with λ = 0.03, half as sensitive, and starts from the pair's observed 2022 transit share: where the car is dominant that share is small and the shift is small. The car's own cost never enters the pivot, only the observed balance it produced in 2022 (caveat 25); a car that worsens by 2040 would therefore have to be modelled as a change of the no-build shares first (handover item D-11).</w:t>
      </w:r>
    </w:p>
    <w:p>
      <w:r>
        <w:t>Three things follow for reading the results. The weights are assumptions from the literature and the calibrated models, not estimates on this corridor (the out-of-vehicle research memo lists the alternatives and the chain was rerun on seven sets). At TAZ level the bus cost on the trunk is about 45 felt minutes, not the 30 an area-level skim suggested, because an area skim pools every line's headway and the nearest stop's walk, which no single traveller gets (caveat 26). And the LRT's remaining disadvantage against the Metronit on the trunk is station access and the feeder transfer, not the ride, so anything that shortens the walk or removes a transfer moves the capture more than a faster vehicle does.</w:t>
      </w:r>
    </w:p>
    <w:p>
      <w:pPr>
        <w:pStyle w:val="Heading2"/>
      </w:pPr>
      <w:r>
        <w:t>2.5 The cost sensitivity λ: what it is, why it is needed, how it was estimated</w:t>
      </w:r>
    </w:p>
    <w:p>
      <w:r>
        <w:t>What it is. λ is the number that turns a difference in felt minutes into a difference in choices. In the logit model the odds of choosing transit over the car change by a factor exp(−λ × ΔGC) when the transit cost changes by ΔGC generalized minutes. With λ = 0.03 one generalized minute moves the odds by 3 %, ten minutes by about 35 %; with λ_T = 0.06 inside the transit nest, ten minutes of advantage give the LRT about 65 % of a pair's transit riders. A large λ means travellers react strongly to small cost differences; a small λ means habit, availability and things outside the cost dominate.</w:t>
      </w:r>
    </w:p>
    <w:p>
      <w:r>
        <w:t>Why it is needed. The whole capture rests on it. The LRT's advantage over the bus on a pair is a cost difference in felt minutes; λ_T decides how many of that pair's transit riders move, and λ how many car trips the improved transit bundle attracts. Halving λ roughly halves the car shift and raises the LRT's share of transit towards an even split; doubling it does the reverse. The λ range alone spans −25 % to +40 % of the 2022 capture (step 40), more than the regime or the premium.</w:t>
      </w:r>
    </w:p>
    <w:p>
      <w:r>
        <w:t>Why it could not be read off the matrices. The obvious estimate, a logit of each area pair's 2022 transit share on the bus-minus-car cost difference (597 pairs, 70,000 trips), returns λ with the wrong sign (−0.010) and no fit; with constants per distance band, +0.008 and still nothing. The reason is composition: the pairs with cheap transit are the pairs whose residents own few cars, so the share is driven by who lives there, not by the minutes. A pair-level fit cannot separate the two.</w:t>
      </w:r>
    </w:p>
    <w:p>
      <w:r>
        <w:t>How it was estimated (step 33). At the person level, on the survey's AM trips within the 25 corridor areas (2,310 trips, 543 households), a binary logit of car against transit with the cost difference ΔGC as the explanatory variable and car availability (no car in the household, no licence, more licences than cars, a car available), purpose, age, gender, sector, student status and a distance band held constant. Weighted by the survey's expansion weights, standard errors clustered by household. Holding car availability constant is what makes λ identifiable: within a group of people with the same access to a car, those facing a smaller transit cost choose transit more often.</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model (step 33, survey car skim)</w:t>
            </w:r>
          </w:p>
        </w:tc>
        <w:tc>
          <w:tcPr>
            <w:tcW w:type="dxa" w:w="1662"/>
          </w:tcPr>
          <w:p>
            <w:r>
              <w:rPr>
                <w:b/>
                <w:sz w:val="14"/>
              </w:rPr>
              <w:t>λ per generalized minute</w:t>
            </w:r>
          </w:p>
        </w:tc>
        <w:tc>
          <w:tcPr>
            <w:tcW w:type="dxa" w:w="1662"/>
          </w:tcPr>
          <w:p>
            <w:r>
              <w:rPr>
                <w:b/>
                <w:sz w:val="14"/>
              </w:rPr>
              <w:t>95 % low</w:t>
            </w:r>
          </w:p>
        </w:tc>
        <w:tc>
          <w:tcPr>
            <w:tcW w:type="dxa" w:w="1662"/>
          </w:tcPr>
          <w:p>
            <w:r>
              <w:rPr>
                <w:b/>
                <w:sz w:val="14"/>
              </w:rPr>
              <w:t>95 % high</w:t>
            </w:r>
          </w:p>
        </w:tc>
        <w:tc>
          <w:tcPr>
            <w:tcW w:type="dxa" w:w="1662"/>
          </w:tcPr>
          <w:p>
            <w:r>
              <w:rPr>
                <w:b/>
                <w:sz w:val="14"/>
              </w:rPr>
              <w:t>trips</w:t>
            </w:r>
          </w:p>
        </w:tc>
        <w:tc>
          <w:tcPr>
            <w:tcW w:type="dxa" w:w="1662"/>
          </w:tcPr>
          <w:p>
            <w:r>
              <w:rPr>
                <w:b/>
                <w:sz w:val="14"/>
              </w:rPr>
              <w:t>households</w:t>
            </w:r>
          </w:p>
        </w:tc>
      </w:tr>
      <w:tr>
        <w:tc>
          <w:tcPr>
            <w:tcW w:type="dxa" w:w="1662"/>
          </w:tcPr>
          <w:p>
            <w:r>
              <w:rPr>
                <w:sz w:val="14"/>
              </w:rPr>
              <w:t>M1: dGC + car availability, purpose, person, distance band</w:t>
            </w:r>
          </w:p>
        </w:tc>
        <w:tc>
          <w:tcPr>
            <w:tcW w:type="dxa" w:w="1662"/>
          </w:tcPr>
          <w:p>
            <w:r>
              <w:rPr>
                <w:sz w:val="14"/>
              </w:rPr>
              <w:t>0.035</w:t>
            </w:r>
          </w:p>
        </w:tc>
        <w:tc>
          <w:tcPr>
            <w:tcW w:type="dxa" w:w="1662"/>
          </w:tcPr>
          <w:p>
            <w:r>
              <w:rPr>
                <w:sz w:val="14"/>
              </w:rPr>
              <w:t>0.002</w:t>
            </w:r>
          </w:p>
        </w:tc>
        <w:tc>
          <w:tcPr>
            <w:tcW w:type="dxa" w:w="1662"/>
          </w:tcPr>
          <w:p>
            <w:r>
              <w:rPr>
                <w:sz w:val="14"/>
              </w:rPr>
              <w:t>0.068</w:t>
            </w:r>
          </w:p>
        </w:tc>
        <w:tc>
          <w:tcPr>
            <w:tcW w:type="dxa" w:w="1662"/>
          </w:tcPr>
          <w:p>
            <w:r>
              <w:rPr>
                <w:sz w:val="14"/>
              </w:rPr>
              <w:t>2,310</w:t>
            </w:r>
          </w:p>
        </w:tc>
        <w:tc>
          <w:tcPr>
            <w:tcW w:type="dxa" w:w="1662"/>
          </w:tcPr>
          <w:p>
            <w:r>
              <w:rPr>
                <w:sz w:val="14"/>
              </w:rPr>
              <w:t>543</w:t>
            </w:r>
          </w:p>
        </w:tc>
      </w:tr>
      <w:tr>
        <w:tc>
          <w:tcPr>
            <w:tcW w:type="dxa" w:w="1662"/>
          </w:tcPr>
          <w:p>
            <w:r>
              <w:rPr>
                <w:sz w:val="14"/>
              </w:rPr>
              <w:t>M1b: M1 with the cheaper of bus and Metronit</w:t>
            </w:r>
          </w:p>
        </w:tc>
        <w:tc>
          <w:tcPr>
            <w:tcW w:type="dxa" w:w="1662"/>
          </w:tcPr>
          <w:p>
            <w:r>
              <w:rPr>
                <w:sz w:val="14"/>
              </w:rPr>
              <w:t>0.041</w:t>
            </w:r>
          </w:p>
        </w:tc>
        <w:tc>
          <w:tcPr>
            <w:tcW w:type="dxa" w:w="1662"/>
          </w:tcPr>
          <w:p>
            <w:r>
              <w:rPr>
                <w:sz w:val="14"/>
              </w:rPr>
              <w:t>0.010</w:t>
            </w:r>
          </w:p>
        </w:tc>
        <w:tc>
          <w:tcPr>
            <w:tcW w:type="dxa" w:w="1662"/>
          </w:tcPr>
          <w:p>
            <w:r>
              <w:rPr>
                <w:sz w:val="14"/>
              </w:rPr>
              <w:t>0.071</w:t>
            </w:r>
          </w:p>
        </w:tc>
        <w:tc>
          <w:tcPr>
            <w:tcW w:type="dxa" w:w="1662"/>
          </w:tcPr>
          <w:p>
            <w:r>
              <w:rPr>
                <w:sz w:val="14"/>
              </w:rPr>
              <w:t>2,310</w:t>
            </w:r>
          </w:p>
        </w:tc>
        <w:tc>
          <w:tcPr>
            <w:tcW w:type="dxa" w:w="1662"/>
          </w:tcPr>
          <w:p>
            <w:r>
              <w:rPr>
                <w:sz w:val="14"/>
              </w:rPr>
              <w:t>543</w:t>
            </w:r>
          </w:p>
        </w:tc>
      </w:tr>
      <w:tr>
        <w:tc>
          <w:tcPr>
            <w:tcW w:type="dxa" w:w="1662"/>
          </w:tcPr>
          <w:p>
            <w:r>
              <w:rPr>
                <w:sz w:val="14"/>
              </w:rPr>
              <w:t>M3: M1 + origin and destination area fixed effects</w:t>
            </w:r>
          </w:p>
        </w:tc>
        <w:tc>
          <w:tcPr>
            <w:tcW w:type="dxa" w:w="1662"/>
          </w:tcPr>
          <w:p>
            <w:r>
              <w:rPr>
                <w:sz w:val="14"/>
              </w:rPr>
              <w:t>0.053</w:t>
            </w:r>
          </w:p>
        </w:tc>
        <w:tc>
          <w:tcPr>
            <w:tcW w:type="dxa" w:w="1662"/>
          </w:tcPr>
          <w:p>
            <w:r>
              <w:rPr>
                <w:sz w:val="14"/>
              </w:rPr>
              <w:t>0.012</w:t>
            </w:r>
          </w:p>
        </w:tc>
        <w:tc>
          <w:tcPr>
            <w:tcW w:type="dxa" w:w="1662"/>
          </w:tcPr>
          <w:p>
            <w:r>
              <w:rPr>
                <w:sz w:val="14"/>
              </w:rPr>
              <w:t>0.093</w:t>
            </w:r>
          </w:p>
        </w:tc>
        <w:tc>
          <w:tcPr>
            <w:tcW w:type="dxa" w:w="1662"/>
          </w:tcPr>
          <w:p>
            <w:r>
              <w:rPr>
                <w:sz w:val="14"/>
              </w:rPr>
              <w:t>2,310</w:t>
            </w:r>
          </w:p>
        </w:tc>
        <w:tc>
          <w:tcPr>
            <w:tcW w:type="dxa" w:w="1662"/>
          </w:tcPr>
          <w:p>
            <w:r>
              <w:rPr>
                <w:sz w:val="14"/>
              </w:rPr>
              <w:t>543</w:t>
            </w:r>
          </w:p>
        </w:tc>
      </w:tr>
      <w:tr>
        <w:tc>
          <w:tcPr>
            <w:tcW w:type="dxa" w:w="1662"/>
          </w:tcPr>
          <w:p>
            <w:r>
              <w:rPr>
                <w:sz w:val="14"/>
              </w:rPr>
              <w:t>M4: licence holders in car-owning households only (the segment the LRT would draw from the car)</w:t>
            </w:r>
          </w:p>
        </w:tc>
        <w:tc>
          <w:tcPr>
            <w:tcW w:type="dxa" w:w="1662"/>
          </w:tcPr>
          <w:p>
            <w:r>
              <w:rPr>
                <w:sz w:val="14"/>
              </w:rPr>
              <w:t>0.008</w:t>
            </w:r>
          </w:p>
        </w:tc>
        <w:tc>
          <w:tcPr>
            <w:tcW w:type="dxa" w:w="1662"/>
          </w:tcPr>
          <w:p>
            <w:r>
              <w:rPr>
                <w:sz w:val="14"/>
              </w:rPr>
              <w:t>-0.025</w:t>
            </w:r>
          </w:p>
        </w:tc>
        <w:tc>
          <w:tcPr>
            <w:tcW w:type="dxa" w:w="1662"/>
          </w:tcPr>
          <w:p>
            <w:r>
              <w:rPr>
                <w:sz w:val="14"/>
              </w:rPr>
              <w:t>0.041</w:t>
            </w:r>
          </w:p>
        </w:tc>
        <w:tc>
          <w:tcPr>
            <w:tcW w:type="dxa" w:w="1662"/>
          </w:tcPr>
          <w:p>
            <w:r>
              <w:rPr>
                <w:sz w:val="14"/>
              </w:rPr>
              <w:t>1,443</w:t>
            </w:r>
          </w:p>
        </w:tc>
        <w:tc>
          <w:tcPr>
            <w:tcW w:type="dxa" w:w="1662"/>
          </w:tcPr>
          <w:p>
            <w:r>
              <w:rPr>
                <w:sz w:val="14"/>
              </w:rPr>
              <w:t>424</w:t>
            </w:r>
          </w:p>
        </w:tc>
      </w:tr>
      <w:tr>
        <w:tc>
          <w:tcPr>
            <w:tcW w:type="dxa" w:w="1662"/>
          </w:tcPr>
          <w:p>
            <w:r>
              <w:rPr>
                <w:sz w:val="14"/>
              </w:rPr>
              <w:t>M1u: M1 unweighted</w:t>
            </w:r>
          </w:p>
        </w:tc>
        <w:tc>
          <w:tcPr>
            <w:tcW w:type="dxa" w:w="1662"/>
          </w:tcPr>
          <w:p>
            <w:r>
              <w:rPr>
                <w:sz w:val="14"/>
              </w:rPr>
              <w:t>0.042</w:t>
            </w:r>
          </w:p>
        </w:tc>
        <w:tc>
          <w:tcPr>
            <w:tcW w:type="dxa" w:w="1662"/>
          </w:tcPr>
          <w:p>
            <w:r>
              <w:rPr>
                <w:sz w:val="14"/>
              </w:rPr>
              <w:t>0.018</w:t>
            </w:r>
          </w:p>
        </w:tc>
        <w:tc>
          <w:tcPr>
            <w:tcW w:type="dxa" w:w="1662"/>
          </w:tcPr>
          <w:p>
            <w:r>
              <w:rPr>
                <w:sz w:val="14"/>
              </w:rPr>
              <w:t>0.066</w:t>
            </w:r>
          </w:p>
        </w:tc>
        <w:tc>
          <w:tcPr>
            <w:tcW w:type="dxa" w:w="1662"/>
          </w:tcPr>
          <w:p>
            <w:r>
              <w:rPr>
                <w:sz w:val="14"/>
              </w:rPr>
              <w:t>2,310</w:t>
            </w:r>
          </w:p>
        </w:tc>
        <w:tc>
          <w:tcPr>
            <w:tcW w:type="dxa" w:w="1662"/>
          </w:tcPr>
          <w:p>
            <w:r>
              <w:rPr>
                <w:sz w:val="14"/>
              </w:rPr>
              <w:t>543</w:t>
            </w:r>
          </w:p>
        </w:tc>
      </w:tr>
      <w:tr>
        <w:tc>
          <w:tcPr>
            <w:tcW w:type="dxa" w:w="1662"/>
          </w:tcPr>
          <w:p>
            <w:r>
              <w:rPr>
                <w:sz w:val="14"/>
              </w:rPr>
              <w:t>M1 on the May 2026 car network skim (step 37)</w:t>
            </w:r>
          </w:p>
        </w:tc>
        <w:tc>
          <w:tcPr>
            <w:tcW w:type="dxa" w:w="1662"/>
          </w:tcPr>
          <w:p>
            <w:r>
              <w:rPr>
                <w:sz w:val="14"/>
              </w:rPr>
              <w:t>0.040</w:t>
            </w:r>
          </w:p>
        </w:tc>
        <w:tc>
          <w:tcPr>
            <w:tcW w:type="dxa" w:w="1662"/>
          </w:tcPr>
          <w:p>
            <w:r>
              <w:rPr>
                <w:sz w:val="14"/>
              </w:rPr>
              <w:t>0.008</w:t>
            </w:r>
          </w:p>
        </w:tc>
        <w:tc>
          <w:tcPr>
            <w:tcW w:type="dxa" w:w="1662"/>
          </w:tcPr>
          <w:p>
            <w:r>
              <w:rPr>
                <w:sz w:val="14"/>
              </w:rPr>
              <w:t>0.073</w:t>
            </w:r>
          </w:p>
        </w:tc>
        <w:tc>
          <w:tcPr>
            <w:tcW w:type="dxa" w:w="1662"/>
          </w:tcPr>
          <w:p>
            <w:r>
              <w:rPr>
                <w:sz w:val="14"/>
              </w:rPr>
              <w:t>2,310</w:t>
            </w:r>
          </w:p>
        </w:tc>
        <w:tc>
          <w:tcPr>
            <w:tcW w:type="dxa" w:w="1662"/>
          </w:tcPr>
          <w:p>
            <w:r>
              <w:rPr>
                <w:sz w:val="14"/>
              </w:rPr>
              <w:t>543</w:t>
            </w:r>
          </w:p>
        </w:tc>
      </w:tr>
      <w:tr>
        <w:tc>
          <w:tcPr>
            <w:tcW w:type="dxa" w:w="1662"/>
          </w:tcPr>
          <w:p>
            <w:r>
              <w:rPr>
                <w:sz w:val="14"/>
              </w:rPr>
              <w:t>assumed in the chain (step 31): λ, range 0.02–0.05; λ_T = 2λ = 0.06</w:t>
            </w:r>
          </w:p>
        </w:tc>
        <w:tc>
          <w:tcPr>
            <w:tcW w:type="dxa" w:w="1662"/>
          </w:tcPr>
          <w:p>
            <w:r>
              <w:rPr>
                <w:sz w:val="14"/>
              </w:rPr>
              <w:t>0.030</w:t>
            </w:r>
          </w:p>
        </w:tc>
        <w:tc>
          <w:tcPr>
            <w:tcW w:type="dxa" w:w="1662"/>
          </w:tcPr>
          <w:p>
            <w:r>
              <w:rPr>
                <w:sz w:val="14"/>
              </w:rPr>
              <w:t>0.020</w:t>
            </w:r>
          </w:p>
        </w:tc>
        <w:tc>
          <w:tcPr>
            <w:tcW w:type="dxa" w:w="1662"/>
          </w:tcPr>
          <w:p>
            <w:r>
              <w:rPr>
                <w:sz w:val="14"/>
              </w:rPr>
              <w:t>0.050</w:t>
            </w:r>
          </w:p>
        </w:tc>
        <w:tc>
          <w:tcPr>
            <w:tcW w:type="dxa" w:w="1662"/>
          </w:tcPr>
          <w:p>
            <w:r>
              <w:rPr>
                <w:sz w:val="14"/>
              </w:rPr>
            </w:r>
          </w:p>
        </w:tc>
        <w:tc>
          <w:tcPr>
            <w:tcW w:type="dxa" w:w="1662"/>
          </w:tcPr>
          <w:p>
            <w:r>
              <w:rPr>
                <w:sz w:val="14"/>
              </w:rPr>
            </w:r>
          </w:p>
        </w:tc>
      </w:tr>
    </w:tbl>
    <w:p>
      <w:r>
        <w:rPr>
          <w:sz w:val="16"/>
        </w:rPr>
        <w:t>Table 2.3 — λ estimates (Output/mode_choice/lambda_summary.csv). M1 is the central specification; M1b uses the cheaper of the bus and the Metronit as the transit cost; M3 adds origin and destination area effects; M4 restricts the sample to licence holders in car-owning households; M1u is unweighted.</w:t>
      </w:r>
    </w:p>
    <w:p>
      <w:r>
        <w:t>What came out. The pooled λ is 0.035 (0.002–0.068), the right sign, ρ² 0.43, and 0.040 on the 2026 car skim. By car-availability segment it is 0.083 for people in households without a car (significant), 0.027 for people without a licence and 0.053 for people with a car available (both weak), and −0.006 where licences outnumber cars. For licence holders in car-owning households alone, the segment the LRT would have to win from the car, λ is 0.008 ± 0.017: not different from zero. The survey has too few such people choosing transit on comparable pairs to pin it down (Figure 3.6).</w:t>
      </w:r>
    </w:p>
    <w:p>
      <w:r>
        <w:t>What the chain does with it. It keeps the assumed λ = 0.03 of step 31, inside the pooled estimate's interval and on its cautious side, carries the range 0.02–0.05 through every capture run, and sets λ_T = 2λ within the transit nest: the choice between two transit paths is more cost-sensitive than the choice between car and transit, and the ratio 0.5 is a standard nesting value, assumed rather than estimated. The honest reading is that the transit-side λ_T is supported by the data and the car-side λ is a judgement bounded by its range; that is why the bus and Metronit shifts are the firmer part of every result and the car shift an order of magnitude.</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760000" cy="4680000"/>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760000" cy="4680000"/>
                    </a:xfrm>
                    <a:prstGeom prst="rect"/>
                  </pic:spPr>
                </pic:pic>
              </a:graphicData>
            </a:graphic>
          </wp:inline>
        </w:drawing>
      </w:r>
    </w:p>
    <w:p>
      <w:r>
        <w:rPr>
          <w:i/>
          <w:sz w:val="16"/>
        </w:rPr>
        <w:t>Figure 3.8 — LRT line loads and station boardings in the peak hour, 2022 AM, main route + extension, Prioritized (step 45).</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in every year, and the forecast carries no road, service or car-ownership change. The slower-bus sensitivity of 4.9 bounds the transit side of this (+2–5 % of LRT trips); the car side is unbounded in this model.</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rPr>
          <w:b/>
        </w:rPr>
        <w:t>2050 BU is the principal reference case: the planning year 2050 with the business-as-usual demographics; 2040 and the high scenario (HS) are shown as growth sensitivities. The HS sets also move the market's composition (section 4.3), so the reference case is the one to plan on and the HS figures the upper growth reading.</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4.8.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Through-running to Nazareth against terminating the extension at Hamifrats</w:t>
      </w:r>
    </w:p>
    <w:p>
      <w:r>
        <w:t>Both alternatives were run on the same skims and base: the extension alone (24 stations, terminating at Hamifrats) and the through line (the extension plus the main route's 20 stations, one line without a transfer at Hamifrats). "Extension riders" are all the riders of the extension-only line, and the through line's riders who ride at least one segment between S01 and S24. Peak loads are per direction in the AM peak hour.</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5,939</w:t>
            </w:r>
          </w:p>
        </w:tc>
        <w:tc>
          <w:tcPr>
            <w:tcW w:type="dxa" w:w="1246"/>
          </w:tcPr>
          <w:p>
            <w:r>
              <w:rPr>
                <w:sz w:val="14"/>
              </w:rPr>
              <w:t>5,939</w:t>
            </w:r>
          </w:p>
        </w:tc>
        <w:tc>
          <w:tcPr>
            <w:tcW w:type="dxa" w:w="1246"/>
          </w:tcPr>
          <w:p>
            <w:r>
              <w:rPr>
                <w:sz w:val="14"/>
              </w:rPr>
              <w:t>3,498</w:t>
            </w:r>
          </w:p>
        </w:tc>
        <w:tc>
          <w:tcPr>
            <w:tcW w:type="dxa" w:w="1246"/>
          </w:tcPr>
          <w:p>
            <w:r>
              <w:rPr>
                <w:sz w:val="14"/>
              </w:rPr>
              <w:t>1,011</w:t>
            </w:r>
          </w:p>
        </w:tc>
        <w:tc>
          <w:tcPr>
            <w:tcW w:type="dxa" w:w="1246"/>
          </w:tcPr>
          <w:p>
            <w:r>
              <w:rPr>
                <w:sz w:val="14"/>
              </w:rPr>
              <w:t>1,011</w:t>
            </w:r>
          </w:p>
        </w:tc>
        <w:tc>
          <w:tcPr>
            <w:tcW w:type="dxa" w:w="1246"/>
          </w:tcPr>
          <w:p>
            <w:r>
              <w:rPr>
                <w:sz w:val="14"/>
              </w:rPr>
              <w:t>682</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6,003</w:t>
            </w:r>
          </w:p>
        </w:tc>
        <w:tc>
          <w:tcPr>
            <w:tcW w:type="dxa" w:w="1246"/>
          </w:tcPr>
          <w:p>
            <w:r>
              <w:rPr>
                <w:sz w:val="14"/>
              </w:rPr>
              <w:t>7,433</w:t>
            </w:r>
          </w:p>
        </w:tc>
        <w:tc>
          <w:tcPr>
            <w:tcW w:type="dxa" w:w="1246"/>
          </w:tcPr>
          <w:p>
            <w:r>
              <w:rPr>
                <w:sz w:val="14"/>
              </w:rPr>
              <w:t>4,378</w:t>
            </w:r>
          </w:p>
        </w:tc>
        <w:tc>
          <w:tcPr>
            <w:tcW w:type="dxa" w:w="1246"/>
          </w:tcPr>
          <w:p>
            <w:r>
              <w:rPr>
                <w:sz w:val="14"/>
              </w:rPr>
              <w:t>1,028</w:t>
            </w:r>
          </w:p>
        </w:tc>
        <w:tc>
          <w:tcPr>
            <w:tcW w:type="dxa" w:w="1246"/>
          </w:tcPr>
          <w:p>
            <w:r>
              <w:rPr>
                <w:sz w:val="14"/>
              </w:rPr>
              <w:t>1,071</w:t>
            </w:r>
          </w:p>
        </w:tc>
        <w:tc>
          <w:tcPr>
            <w:tcW w:type="dxa" w:w="1246"/>
          </w:tcPr>
          <w:p>
            <w:r>
              <w:rPr>
                <w:sz w:val="14"/>
              </w:rPr>
              <w:t>818</w:t>
            </w:r>
          </w:p>
        </w:tc>
        <w:tc>
          <w:tcPr>
            <w:tcW w:type="dxa" w:w="1246"/>
          </w:tcPr>
          <w:p>
            <w:r>
              <w:rPr>
                <w:sz w:val="14"/>
              </w:rPr>
              <w:t>extension riders +1 %; total LRT +25 %</w:t>
            </w:r>
          </w:p>
        </w:tc>
      </w:tr>
    </w:tbl>
    <w:p>
      <w:r>
        <w:rPr>
          <w:sz w:val="16"/>
        </w:rPr>
        <w:t>Table 4.1 — AM, 2050 BU: extension only against through-running, Prioritized.</w:t>
      </w:r>
    </w:p>
    <w:tbl>
      <w:tblPr>
        <w:tblStyle w:val="LightGrid-Accent1"/>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r>
              <w:rPr>
                <w:b/>
                <w:sz w:val="14"/>
              </w:rPr>
              <w:t>alternative</w:t>
            </w:r>
          </w:p>
        </w:tc>
        <w:tc>
          <w:tcPr>
            <w:tcW w:type="dxa" w:w="1246"/>
          </w:tcPr>
          <w:p>
            <w:r>
              <w:rPr>
                <w:b/>
                <w:sz w:val="14"/>
              </w:rPr>
              <w:t>extension riders (3 h)</w:t>
            </w:r>
          </w:p>
        </w:tc>
        <w:tc>
          <w:tcPr>
            <w:tcW w:type="dxa" w:w="1246"/>
          </w:tcPr>
          <w:p>
            <w:r>
              <w:rPr>
                <w:b/>
                <w:sz w:val="14"/>
              </w:rPr>
              <w:t>total LRT riders (3 h)</w:t>
            </w:r>
          </w:p>
        </w:tc>
        <w:tc>
          <w:tcPr>
            <w:tcW w:type="dxa" w:w="1246"/>
          </w:tcPr>
          <w:p>
            <w:r>
              <w:rPr>
                <w:b/>
                <w:sz w:val="14"/>
              </w:rPr>
              <w:t>total LRT riders (peak hour)</w:t>
            </w:r>
          </w:p>
        </w:tc>
        <w:tc>
          <w:tcPr>
            <w:tcW w:type="dxa" w:w="1246"/>
          </w:tcPr>
          <w:p>
            <w:r>
              <w:rPr>
                <w:b/>
                <w:sz w:val="14"/>
              </w:rPr>
              <w:t>peak load on the extension (peak hour, one direction)</w:t>
            </w:r>
          </w:p>
        </w:tc>
        <w:tc>
          <w:tcPr>
            <w:tcW w:type="dxa" w:w="1246"/>
          </w:tcPr>
          <w:p>
            <w:r>
              <w:rPr>
                <w:b/>
                <w:sz w:val="14"/>
              </w:rPr>
              <w:t>peak load on the line (peak hour)</w:t>
            </w:r>
          </w:p>
        </w:tc>
        <w:tc>
          <w:tcPr>
            <w:tcW w:type="dxa" w:w="1246"/>
          </w:tcPr>
          <w:p>
            <w:r>
              <w:rPr>
                <w:b/>
                <w:sz w:val="14"/>
              </w:rPr>
              <w:t>from car (3 h)</w:t>
            </w:r>
          </w:p>
        </w:tc>
        <w:tc>
          <w:tcPr>
            <w:tcW w:type="dxa" w:w="1246"/>
          </w:tcPr>
          <w:p>
            <w:r>
              <w:rPr>
                <w:b/>
                <w:sz w:val="14"/>
              </w:rPr>
              <w:t>difference</w:t>
            </w:r>
          </w:p>
        </w:tc>
      </w:tr>
      <w:tr>
        <w:tc>
          <w:tcPr>
            <w:tcW w:type="dxa" w:w="1246"/>
          </w:tcPr>
          <w:p>
            <w:r>
              <w:rPr>
                <w:sz w:val="14"/>
              </w:rPr>
              <w:t>Extension only (terminating at Hamifrats)</w:t>
            </w:r>
          </w:p>
        </w:tc>
        <w:tc>
          <w:tcPr>
            <w:tcW w:type="dxa" w:w="1246"/>
          </w:tcPr>
          <w:p>
            <w:r>
              <w:rPr>
                <w:sz w:val="14"/>
              </w:rPr>
              <w:t>4,960</w:t>
            </w:r>
          </w:p>
        </w:tc>
        <w:tc>
          <w:tcPr>
            <w:tcW w:type="dxa" w:w="1246"/>
          </w:tcPr>
          <w:p>
            <w:r>
              <w:rPr>
                <w:sz w:val="14"/>
              </w:rPr>
              <w:t>4,960</w:t>
            </w:r>
          </w:p>
        </w:tc>
        <w:tc>
          <w:tcPr>
            <w:tcW w:type="dxa" w:w="1246"/>
          </w:tcPr>
          <w:p>
            <w:r>
              <w:rPr>
                <w:sz w:val="14"/>
              </w:rPr>
              <w:t>2,372</w:t>
            </w:r>
          </w:p>
        </w:tc>
        <w:tc>
          <w:tcPr>
            <w:tcW w:type="dxa" w:w="1246"/>
          </w:tcPr>
          <w:p>
            <w:r>
              <w:rPr>
                <w:sz w:val="14"/>
              </w:rPr>
              <w:t>775</w:t>
            </w:r>
          </w:p>
        </w:tc>
        <w:tc>
          <w:tcPr>
            <w:tcW w:type="dxa" w:w="1246"/>
          </w:tcPr>
          <w:p>
            <w:r>
              <w:rPr>
                <w:sz w:val="14"/>
              </w:rPr>
              <w:t>775</w:t>
            </w:r>
          </w:p>
        </w:tc>
        <w:tc>
          <w:tcPr>
            <w:tcW w:type="dxa" w:w="1246"/>
          </w:tcPr>
          <w:p>
            <w:r>
              <w:rPr>
                <w:sz w:val="14"/>
              </w:rPr>
              <w:t>308</w:t>
            </w:r>
          </w:p>
        </w:tc>
        <w:tc>
          <w:tcPr>
            <w:tcW w:type="dxa" w:w="1246"/>
          </w:tcPr>
          <w:p>
            <w:r>
              <w:rPr>
                <w:sz w:val="14"/>
              </w:rPr>
              <w:t>–</w:t>
            </w:r>
          </w:p>
        </w:tc>
      </w:tr>
      <w:tr>
        <w:tc>
          <w:tcPr>
            <w:tcW w:type="dxa" w:w="1246"/>
          </w:tcPr>
          <w:p>
            <w:r>
              <w:rPr>
                <w:sz w:val="14"/>
              </w:rPr>
              <w:t>Through-running (main route + extension)</w:t>
            </w:r>
          </w:p>
        </w:tc>
        <w:tc>
          <w:tcPr>
            <w:tcW w:type="dxa" w:w="1246"/>
          </w:tcPr>
          <w:p>
            <w:r>
              <w:rPr>
                <w:sz w:val="14"/>
              </w:rPr>
              <w:t>4,998</w:t>
            </w:r>
          </w:p>
        </w:tc>
        <w:tc>
          <w:tcPr>
            <w:tcW w:type="dxa" w:w="1246"/>
          </w:tcPr>
          <w:p>
            <w:r>
              <w:rPr>
                <w:sz w:val="14"/>
              </w:rPr>
              <w:t>6,135</w:t>
            </w:r>
          </w:p>
        </w:tc>
        <w:tc>
          <w:tcPr>
            <w:tcW w:type="dxa" w:w="1246"/>
          </w:tcPr>
          <w:p>
            <w:r>
              <w:rPr>
                <w:sz w:val="14"/>
              </w:rPr>
              <w:t>2,934</w:t>
            </w:r>
          </w:p>
        </w:tc>
        <w:tc>
          <w:tcPr>
            <w:tcW w:type="dxa" w:w="1246"/>
          </w:tcPr>
          <w:p>
            <w:r>
              <w:rPr>
                <w:sz w:val="14"/>
              </w:rPr>
              <w:t>787</w:t>
            </w:r>
          </w:p>
        </w:tc>
        <w:tc>
          <w:tcPr>
            <w:tcW w:type="dxa" w:w="1246"/>
          </w:tcPr>
          <w:p>
            <w:r>
              <w:rPr>
                <w:sz w:val="14"/>
              </w:rPr>
              <w:t>787</w:t>
            </w:r>
          </w:p>
        </w:tc>
        <w:tc>
          <w:tcPr>
            <w:tcW w:type="dxa" w:w="1246"/>
          </w:tcPr>
          <w:p>
            <w:r>
              <w:rPr>
                <w:sz w:val="14"/>
              </w:rPr>
              <w:t>368</w:t>
            </w:r>
          </w:p>
        </w:tc>
        <w:tc>
          <w:tcPr>
            <w:tcW w:type="dxa" w:w="1246"/>
          </w:tcPr>
          <w:p>
            <w:r>
              <w:rPr>
                <w:sz w:val="14"/>
              </w:rPr>
              <w:t>extension riders +1 %; total LRT +24 %</w:t>
            </w:r>
          </w:p>
        </w:tc>
      </w:tr>
    </w:tbl>
    <w:p>
      <w:r>
        <w:rPr>
          <w:sz w:val="16"/>
        </w:rPr>
        <w:t>Table 4.2 — PM, 2050 BU: extension only against through-running, Prioritized.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scenario</w:t>
            </w:r>
          </w:p>
        </w:tc>
        <w:tc>
          <w:tcPr>
            <w:tcW w:type="dxa" w:w="1108"/>
          </w:tcPr>
          <w:p>
            <w:r>
              <w:rPr>
                <w:b/>
                <w:sz w:val="14"/>
              </w:rPr>
              <w:t>extension only: LRT riders</w:t>
            </w:r>
          </w:p>
        </w:tc>
        <w:tc>
          <w:tcPr>
            <w:tcW w:type="dxa" w:w="1108"/>
          </w:tcPr>
          <w:p>
            <w:r>
              <w:rPr>
                <w:b/>
                <w:sz w:val="14"/>
              </w:rPr>
              <w:t>through line: riders using the extension</w:t>
            </w:r>
          </w:p>
        </w:tc>
        <w:tc>
          <w:tcPr>
            <w:tcW w:type="dxa" w:w="1108"/>
          </w:tcPr>
          <w:p>
            <w:r>
              <w:rPr>
                <w:b/>
                <w:sz w:val="14"/>
              </w:rPr>
              <w:t>gain on the extension</w:t>
            </w:r>
          </w:p>
        </w:tc>
        <w:tc>
          <w:tcPr>
            <w:tcW w:type="dxa" w:w="1108"/>
          </w:tcPr>
          <w:p>
            <w:r>
              <w:rPr>
                <w:b/>
                <w:sz w:val="14"/>
              </w:rPr>
              <w:t>through line: total LRT riders</w:t>
            </w:r>
          </w:p>
        </w:tc>
        <w:tc>
          <w:tcPr>
            <w:tcW w:type="dxa" w:w="1108"/>
          </w:tcPr>
          <w:p>
            <w:r>
              <w:rPr>
                <w:b/>
                <w:sz w:val="14"/>
              </w:rPr>
              <w:t>gain on the line</w:t>
            </w:r>
          </w:p>
        </w:tc>
        <w:tc>
          <w:tcPr>
            <w:tcW w:type="dxa" w:w="1108"/>
          </w:tcPr>
          <w:p>
            <w:r>
              <w:rPr>
                <w:b/>
                <w:sz w:val="14"/>
              </w:rPr>
              <w:t>extension only: peak load (peak h)</w:t>
            </w:r>
          </w:p>
        </w:tc>
        <w:tc>
          <w:tcPr>
            <w:tcW w:type="dxa" w:w="1108"/>
          </w:tcPr>
          <w:p>
            <w:r>
              <w:rPr>
                <w:b/>
                <w:sz w:val="14"/>
              </w:rPr>
              <w:t>through line: peak load on the extension (peak h)</w:t>
            </w:r>
          </w:p>
        </w:tc>
        <w:tc>
          <w:tcPr>
            <w:tcW w:type="dxa" w:w="1108"/>
          </w:tcPr>
          <w:p>
            <w:r>
              <w:rPr>
                <w:b/>
                <w:sz w:val="14"/>
              </w:rPr>
              <w:t>through line: peak load on the line (peak h)</w:t>
            </w:r>
          </w:p>
        </w:tc>
      </w:tr>
      <w:tr>
        <w:tc>
          <w:tcPr>
            <w:tcW w:type="dxa" w:w="1108"/>
          </w:tcPr>
          <w:p>
            <w:r>
              <w:rPr>
                <w:sz w:val="14"/>
              </w:rPr>
              <w:t>2022</w:t>
            </w:r>
          </w:p>
        </w:tc>
        <w:tc>
          <w:tcPr>
            <w:tcW w:type="dxa" w:w="1108"/>
          </w:tcPr>
          <w:p>
            <w:r>
              <w:rPr>
                <w:sz w:val="14"/>
              </w:rPr>
              <w:t>3,884</w:t>
            </w:r>
          </w:p>
        </w:tc>
        <w:tc>
          <w:tcPr>
            <w:tcW w:type="dxa" w:w="1108"/>
          </w:tcPr>
          <w:p>
            <w:r>
              <w:rPr>
                <w:sz w:val="14"/>
              </w:rPr>
              <w:t>4,004</w:t>
            </w:r>
          </w:p>
        </w:tc>
        <w:tc>
          <w:tcPr>
            <w:tcW w:type="dxa" w:w="1108"/>
          </w:tcPr>
          <w:p>
            <w:r>
              <w:rPr>
                <w:sz w:val="14"/>
              </w:rPr>
              <w:t>+3 %</w:t>
            </w:r>
          </w:p>
        </w:tc>
        <w:tc>
          <w:tcPr>
            <w:tcW w:type="dxa" w:w="1108"/>
          </w:tcPr>
          <w:p>
            <w:r>
              <w:rPr>
                <w:sz w:val="14"/>
              </w:rPr>
              <w:t>5,193</w:t>
            </w:r>
          </w:p>
        </w:tc>
        <w:tc>
          <w:tcPr>
            <w:tcW w:type="dxa" w:w="1108"/>
          </w:tcPr>
          <w:p>
            <w:r>
              <w:rPr>
                <w:sz w:val="14"/>
              </w:rPr>
              <w:t>+34 %</w:t>
            </w:r>
          </w:p>
        </w:tc>
        <w:tc>
          <w:tcPr>
            <w:tcW w:type="dxa" w:w="1108"/>
          </w:tcPr>
          <w:p>
            <w:r>
              <w:rPr>
                <w:sz w:val="14"/>
              </w:rPr>
              <w:t>600</w:t>
            </w:r>
          </w:p>
        </w:tc>
        <w:tc>
          <w:tcPr>
            <w:tcW w:type="dxa" w:w="1108"/>
          </w:tcPr>
          <w:p>
            <w:r>
              <w:rPr>
                <w:sz w:val="14"/>
              </w:rPr>
              <w:t>670</w:t>
            </w:r>
          </w:p>
        </w:tc>
        <w:tc>
          <w:tcPr>
            <w:tcW w:type="dxa" w:w="1108"/>
          </w:tcPr>
          <w:p>
            <w:r>
              <w:rPr>
                <w:sz w:val="14"/>
              </w:rPr>
              <w:t>840</w:t>
            </w:r>
          </w:p>
        </w:tc>
      </w:tr>
      <w:tr>
        <w:tc>
          <w:tcPr>
            <w:tcW w:type="dxa" w:w="1108"/>
          </w:tcPr>
          <w:p>
            <w:r>
              <w:rPr>
                <w:sz w:val="14"/>
              </w:rPr>
              <w:t>2040 BU</w:t>
            </w:r>
          </w:p>
        </w:tc>
        <w:tc>
          <w:tcPr>
            <w:tcW w:type="dxa" w:w="1108"/>
          </w:tcPr>
          <w:p>
            <w:r>
              <w:rPr>
                <w:sz w:val="14"/>
              </w:rPr>
              <w:t>4,879</w:t>
            </w:r>
          </w:p>
        </w:tc>
        <w:tc>
          <w:tcPr>
            <w:tcW w:type="dxa" w:w="1108"/>
          </w:tcPr>
          <w:p>
            <w:r>
              <w:rPr>
                <w:sz w:val="14"/>
              </w:rPr>
              <w:t>4,950</w:t>
            </w:r>
          </w:p>
        </w:tc>
        <w:tc>
          <w:tcPr>
            <w:tcW w:type="dxa" w:w="1108"/>
          </w:tcPr>
          <w:p>
            <w:r>
              <w:rPr>
                <w:sz w:val="14"/>
              </w:rPr>
              <w:t>+1 %</w:t>
            </w:r>
          </w:p>
        </w:tc>
        <w:tc>
          <w:tcPr>
            <w:tcW w:type="dxa" w:w="1108"/>
          </w:tcPr>
          <w:p>
            <w:r>
              <w:rPr>
                <w:sz w:val="14"/>
              </w:rPr>
              <w:t>6,309</w:t>
            </w:r>
          </w:p>
        </w:tc>
        <w:tc>
          <w:tcPr>
            <w:tcW w:type="dxa" w:w="1108"/>
          </w:tcPr>
          <w:p>
            <w:r>
              <w:rPr>
                <w:sz w:val="14"/>
              </w:rPr>
              <w:t>+29 %</w:t>
            </w:r>
          </w:p>
        </w:tc>
        <w:tc>
          <w:tcPr>
            <w:tcW w:type="dxa" w:w="1108"/>
          </w:tcPr>
          <w:p>
            <w:r>
              <w:rPr>
                <w:sz w:val="14"/>
              </w:rPr>
              <w:t>750</w:t>
            </w:r>
          </w:p>
        </w:tc>
        <w:tc>
          <w:tcPr>
            <w:tcW w:type="dxa" w:w="1108"/>
          </w:tcPr>
          <w:p>
            <w:r>
              <w:rPr>
                <w:sz w:val="14"/>
              </w:rPr>
              <w:t>767</w:t>
            </w:r>
          </w:p>
        </w:tc>
        <w:tc>
          <w:tcPr>
            <w:tcW w:type="dxa" w:w="1108"/>
          </w:tcPr>
          <w:p>
            <w:r>
              <w:rPr>
                <w:sz w:val="14"/>
              </w:rPr>
              <w:t>966</w:t>
            </w:r>
          </w:p>
        </w:tc>
      </w:tr>
      <w:tr>
        <w:tc>
          <w:tcPr>
            <w:tcW w:type="dxa" w:w="1108"/>
          </w:tcPr>
          <w:p>
            <w:r>
              <w:rPr>
                <w:sz w:val="14"/>
              </w:rPr>
              <w:t>2050 BU</w:t>
            </w:r>
          </w:p>
        </w:tc>
        <w:tc>
          <w:tcPr>
            <w:tcW w:type="dxa" w:w="1108"/>
          </w:tcPr>
          <w:p>
            <w:r>
              <w:rPr>
                <w:sz w:val="14"/>
              </w:rPr>
              <w:t>5,939</w:t>
            </w:r>
          </w:p>
        </w:tc>
        <w:tc>
          <w:tcPr>
            <w:tcW w:type="dxa" w:w="1108"/>
          </w:tcPr>
          <w:p>
            <w:r>
              <w:rPr>
                <w:sz w:val="14"/>
              </w:rPr>
              <w:t>6,003</w:t>
            </w:r>
          </w:p>
        </w:tc>
        <w:tc>
          <w:tcPr>
            <w:tcW w:type="dxa" w:w="1108"/>
          </w:tcPr>
          <w:p>
            <w:r>
              <w:rPr>
                <w:sz w:val="14"/>
              </w:rPr>
              <w:t>+1 %</w:t>
            </w:r>
          </w:p>
        </w:tc>
        <w:tc>
          <w:tcPr>
            <w:tcW w:type="dxa" w:w="1108"/>
          </w:tcPr>
          <w:p>
            <w:r>
              <w:rPr>
                <w:sz w:val="14"/>
              </w:rPr>
              <w:t>7,433</w:t>
            </w:r>
          </w:p>
        </w:tc>
        <w:tc>
          <w:tcPr>
            <w:tcW w:type="dxa" w:w="1108"/>
          </w:tcPr>
          <w:p>
            <w:r>
              <w:rPr>
                <w:sz w:val="14"/>
              </w:rPr>
              <w:t>+25 %</w:t>
            </w:r>
          </w:p>
        </w:tc>
        <w:tc>
          <w:tcPr>
            <w:tcW w:type="dxa" w:w="1108"/>
          </w:tcPr>
          <w:p>
            <w:r>
              <w:rPr>
                <w:sz w:val="14"/>
              </w:rPr>
              <w:t>1,011</w:t>
            </w:r>
          </w:p>
        </w:tc>
        <w:tc>
          <w:tcPr>
            <w:tcW w:type="dxa" w:w="1108"/>
          </w:tcPr>
          <w:p>
            <w:r>
              <w:rPr>
                <w:sz w:val="14"/>
              </w:rPr>
              <w:t>1,028</w:t>
            </w:r>
          </w:p>
        </w:tc>
        <w:tc>
          <w:tcPr>
            <w:tcW w:type="dxa" w:w="1108"/>
          </w:tcPr>
          <w:p>
            <w:r>
              <w:rPr>
                <w:sz w:val="14"/>
              </w:rPr>
              <w:t>1,071</w:t>
            </w:r>
          </w:p>
        </w:tc>
      </w:tr>
      <w:tr>
        <w:tc>
          <w:tcPr>
            <w:tcW w:type="dxa" w:w="1108"/>
          </w:tcPr>
          <w:p>
            <w:r>
              <w:rPr>
                <w:sz w:val="14"/>
              </w:rPr>
              <w:t>2040 HS</w:t>
            </w:r>
          </w:p>
        </w:tc>
        <w:tc>
          <w:tcPr>
            <w:tcW w:type="dxa" w:w="1108"/>
          </w:tcPr>
          <w:p>
            <w:r>
              <w:rPr>
                <w:sz w:val="14"/>
              </w:rPr>
              <w:t>5,424</w:t>
            </w:r>
          </w:p>
        </w:tc>
        <w:tc>
          <w:tcPr>
            <w:tcW w:type="dxa" w:w="1108"/>
          </w:tcPr>
          <w:p>
            <w:r>
              <w:rPr>
                <w:sz w:val="14"/>
              </w:rPr>
              <w:t>5,651</w:t>
            </w:r>
          </w:p>
        </w:tc>
        <w:tc>
          <w:tcPr>
            <w:tcW w:type="dxa" w:w="1108"/>
          </w:tcPr>
          <w:p>
            <w:r>
              <w:rPr>
                <w:sz w:val="14"/>
              </w:rPr>
              <w:t>+4 %</w:t>
            </w:r>
          </w:p>
        </w:tc>
        <w:tc>
          <w:tcPr>
            <w:tcW w:type="dxa" w:w="1108"/>
          </w:tcPr>
          <w:p>
            <w:r>
              <w:rPr>
                <w:sz w:val="14"/>
              </w:rPr>
              <w:t>7,476</w:t>
            </w:r>
          </w:p>
        </w:tc>
        <w:tc>
          <w:tcPr>
            <w:tcW w:type="dxa" w:w="1108"/>
          </w:tcPr>
          <w:p>
            <w:r>
              <w:rPr>
                <w:sz w:val="14"/>
              </w:rPr>
              <w:t>+38 %</w:t>
            </w:r>
          </w:p>
        </w:tc>
        <w:tc>
          <w:tcPr>
            <w:tcW w:type="dxa" w:w="1108"/>
          </w:tcPr>
          <w:p>
            <w:r>
              <w:rPr>
                <w:sz w:val="14"/>
              </w:rPr>
              <w:t>839</w:t>
            </w:r>
          </w:p>
        </w:tc>
        <w:tc>
          <w:tcPr>
            <w:tcW w:type="dxa" w:w="1108"/>
          </w:tcPr>
          <w:p>
            <w:r>
              <w:rPr>
                <w:sz w:val="14"/>
              </w:rPr>
              <w:t>935</w:t>
            </w:r>
          </w:p>
        </w:tc>
        <w:tc>
          <w:tcPr>
            <w:tcW w:type="dxa" w:w="1108"/>
          </w:tcPr>
          <w:p>
            <w:r>
              <w:rPr>
                <w:sz w:val="14"/>
              </w:rPr>
              <w:t>1,146</w:t>
            </w:r>
          </w:p>
        </w:tc>
      </w:tr>
      <w:tr>
        <w:tc>
          <w:tcPr>
            <w:tcW w:type="dxa" w:w="1108"/>
          </w:tcPr>
          <w:p>
            <w:r>
              <w:rPr>
                <w:sz w:val="14"/>
              </w:rPr>
              <w:t>2050 HS</w:t>
            </w:r>
          </w:p>
        </w:tc>
        <w:tc>
          <w:tcPr>
            <w:tcW w:type="dxa" w:w="1108"/>
          </w:tcPr>
          <w:p>
            <w:r>
              <w:rPr>
                <w:sz w:val="14"/>
              </w:rPr>
              <w:t>6,653</w:t>
            </w:r>
          </w:p>
        </w:tc>
        <w:tc>
          <w:tcPr>
            <w:tcW w:type="dxa" w:w="1108"/>
          </w:tcPr>
          <w:p>
            <w:r>
              <w:rPr>
                <w:sz w:val="14"/>
              </w:rPr>
              <w:t>7,010</w:t>
            </w:r>
          </w:p>
        </w:tc>
        <w:tc>
          <w:tcPr>
            <w:tcW w:type="dxa" w:w="1108"/>
          </w:tcPr>
          <w:p>
            <w:r>
              <w:rPr>
                <w:sz w:val="14"/>
              </w:rPr>
              <w:t>+5 %</w:t>
            </w:r>
          </w:p>
        </w:tc>
        <w:tc>
          <w:tcPr>
            <w:tcW w:type="dxa" w:w="1108"/>
          </w:tcPr>
          <w:p>
            <w:r>
              <w:rPr>
                <w:sz w:val="14"/>
              </w:rPr>
              <w:t>9,225</w:t>
            </w:r>
          </w:p>
        </w:tc>
        <w:tc>
          <w:tcPr>
            <w:tcW w:type="dxa" w:w="1108"/>
          </w:tcPr>
          <w:p>
            <w:r>
              <w:rPr>
                <w:sz w:val="14"/>
              </w:rPr>
              <w:t>+39 %</w:t>
            </w:r>
          </w:p>
        </w:tc>
        <w:tc>
          <w:tcPr>
            <w:tcW w:type="dxa" w:w="1108"/>
          </w:tcPr>
          <w:p>
            <w:r>
              <w:rPr>
                <w:sz w:val="14"/>
              </w:rPr>
              <w:t>1,031</w:t>
            </w:r>
          </w:p>
        </w:tc>
        <w:tc>
          <w:tcPr>
            <w:tcW w:type="dxa" w:w="1108"/>
          </w:tcPr>
          <w:p>
            <w:r>
              <w:rPr>
                <w:sz w:val="14"/>
              </w:rPr>
              <w:t>1,161</w:t>
            </w:r>
          </w:p>
        </w:tc>
        <w:tc>
          <w:tcPr>
            <w:tcW w:type="dxa" w:w="1108"/>
          </w:tcPr>
          <w:p>
            <w:r>
              <w:rPr>
                <w:sz w:val="14"/>
              </w:rPr>
              <w:t>1,397</w:t>
            </w:r>
          </w:p>
        </w:tc>
      </w:tr>
    </w:tbl>
    <w:p>
      <w:r>
        <w:rPr>
          <w:sz w:val="16"/>
        </w:rPr>
        <w:t>Table 4.2a — The same comparison for every scenario-year, AM three hours and AM peak-hour loads.</w:t>
      </w:r>
    </w:p>
    <w:p>
      <w:r>
        <w:t>Reading. Through-running does not add riders to the extension in this model: 6,003 against 5,939 (+1 %) in 2050 BU, and +1 % in 2040 BU. The 2,849 trips that cross Hamifrats on the through line (38 % of its riders) exist in the terminating case too: there they reach the extension's Hamifrats station by Metronit or bus feeder and board the LRT at S24. Through-running replaces that feeder leg by an LRT leg for the same trips. The +25 % on the line as a whole is the main route's own market (trips between its stations and Hamifrats, 1,429 trips), which a main line terminating at Hamifrats would carry as well; it is not a benefit of through-running. What through-running buys, in the model's terms, is the transfer it spares those crossing trips: a main line terminating at Hamifrats beside a terminating extension was not run, but it would put the 8-minute transfer penalty (plus a second wait) on every crossing trip, and with λ_T = 0.06 that is worth about a third of the odds of the LRT path on those pairs against the Metronit, which runs through without a transfer today. The reference figures therefore rest on caveat 28 (through-running without a transfer, a 5-minute headway on the whole line, 80 km/h at grade on the main route); the extension's own riders do not.</w:t>
      </w:r>
    </w:p>
    <w:p>
      <w:pPr>
        <w:pStyle w:val="Heading2"/>
      </w:pPr>
      <w:r>
        <w:t>4.2 Shift to the LRT and total demand by mode</w:t>
      </w:r>
    </w:p>
    <w:p>
      <w:pPr>
        <w:sectPr>
          <w:pgSz w:w="12240" w:h="15840"/>
          <w:pgMar w:top="1440" w:right="1134" w:bottom="1440" w:left="1134" w:header="720" w:footer="720" w:gutter="0"/>
          <w:cols w:space="720"/>
          <w:docGrid w:linePitch="360"/>
        </w:sectPr>
      </w:pPr>
    </w:p>
    <w:p>
      <w:r>
        <w:rPr>
          <w:b/>
        </w:rPr>
        <w:t>Table 4.3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55,882</w:t>
            </w:r>
          </w:p>
        </w:tc>
        <w:tc>
          <w:tcPr>
            <w:tcW w:type="dxa" w:w="1010"/>
          </w:tcPr>
          <w:p>
            <w:r>
              <w:rPr>
                <w:sz w:val="14"/>
              </w:rPr>
              <w:t>5,408</w:t>
            </w:r>
          </w:p>
        </w:tc>
        <w:tc>
          <w:tcPr>
            <w:tcW w:type="dxa" w:w="1010"/>
          </w:tcPr>
          <w:p>
            <w:r>
              <w:rPr>
                <w:sz w:val="14"/>
              </w:rPr>
              <w:t>5,193</w:t>
            </w:r>
          </w:p>
        </w:tc>
        <w:tc>
          <w:tcPr>
            <w:tcW w:type="dxa" w:w="1010"/>
          </w:tcPr>
          <w:p>
            <w:r>
              <w:rPr>
                <w:sz w:val="14"/>
              </w:rPr>
              <w:t>4,096</w:t>
            </w:r>
          </w:p>
        </w:tc>
        <w:tc>
          <w:tcPr>
            <w:tcW w:type="dxa" w:w="1010"/>
          </w:tcPr>
          <w:p>
            <w:r>
              <w:rPr>
                <w:sz w:val="14"/>
              </w:rPr>
              <w:t>14,696</w:t>
            </w:r>
          </w:p>
        </w:tc>
        <w:tc>
          <w:tcPr>
            <w:tcW w:type="dxa" w:w="1010"/>
          </w:tcPr>
          <w:p>
            <w:r>
              <w:rPr>
                <w:sz w:val="14"/>
              </w:rPr>
              <w:t>79.2 %</w:t>
            </w:r>
          </w:p>
        </w:tc>
        <w:tc>
          <w:tcPr>
            <w:tcW w:type="dxa" w:w="1010"/>
          </w:tcPr>
          <w:p>
            <w:r>
              <w:rPr>
                <w:sz w:val="14"/>
              </w:rPr>
              <w:t>7.7 %</w:t>
            </w:r>
          </w:p>
        </w:tc>
        <w:tc>
          <w:tcPr>
            <w:tcW w:type="dxa" w:w="1010"/>
          </w:tcPr>
          <w:p>
            <w:r>
              <w:rPr>
                <w:sz w:val="14"/>
              </w:rPr>
              <w:t>7.4 %</w:t>
            </w:r>
          </w:p>
        </w:tc>
        <w:tc>
          <w:tcPr>
            <w:tcW w:type="dxa" w:w="1010"/>
          </w:tcPr>
          <w:p>
            <w:r>
              <w:rPr>
                <w:sz w:val="14"/>
              </w:rPr>
              <w:t>5.8 %</w:t>
            </w:r>
          </w:p>
        </w:tc>
        <w:tc>
          <w:tcPr>
            <w:tcW w:type="dxa" w:w="1010"/>
          </w:tcPr>
          <w:p>
            <w:r>
              <w:rPr>
                <w:sz w:val="14"/>
              </w:rPr>
              <w:t>20.8 %</w:t>
            </w:r>
          </w:p>
        </w:tc>
        <w:tc>
          <w:tcPr>
            <w:tcW w:type="dxa" w:w="1010"/>
          </w:tcPr>
          <w:p>
            <w:r>
              <w:rPr>
                <w:sz w:val="14"/>
              </w:rPr>
              <w:t>35.3 %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73,986</w:t>
            </w:r>
          </w:p>
        </w:tc>
        <w:tc>
          <w:tcPr>
            <w:tcW w:type="dxa" w:w="1010"/>
          </w:tcPr>
          <w:p>
            <w:r>
              <w:rPr>
                <w:sz w:val="14"/>
              </w:rPr>
              <w:t>6,863</w:t>
            </w:r>
          </w:p>
        </w:tc>
        <w:tc>
          <w:tcPr>
            <w:tcW w:type="dxa" w:w="1010"/>
          </w:tcPr>
          <w:p>
            <w:r>
              <w:rPr>
                <w:sz w:val="14"/>
              </w:rPr>
              <w:t>6,309</w:t>
            </w:r>
          </w:p>
        </w:tc>
        <w:tc>
          <w:tcPr>
            <w:tcW w:type="dxa" w:w="1010"/>
          </w:tcPr>
          <w:p>
            <w:r>
              <w:rPr>
                <w:sz w:val="14"/>
              </w:rPr>
              <w:t>5,832</w:t>
            </w:r>
          </w:p>
        </w:tc>
        <w:tc>
          <w:tcPr>
            <w:tcW w:type="dxa" w:w="1010"/>
          </w:tcPr>
          <w:p>
            <w:r>
              <w:rPr>
                <w:sz w:val="14"/>
              </w:rPr>
              <w:t>19,005</w:t>
            </w:r>
          </w:p>
        </w:tc>
        <w:tc>
          <w:tcPr>
            <w:tcW w:type="dxa" w:w="1010"/>
          </w:tcPr>
          <w:p>
            <w:r>
              <w:rPr>
                <w:sz w:val="14"/>
              </w:rPr>
              <w:t>79.6 %</w:t>
            </w:r>
          </w:p>
        </w:tc>
        <w:tc>
          <w:tcPr>
            <w:tcW w:type="dxa" w:w="1010"/>
          </w:tcPr>
          <w:p>
            <w:r>
              <w:rPr>
                <w:sz w:val="14"/>
              </w:rPr>
              <w:t>7.4 %</w:t>
            </w:r>
          </w:p>
        </w:tc>
        <w:tc>
          <w:tcPr>
            <w:tcW w:type="dxa" w:w="1010"/>
          </w:tcPr>
          <w:p>
            <w:r>
              <w:rPr>
                <w:sz w:val="14"/>
              </w:rPr>
              <w:t>6.8 %</w:t>
            </w:r>
          </w:p>
        </w:tc>
        <w:tc>
          <w:tcPr>
            <w:tcW w:type="dxa" w:w="1010"/>
          </w:tcPr>
          <w:p>
            <w:r>
              <w:rPr>
                <w:sz w:val="14"/>
              </w:rPr>
              <w:t>6.3 %</w:t>
            </w:r>
          </w:p>
        </w:tc>
        <w:tc>
          <w:tcPr>
            <w:tcW w:type="dxa" w:w="1010"/>
          </w:tcPr>
          <w:p>
            <w:r>
              <w:rPr>
                <w:sz w:val="14"/>
              </w:rPr>
              <w:t>20.4 %</w:t>
            </w:r>
          </w:p>
        </w:tc>
        <w:tc>
          <w:tcPr>
            <w:tcW w:type="dxa" w:w="1010"/>
          </w:tcPr>
          <w:p>
            <w:r>
              <w:rPr>
                <w:sz w:val="14"/>
              </w:rPr>
              <w:t>33.2 %</w:t>
            </w:r>
          </w:p>
        </w:tc>
        <w:tc>
          <w:tcPr>
            <w:tcW w:type="dxa" w:w="1010"/>
          </w:tcPr>
          <w:p>
            <w:r>
              <w:rPr>
                <w:sz w:val="14"/>
              </w:rPr>
              <w:t>6,442</w:t>
            </w:r>
          </w:p>
        </w:tc>
        <w:tc>
          <w:tcPr>
            <w:tcW w:type="dxa" w:w="1010"/>
          </w:tcPr>
          <w:p>
            <w:r>
              <w:rPr>
                <w:sz w:val="14"/>
              </w:rPr>
              <w:t>33.8 %</w:t>
            </w:r>
          </w:p>
        </w:tc>
      </w:tr>
      <w:tr>
        <w:tc>
          <w:tcPr>
            <w:tcW w:type="dxa" w:w="1010"/>
          </w:tcPr>
          <w:p>
            <w:r>
              <w:rPr>
                <w:sz w:val="14"/>
              </w:rPr>
              <w:t>2050 BU</w:t>
            </w:r>
          </w:p>
        </w:tc>
        <w:tc>
          <w:tcPr>
            <w:tcW w:type="dxa" w:w="1010"/>
          </w:tcPr>
          <w:p>
            <w:r>
              <w:rPr>
                <w:sz w:val="14"/>
              </w:rPr>
              <w:t>84,996</w:t>
            </w:r>
          </w:p>
        </w:tc>
        <w:tc>
          <w:tcPr>
            <w:tcW w:type="dxa" w:w="1010"/>
          </w:tcPr>
          <w:p>
            <w:r>
              <w:rPr>
                <w:sz w:val="14"/>
              </w:rPr>
              <w:t>7,816</w:t>
            </w:r>
          </w:p>
        </w:tc>
        <w:tc>
          <w:tcPr>
            <w:tcW w:type="dxa" w:w="1010"/>
          </w:tcPr>
          <w:p>
            <w:r>
              <w:rPr>
                <w:sz w:val="14"/>
              </w:rPr>
              <w:t>7,433</w:t>
            </w:r>
          </w:p>
        </w:tc>
        <w:tc>
          <w:tcPr>
            <w:tcW w:type="dxa" w:w="1010"/>
          </w:tcPr>
          <w:p>
            <w:r>
              <w:rPr>
                <w:sz w:val="14"/>
              </w:rPr>
              <w:t>6,824</w:t>
            </w:r>
          </w:p>
        </w:tc>
        <w:tc>
          <w:tcPr>
            <w:tcW w:type="dxa" w:w="1010"/>
          </w:tcPr>
          <w:p>
            <w:r>
              <w:rPr>
                <w:sz w:val="14"/>
              </w:rPr>
              <w:t>22,073</w:t>
            </w:r>
          </w:p>
        </w:tc>
        <w:tc>
          <w:tcPr>
            <w:tcW w:type="dxa" w:w="1010"/>
          </w:tcPr>
          <w:p>
            <w:r>
              <w:rPr>
                <w:sz w:val="14"/>
              </w:rPr>
              <w:t>79.4 %</w:t>
            </w:r>
          </w:p>
        </w:tc>
        <w:tc>
          <w:tcPr>
            <w:tcW w:type="dxa" w:w="1010"/>
          </w:tcPr>
          <w:p>
            <w:r>
              <w:rPr>
                <w:sz w:val="14"/>
              </w:rPr>
              <w:t>7.3 %</w:t>
            </w:r>
          </w:p>
        </w:tc>
        <w:tc>
          <w:tcPr>
            <w:tcW w:type="dxa" w:w="1010"/>
          </w:tcPr>
          <w:p>
            <w:r>
              <w:rPr>
                <w:sz w:val="14"/>
              </w:rPr>
              <w:t>6.9 %</w:t>
            </w:r>
          </w:p>
        </w:tc>
        <w:tc>
          <w:tcPr>
            <w:tcW w:type="dxa" w:w="1010"/>
          </w:tcPr>
          <w:p>
            <w:r>
              <w:rPr>
                <w:sz w:val="14"/>
              </w:rPr>
              <w:t>6.4 %</w:t>
            </w:r>
          </w:p>
        </w:tc>
        <w:tc>
          <w:tcPr>
            <w:tcW w:type="dxa" w:w="1010"/>
          </w:tcPr>
          <w:p>
            <w:r>
              <w:rPr>
                <w:sz w:val="14"/>
              </w:rPr>
              <w:t>20.6 %</w:t>
            </w:r>
          </w:p>
        </w:tc>
        <w:tc>
          <w:tcPr>
            <w:tcW w:type="dxa" w:w="1010"/>
          </w:tcPr>
          <w:p>
            <w:r>
              <w:rPr>
                <w:sz w:val="14"/>
              </w:rPr>
              <w:t>33.7 %</w:t>
            </w:r>
          </w:p>
        </w:tc>
        <w:tc>
          <w:tcPr>
            <w:tcW w:type="dxa" w:w="1010"/>
          </w:tcPr>
          <w:p>
            <w:r>
              <w:rPr>
                <w:sz w:val="14"/>
              </w:rPr>
              <w:t>7,804</w:t>
            </w:r>
          </w:p>
        </w:tc>
        <w:tc>
          <w:tcPr>
            <w:tcW w:type="dxa" w:w="1010"/>
          </w:tcPr>
          <w:p>
            <w:r>
              <w:rPr>
                <w:sz w:val="14"/>
              </w:rPr>
              <w:t>35.1 %</w:t>
            </w:r>
          </w:p>
        </w:tc>
      </w:tr>
      <w:tr>
        <w:tc>
          <w:tcPr>
            <w:tcW w:type="dxa" w:w="1010"/>
          </w:tcPr>
          <w:p>
            <w:r>
              <w:rPr>
                <w:sz w:val="14"/>
              </w:rPr>
              <w:t>2040 HS</w:t>
            </w:r>
          </w:p>
        </w:tc>
        <w:tc>
          <w:tcPr>
            <w:tcW w:type="dxa" w:w="1010"/>
          </w:tcPr>
          <w:p>
            <w:r>
              <w:rPr>
                <w:sz w:val="14"/>
              </w:rPr>
              <w:t>76,640</w:t>
            </w:r>
          </w:p>
        </w:tc>
        <w:tc>
          <w:tcPr>
            <w:tcW w:type="dxa" w:w="1010"/>
          </w:tcPr>
          <w:p>
            <w:r>
              <w:rPr>
                <w:sz w:val="14"/>
              </w:rPr>
              <w:t>6,992</w:t>
            </w:r>
          </w:p>
        </w:tc>
        <w:tc>
          <w:tcPr>
            <w:tcW w:type="dxa" w:w="1010"/>
          </w:tcPr>
          <w:p>
            <w:r>
              <w:rPr>
                <w:sz w:val="14"/>
              </w:rPr>
              <w:t>7,476</w:t>
            </w:r>
          </w:p>
        </w:tc>
        <w:tc>
          <w:tcPr>
            <w:tcW w:type="dxa" w:w="1010"/>
          </w:tcPr>
          <w:p>
            <w:r>
              <w:rPr>
                <w:sz w:val="14"/>
              </w:rPr>
              <w:t>5,707</w:t>
            </w:r>
          </w:p>
        </w:tc>
        <w:tc>
          <w:tcPr>
            <w:tcW w:type="dxa" w:w="1010"/>
          </w:tcPr>
          <w:p>
            <w:r>
              <w:rPr>
                <w:sz w:val="14"/>
              </w:rPr>
              <w:t>20,175</w:t>
            </w:r>
          </w:p>
        </w:tc>
        <w:tc>
          <w:tcPr>
            <w:tcW w:type="dxa" w:w="1010"/>
          </w:tcPr>
          <w:p>
            <w:r>
              <w:rPr>
                <w:sz w:val="14"/>
              </w:rPr>
              <w:t>79.2 %</w:t>
            </w:r>
          </w:p>
        </w:tc>
        <w:tc>
          <w:tcPr>
            <w:tcW w:type="dxa" w:w="1010"/>
          </w:tcPr>
          <w:p>
            <w:r>
              <w:rPr>
                <w:sz w:val="14"/>
              </w:rPr>
              <w:t>7.2 %</w:t>
            </w:r>
          </w:p>
        </w:tc>
        <w:tc>
          <w:tcPr>
            <w:tcW w:type="dxa" w:w="1010"/>
          </w:tcPr>
          <w:p>
            <w:r>
              <w:rPr>
                <w:sz w:val="14"/>
              </w:rPr>
              <w:t>7.7 %</w:t>
            </w:r>
          </w:p>
        </w:tc>
        <w:tc>
          <w:tcPr>
            <w:tcW w:type="dxa" w:w="1010"/>
          </w:tcPr>
          <w:p>
            <w:r>
              <w:rPr>
                <w:sz w:val="14"/>
              </w:rPr>
              <w:t>5.9 %</w:t>
            </w:r>
          </w:p>
        </w:tc>
        <w:tc>
          <w:tcPr>
            <w:tcW w:type="dxa" w:w="1010"/>
          </w:tcPr>
          <w:p>
            <w:r>
              <w:rPr>
                <w:sz w:val="14"/>
              </w:rPr>
              <w:t>20.8 %</w:t>
            </w:r>
          </w:p>
        </w:tc>
        <w:tc>
          <w:tcPr>
            <w:tcW w:type="dxa" w:w="1010"/>
          </w:tcPr>
          <w:p>
            <w:r>
              <w:rPr>
                <w:sz w:val="14"/>
              </w:rPr>
              <w:t>37.1 %</w:t>
            </w:r>
          </w:p>
        </w:tc>
        <w:tc>
          <w:tcPr>
            <w:tcW w:type="dxa" w:w="1010"/>
          </w:tcPr>
          <w:p>
            <w:r>
              <w:rPr>
                <w:sz w:val="14"/>
              </w:rPr>
              <w:t>7,624</w:t>
            </w:r>
          </w:p>
        </w:tc>
        <w:tc>
          <w:tcPr>
            <w:tcW w:type="dxa" w:w="1010"/>
          </w:tcPr>
          <w:p>
            <w:r>
              <w:rPr>
                <w:sz w:val="14"/>
              </w:rPr>
              <w:t>37.7 %</w:t>
            </w:r>
          </w:p>
        </w:tc>
      </w:tr>
      <w:tr>
        <w:tc>
          <w:tcPr>
            <w:tcW w:type="dxa" w:w="1010"/>
          </w:tcPr>
          <w:p>
            <w:r>
              <w:rPr>
                <w:sz w:val="14"/>
              </w:rPr>
              <w:t>2050 HS</w:t>
            </w:r>
          </w:p>
        </w:tc>
        <w:tc>
          <w:tcPr>
            <w:tcW w:type="dxa" w:w="1010"/>
          </w:tcPr>
          <w:p>
            <w:r>
              <w:rPr>
                <w:sz w:val="14"/>
              </w:rPr>
              <w:t>87,525</w:t>
            </w:r>
          </w:p>
        </w:tc>
        <w:tc>
          <w:tcPr>
            <w:tcW w:type="dxa" w:w="1010"/>
          </w:tcPr>
          <w:p>
            <w:r>
              <w:rPr>
                <w:sz w:val="14"/>
              </w:rPr>
              <w:t>7,908</w:t>
            </w:r>
          </w:p>
        </w:tc>
        <w:tc>
          <w:tcPr>
            <w:tcW w:type="dxa" w:w="1010"/>
          </w:tcPr>
          <w:p>
            <w:r>
              <w:rPr>
                <w:sz w:val="14"/>
              </w:rPr>
              <w:t>9,225</w:t>
            </w:r>
          </w:p>
        </w:tc>
        <w:tc>
          <w:tcPr>
            <w:tcW w:type="dxa" w:w="1010"/>
          </w:tcPr>
          <w:p>
            <w:r>
              <w:rPr>
                <w:sz w:val="14"/>
              </w:rPr>
              <w:t>6,135</w:t>
            </w:r>
          </w:p>
        </w:tc>
        <w:tc>
          <w:tcPr>
            <w:tcW w:type="dxa" w:w="1010"/>
          </w:tcPr>
          <w:p>
            <w:r>
              <w:rPr>
                <w:sz w:val="14"/>
              </w:rPr>
              <w:t>23,267</w:t>
            </w:r>
          </w:p>
        </w:tc>
        <w:tc>
          <w:tcPr>
            <w:tcW w:type="dxa" w:w="1010"/>
          </w:tcPr>
          <w:p>
            <w:r>
              <w:rPr>
                <w:sz w:val="14"/>
              </w:rPr>
              <w:t>79.0 %</w:t>
            </w:r>
          </w:p>
        </w:tc>
        <w:tc>
          <w:tcPr>
            <w:tcW w:type="dxa" w:w="1010"/>
          </w:tcPr>
          <w:p>
            <w:r>
              <w:rPr>
                <w:sz w:val="14"/>
              </w:rPr>
              <w:t>7.1 %</w:t>
            </w:r>
          </w:p>
        </w:tc>
        <w:tc>
          <w:tcPr>
            <w:tcW w:type="dxa" w:w="1010"/>
          </w:tcPr>
          <w:p>
            <w:r>
              <w:rPr>
                <w:sz w:val="14"/>
              </w:rPr>
              <w:t>8.3 %</w:t>
            </w:r>
          </w:p>
        </w:tc>
        <w:tc>
          <w:tcPr>
            <w:tcW w:type="dxa" w:w="1010"/>
          </w:tcPr>
          <w:p>
            <w:r>
              <w:rPr>
                <w:sz w:val="14"/>
              </w:rPr>
              <w:t>5.5 %</w:t>
            </w:r>
          </w:p>
        </w:tc>
        <w:tc>
          <w:tcPr>
            <w:tcW w:type="dxa" w:w="1010"/>
          </w:tcPr>
          <w:p>
            <w:r>
              <w:rPr>
                <w:sz w:val="14"/>
              </w:rPr>
              <w:t>21.0 %</w:t>
            </w:r>
          </w:p>
        </w:tc>
        <w:tc>
          <w:tcPr>
            <w:tcW w:type="dxa" w:w="1010"/>
          </w:tcPr>
          <w:p>
            <w:r>
              <w:rPr>
                <w:sz w:val="14"/>
              </w:rPr>
              <w:t>39.6 %</w:t>
            </w:r>
          </w:p>
        </w:tc>
        <w:tc>
          <w:tcPr>
            <w:tcW w:type="dxa" w:w="1010"/>
          </w:tcPr>
          <w:p>
            <w:r>
              <w:rPr>
                <w:sz w:val="14"/>
              </w:rPr>
              <w:t>9,590</w:t>
            </w:r>
          </w:p>
        </w:tc>
        <w:tc>
          <w:tcPr>
            <w:tcW w:type="dxa" w:w="1010"/>
          </w:tcPr>
          <w:p>
            <w:r>
              <w:rPr>
                <w:sz w:val="14"/>
              </w:rPr>
              <w:t>41.0 %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4.4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010"/>
        <w:gridCol w:w="1010"/>
        <w:gridCol w:w="1010"/>
        <w:gridCol w:w="1010"/>
        <w:gridCol w:w="1010"/>
        <w:gridCol w:w="1010"/>
        <w:gridCol w:w="1010"/>
        <w:gridCol w:w="1010"/>
        <w:gridCol w:w="1010"/>
        <w:gridCol w:w="1010"/>
        <w:gridCol w:w="1010"/>
        <w:gridCol w:w="1010"/>
        <w:gridCol w:w="1010"/>
        <w:gridCol w:w="1010"/>
      </w:tblGrid>
      <w:tr>
        <w:tc>
          <w:tcPr>
            <w:tcW w:type="dxa" w:w="1010"/>
          </w:tcPr>
          <w:p>
            <w:r>
              <w:rPr>
                <w:b/>
                <w:sz w:val="14"/>
              </w:rPr>
              <w:t>scenario</w:t>
            </w:r>
          </w:p>
        </w:tc>
        <w:tc>
          <w:tcPr>
            <w:tcW w:type="dxa" w:w="1010"/>
          </w:tcPr>
          <w:p>
            <w:r>
              <w:rPr>
                <w:b/>
                <w:sz w:val="14"/>
              </w:rPr>
              <w:t>car after</w:t>
            </w:r>
          </w:p>
        </w:tc>
        <w:tc>
          <w:tcPr>
            <w:tcW w:type="dxa" w:w="1010"/>
          </w:tcPr>
          <w:p>
            <w:r>
              <w:rPr>
                <w:b/>
                <w:sz w:val="14"/>
              </w:rPr>
              <w:t>BRT after</w:t>
            </w:r>
          </w:p>
        </w:tc>
        <w:tc>
          <w:tcPr>
            <w:tcW w:type="dxa" w:w="1010"/>
          </w:tcPr>
          <w:p>
            <w:r>
              <w:rPr>
                <w:b/>
                <w:sz w:val="14"/>
              </w:rPr>
              <w:t>LRT</w:t>
            </w:r>
          </w:p>
        </w:tc>
        <w:tc>
          <w:tcPr>
            <w:tcW w:type="dxa" w:w="1010"/>
          </w:tcPr>
          <w:p>
            <w:r>
              <w:rPr>
                <w:b/>
                <w:sz w:val="14"/>
              </w:rPr>
              <w:t>bus after</w:t>
            </w:r>
          </w:p>
        </w:tc>
        <w:tc>
          <w:tcPr>
            <w:tcW w:type="dxa" w:w="1010"/>
          </w:tcPr>
          <w:p>
            <w:r>
              <w:rPr>
                <w:b/>
                <w:sz w:val="14"/>
              </w:rPr>
              <w:t>total transit after</w:t>
            </w:r>
          </w:p>
        </w:tc>
        <w:tc>
          <w:tcPr>
            <w:tcW w:type="dxa" w:w="1010"/>
          </w:tcPr>
          <w:p>
            <w:r>
              <w:rPr>
                <w:b/>
                <w:sz w:val="14"/>
              </w:rPr>
              <w:t>car share</w:t>
            </w:r>
          </w:p>
        </w:tc>
        <w:tc>
          <w:tcPr>
            <w:tcW w:type="dxa" w:w="1010"/>
          </w:tcPr>
          <w:p>
            <w:r>
              <w:rPr>
                <w:b/>
                <w:sz w:val="14"/>
              </w:rPr>
              <w:t>BRT share</w:t>
            </w:r>
          </w:p>
        </w:tc>
        <w:tc>
          <w:tcPr>
            <w:tcW w:type="dxa" w:w="1010"/>
          </w:tcPr>
          <w:p>
            <w:r>
              <w:rPr>
                <w:b/>
                <w:sz w:val="14"/>
              </w:rPr>
              <w:t>LRT share</w:t>
            </w:r>
          </w:p>
        </w:tc>
        <w:tc>
          <w:tcPr>
            <w:tcW w:type="dxa" w:w="1010"/>
          </w:tcPr>
          <w:p>
            <w:r>
              <w:rPr>
                <w:b/>
                <w:sz w:val="14"/>
              </w:rPr>
              <w:t>bus share</w:t>
            </w:r>
          </w:p>
        </w:tc>
        <w:tc>
          <w:tcPr>
            <w:tcW w:type="dxa" w:w="1010"/>
          </w:tcPr>
          <w:p>
            <w:r>
              <w:rPr>
                <w:b/>
                <w:sz w:val="14"/>
              </w:rPr>
              <w:t>transit share</w:t>
            </w:r>
          </w:p>
        </w:tc>
        <w:tc>
          <w:tcPr>
            <w:tcW w:type="dxa" w:w="1010"/>
          </w:tcPr>
          <w:p>
            <w:r>
              <w:rPr>
                <w:b/>
                <w:sz w:val="14"/>
              </w:rPr>
              <w:t>LRT share of transit</w:t>
            </w:r>
          </w:p>
        </w:tc>
        <w:tc>
          <w:tcPr>
            <w:tcW w:type="dxa" w:w="1010"/>
          </w:tcPr>
          <w:p>
            <w:r>
              <w:rPr>
                <w:b/>
                <w:sz w:val="14"/>
              </w:rPr>
              <w:t>LRT, buses slower (sensitivity)</w:t>
            </w:r>
          </w:p>
        </w:tc>
        <w:tc>
          <w:tcPr>
            <w:tcW w:type="dxa" w:w="1010"/>
          </w:tcPr>
          <w:p>
            <w:r>
              <w:rPr>
                <w:b/>
                <w:sz w:val="14"/>
              </w:rPr>
              <w:t>LRT share of transit, buses slower</w:t>
            </w:r>
          </w:p>
        </w:tc>
      </w:tr>
      <w:tr>
        <w:tc>
          <w:tcPr>
            <w:tcW w:type="dxa" w:w="1010"/>
          </w:tcPr>
          <w:p>
            <w:r>
              <w:rPr>
                <w:sz w:val="14"/>
              </w:rPr>
              <w:t>2022</w:t>
            </w:r>
          </w:p>
        </w:tc>
        <w:tc>
          <w:tcPr>
            <w:tcW w:type="dxa" w:w="1010"/>
          </w:tcPr>
          <w:p>
            <w:r>
              <w:rPr>
                <w:sz w:val="14"/>
              </w:rPr>
              <w:t>65,965</w:t>
            </w:r>
          </w:p>
        </w:tc>
        <w:tc>
          <w:tcPr>
            <w:tcW w:type="dxa" w:w="1010"/>
          </w:tcPr>
          <w:p>
            <w:r>
              <w:rPr>
                <w:sz w:val="14"/>
              </w:rPr>
              <w:t>5,071</w:t>
            </w:r>
          </w:p>
        </w:tc>
        <w:tc>
          <w:tcPr>
            <w:tcW w:type="dxa" w:w="1010"/>
          </w:tcPr>
          <w:p>
            <w:r>
              <w:rPr>
                <w:sz w:val="14"/>
              </w:rPr>
              <w:t>4,101</w:t>
            </w:r>
          </w:p>
        </w:tc>
        <w:tc>
          <w:tcPr>
            <w:tcW w:type="dxa" w:w="1010"/>
          </w:tcPr>
          <w:p>
            <w:r>
              <w:rPr>
                <w:sz w:val="14"/>
              </w:rPr>
              <w:t>2,987</w:t>
            </w:r>
          </w:p>
        </w:tc>
        <w:tc>
          <w:tcPr>
            <w:tcW w:type="dxa" w:w="1010"/>
          </w:tcPr>
          <w:p>
            <w:r>
              <w:rPr>
                <w:sz w:val="14"/>
              </w:rPr>
              <w:t>12,159</w:t>
            </w:r>
          </w:p>
        </w:tc>
        <w:tc>
          <w:tcPr>
            <w:tcW w:type="dxa" w:w="1010"/>
          </w:tcPr>
          <w:p>
            <w:r>
              <w:rPr>
                <w:sz w:val="14"/>
              </w:rPr>
              <w:t>84.4 %</w:t>
            </w:r>
          </w:p>
        </w:tc>
        <w:tc>
          <w:tcPr>
            <w:tcW w:type="dxa" w:w="1010"/>
          </w:tcPr>
          <w:p>
            <w:r>
              <w:rPr>
                <w:sz w:val="14"/>
              </w:rPr>
              <w:t>6.5 %</w:t>
            </w:r>
          </w:p>
        </w:tc>
        <w:tc>
          <w:tcPr>
            <w:tcW w:type="dxa" w:w="1010"/>
          </w:tcPr>
          <w:p>
            <w:r>
              <w:rPr>
                <w:sz w:val="14"/>
              </w:rPr>
              <w:t>5.2 %</w:t>
            </w:r>
          </w:p>
        </w:tc>
        <w:tc>
          <w:tcPr>
            <w:tcW w:type="dxa" w:w="1010"/>
          </w:tcPr>
          <w:p>
            <w:r>
              <w:rPr>
                <w:sz w:val="14"/>
              </w:rPr>
              <w:t>3.8 %</w:t>
            </w:r>
          </w:p>
        </w:tc>
        <w:tc>
          <w:tcPr>
            <w:tcW w:type="dxa" w:w="1010"/>
          </w:tcPr>
          <w:p>
            <w:r>
              <w:rPr>
                <w:sz w:val="14"/>
              </w:rPr>
              <w:t>15.6 %</w:t>
            </w:r>
          </w:p>
        </w:tc>
        <w:tc>
          <w:tcPr>
            <w:tcW w:type="dxa" w:w="1010"/>
          </w:tcPr>
          <w:p>
            <w:r>
              <w:rPr>
                <w:sz w:val="14"/>
              </w:rPr>
              <w:t>33.7 %</w:t>
            </w:r>
          </w:p>
        </w:tc>
        <w:tc>
          <w:tcPr>
            <w:tcW w:type="dxa" w:w="1010"/>
          </w:tcPr>
          <w:p>
            <w:r>
              <w:rPr>
                <w:sz w:val="14"/>
              </w:rPr>
            </w:r>
          </w:p>
        </w:tc>
        <w:tc>
          <w:tcPr>
            <w:tcW w:type="dxa" w:w="1010"/>
          </w:tcPr>
          <w:p>
            <w:r>
              <w:rPr>
                <w:sz w:val="14"/>
              </w:rPr>
            </w:r>
          </w:p>
        </w:tc>
      </w:tr>
      <w:tr>
        <w:tc>
          <w:tcPr>
            <w:tcW w:type="dxa" w:w="1010"/>
          </w:tcPr>
          <w:p>
            <w:r>
              <w:rPr>
                <w:sz w:val="14"/>
              </w:rPr>
              <w:t>2040 BU</w:t>
            </w:r>
          </w:p>
        </w:tc>
        <w:tc>
          <w:tcPr>
            <w:tcW w:type="dxa" w:w="1010"/>
          </w:tcPr>
          <w:p>
            <w:r>
              <w:rPr>
                <w:sz w:val="14"/>
              </w:rPr>
              <w:t>85,785</w:t>
            </w:r>
          </w:p>
        </w:tc>
        <w:tc>
          <w:tcPr>
            <w:tcW w:type="dxa" w:w="1010"/>
          </w:tcPr>
          <w:p>
            <w:r>
              <w:rPr>
                <w:sz w:val="14"/>
              </w:rPr>
              <w:t>6,553</w:t>
            </w:r>
          </w:p>
        </w:tc>
        <w:tc>
          <w:tcPr>
            <w:tcW w:type="dxa" w:w="1010"/>
          </w:tcPr>
          <w:p>
            <w:r>
              <w:rPr>
                <w:sz w:val="14"/>
              </w:rPr>
              <w:t>5,358</w:t>
            </w:r>
          </w:p>
        </w:tc>
        <w:tc>
          <w:tcPr>
            <w:tcW w:type="dxa" w:w="1010"/>
          </w:tcPr>
          <w:p>
            <w:r>
              <w:rPr>
                <w:sz w:val="14"/>
              </w:rPr>
              <w:t>4,365</w:t>
            </w:r>
          </w:p>
        </w:tc>
        <w:tc>
          <w:tcPr>
            <w:tcW w:type="dxa" w:w="1010"/>
          </w:tcPr>
          <w:p>
            <w:r>
              <w:rPr>
                <w:sz w:val="14"/>
              </w:rPr>
              <w:t>16,276</w:t>
            </w:r>
          </w:p>
        </w:tc>
        <w:tc>
          <w:tcPr>
            <w:tcW w:type="dxa" w:w="1010"/>
          </w:tcPr>
          <w:p>
            <w:r>
              <w:rPr>
                <w:sz w:val="14"/>
              </w:rPr>
              <w:t>84.1 %</w:t>
            </w:r>
          </w:p>
        </w:tc>
        <w:tc>
          <w:tcPr>
            <w:tcW w:type="dxa" w:w="1010"/>
          </w:tcPr>
          <w:p>
            <w:r>
              <w:rPr>
                <w:sz w:val="14"/>
              </w:rPr>
              <w:t>6.4 %</w:t>
            </w:r>
          </w:p>
        </w:tc>
        <w:tc>
          <w:tcPr>
            <w:tcW w:type="dxa" w:w="1010"/>
          </w:tcPr>
          <w:p>
            <w:r>
              <w:rPr>
                <w:sz w:val="14"/>
              </w:rPr>
              <w:t>5.2 %</w:t>
            </w:r>
          </w:p>
        </w:tc>
        <w:tc>
          <w:tcPr>
            <w:tcW w:type="dxa" w:w="1010"/>
          </w:tcPr>
          <w:p>
            <w:r>
              <w:rPr>
                <w:sz w:val="14"/>
              </w:rPr>
              <w:t>4.3 %</w:t>
            </w:r>
          </w:p>
        </w:tc>
        <w:tc>
          <w:tcPr>
            <w:tcW w:type="dxa" w:w="1010"/>
          </w:tcPr>
          <w:p>
            <w:r>
              <w:rPr>
                <w:sz w:val="14"/>
              </w:rPr>
              <w:t>15.9 %</w:t>
            </w:r>
          </w:p>
        </w:tc>
        <w:tc>
          <w:tcPr>
            <w:tcW w:type="dxa" w:w="1010"/>
          </w:tcPr>
          <w:p>
            <w:r>
              <w:rPr>
                <w:sz w:val="14"/>
              </w:rPr>
              <w:t>32.9 %</w:t>
            </w:r>
          </w:p>
        </w:tc>
        <w:tc>
          <w:tcPr>
            <w:tcW w:type="dxa" w:w="1010"/>
          </w:tcPr>
          <w:p>
            <w:r>
              <w:rPr>
                <w:sz w:val="14"/>
              </w:rPr>
              <w:t>5,477</w:t>
            </w:r>
          </w:p>
        </w:tc>
        <w:tc>
          <w:tcPr>
            <w:tcW w:type="dxa" w:w="1010"/>
          </w:tcPr>
          <w:p>
            <w:r>
              <w:rPr>
                <w:sz w:val="14"/>
              </w:rPr>
              <w:t>33.6 %</w:t>
            </w:r>
          </w:p>
        </w:tc>
      </w:tr>
      <w:tr>
        <w:tc>
          <w:tcPr>
            <w:tcW w:type="dxa" w:w="1010"/>
          </w:tcPr>
          <w:p>
            <w:r>
              <w:rPr>
                <w:sz w:val="14"/>
              </w:rPr>
              <w:t>2050 BU</w:t>
            </w:r>
          </w:p>
        </w:tc>
        <w:tc>
          <w:tcPr>
            <w:tcW w:type="dxa" w:w="1010"/>
          </w:tcPr>
          <w:p>
            <w:r>
              <w:rPr>
                <w:sz w:val="14"/>
              </w:rPr>
              <w:t>99,857</w:t>
            </w:r>
          </w:p>
        </w:tc>
        <w:tc>
          <w:tcPr>
            <w:tcW w:type="dxa" w:w="1010"/>
          </w:tcPr>
          <w:p>
            <w:r>
              <w:rPr>
                <w:sz w:val="14"/>
              </w:rPr>
              <w:t>7,444</w:t>
            </w:r>
          </w:p>
        </w:tc>
        <w:tc>
          <w:tcPr>
            <w:tcW w:type="dxa" w:w="1010"/>
          </w:tcPr>
          <w:p>
            <w:r>
              <w:rPr>
                <w:sz w:val="14"/>
              </w:rPr>
              <w:t>6,135</w:t>
            </w:r>
          </w:p>
        </w:tc>
        <w:tc>
          <w:tcPr>
            <w:tcW w:type="dxa" w:w="1010"/>
          </w:tcPr>
          <w:p>
            <w:r>
              <w:rPr>
                <w:sz w:val="14"/>
              </w:rPr>
              <w:t>4,981</w:t>
            </w:r>
          </w:p>
        </w:tc>
        <w:tc>
          <w:tcPr>
            <w:tcW w:type="dxa" w:w="1010"/>
          </w:tcPr>
          <w:p>
            <w:r>
              <w:rPr>
                <w:sz w:val="14"/>
              </w:rPr>
              <w:t>18,560</w:t>
            </w:r>
          </w:p>
        </w:tc>
        <w:tc>
          <w:tcPr>
            <w:tcW w:type="dxa" w:w="1010"/>
          </w:tcPr>
          <w:p>
            <w:r>
              <w:rPr>
                <w:sz w:val="14"/>
              </w:rPr>
              <w:t>84.3 %</w:t>
            </w:r>
          </w:p>
        </w:tc>
        <w:tc>
          <w:tcPr>
            <w:tcW w:type="dxa" w:w="1010"/>
          </w:tcPr>
          <w:p>
            <w:r>
              <w:rPr>
                <w:sz w:val="14"/>
              </w:rPr>
              <w:t>6.3 %</w:t>
            </w:r>
          </w:p>
        </w:tc>
        <w:tc>
          <w:tcPr>
            <w:tcW w:type="dxa" w:w="1010"/>
          </w:tcPr>
          <w:p>
            <w:r>
              <w:rPr>
                <w:sz w:val="14"/>
              </w:rPr>
              <w:t>5.2 %</w:t>
            </w:r>
          </w:p>
        </w:tc>
        <w:tc>
          <w:tcPr>
            <w:tcW w:type="dxa" w:w="1010"/>
          </w:tcPr>
          <w:p>
            <w:r>
              <w:rPr>
                <w:sz w:val="14"/>
              </w:rPr>
              <w:t>4.2 %</w:t>
            </w:r>
          </w:p>
        </w:tc>
        <w:tc>
          <w:tcPr>
            <w:tcW w:type="dxa" w:w="1010"/>
          </w:tcPr>
          <w:p>
            <w:r>
              <w:rPr>
                <w:sz w:val="14"/>
              </w:rPr>
              <w:t>15.7 %</w:t>
            </w:r>
          </w:p>
        </w:tc>
        <w:tc>
          <w:tcPr>
            <w:tcW w:type="dxa" w:w="1010"/>
          </w:tcPr>
          <w:p>
            <w:r>
              <w:rPr>
                <w:sz w:val="14"/>
              </w:rPr>
              <w:t>33.1 %</w:t>
            </w:r>
          </w:p>
        </w:tc>
        <w:tc>
          <w:tcPr>
            <w:tcW w:type="dxa" w:w="1010"/>
          </w:tcPr>
          <w:p>
            <w:r>
              <w:rPr>
                <w:sz w:val="14"/>
              </w:rPr>
              <w:t>6,399</w:t>
            </w:r>
          </w:p>
        </w:tc>
        <w:tc>
          <w:tcPr>
            <w:tcW w:type="dxa" w:w="1010"/>
          </w:tcPr>
          <w:p>
            <w:r>
              <w:rPr>
                <w:sz w:val="14"/>
              </w:rPr>
              <w:t>34.4 %</w:t>
            </w:r>
          </w:p>
        </w:tc>
      </w:tr>
      <w:tr>
        <w:tc>
          <w:tcPr>
            <w:tcW w:type="dxa" w:w="1010"/>
          </w:tcPr>
          <w:p>
            <w:r>
              <w:rPr>
                <w:sz w:val="14"/>
              </w:rPr>
              <w:t>2040 HS</w:t>
            </w:r>
          </w:p>
        </w:tc>
        <w:tc>
          <w:tcPr>
            <w:tcW w:type="dxa" w:w="1010"/>
          </w:tcPr>
          <w:p>
            <w:r>
              <w:rPr>
                <w:sz w:val="14"/>
              </w:rPr>
              <w:t>87,845</w:t>
            </w:r>
          </w:p>
        </w:tc>
        <w:tc>
          <w:tcPr>
            <w:tcW w:type="dxa" w:w="1010"/>
          </w:tcPr>
          <w:p>
            <w:r>
              <w:rPr>
                <w:sz w:val="14"/>
              </w:rPr>
              <w:t>6,418</w:t>
            </w:r>
          </w:p>
        </w:tc>
        <w:tc>
          <w:tcPr>
            <w:tcW w:type="dxa" w:w="1010"/>
          </w:tcPr>
          <w:p>
            <w:r>
              <w:rPr>
                <w:sz w:val="14"/>
              </w:rPr>
              <w:t>5,620</w:t>
            </w:r>
          </w:p>
        </w:tc>
        <w:tc>
          <w:tcPr>
            <w:tcW w:type="dxa" w:w="1010"/>
          </w:tcPr>
          <w:p>
            <w:r>
              <w:rPr>
                <w:sz w:val="14"/>
              </w:rPr>
              <w:t>4,503</w:t>
            </w:r>
          </w:p>
        </w:tc>
        <w:tc>
          <w:tcPr>
            <w:tcW w:type="dxa" w:w="1010"/>
          </w:tcPr>
          <w:p>
            <w:r>
              <w:rPr>
                <w:sz w:val="14"/>
              </w:rPr>
              <w:t>16,541</w:t>
            </w:r>
          </w:p>
        </w:tc>
        <w:tc>
          <w:tcPr>
            <w:tcW w:type="dxa" w:w="1010"/>
          </w:tcPr>
          <w:p>
            <w:r>
              <w:rPr>
                <w:sz w:val="14"/>
              </w:rPr>
              <w:t>84.2 %</w:t>
            </w:r>
          </w:p>
        </w:tc>
        <w:tc>
          <w:tcPr>
            <w:tcW w:type="dxa" w:w="1010"/>
          </w:tcPr>
          <w:p>
            <w:r>
              <w:rPr>
                <w:sz w:val="14"/>
              </w:rPr>
              <w:t>6.1 %</w:t>
            </w:r>
          </w:p>
        </w:tc>
        <w:tc>
          <w:tcPr>
            <w:tcW w:type="dxa" w:w="1010"/>
          </w:tcPr>
          <w:p>
            <w:r>
              <w:rPr>
                <w:sz w:val="14"/>
              </w:rPr>
              <w:t>5.4 %</w:t>
            </w:r>
          </w:p>
        </w:tc>
        <w:tc>
          <w:tcPr>
            <w:tcW w:type="dxa" w:w="1010"/>
          </w:tcPr>
          <w:p>
            <w:r>
              <w:rPr>
                <w:sz w:val="14"/>
              </w:rPr>
              <w:t>4.3 %</w:t>
            </w:r>
          </w:p>
        </w:tc>
        <w:tc>
          <w:tcPr>
            <w:tcW w:type="dxa" w:w="1010"/>
          </w:tcPr>
          <w:p>
            <w:r>
              <w:rPr>
                <w:sz w:val="14"/>
              </w:rPr>
              <w:t>15.8 %</w:t>
            </w:r>
          </w:p>
        </w:tc>
        <w:tc>
          <w:tcPr>
            <w:tcW w:type="dxa" w:w="1010"/>
          </w:tcPr>
          <w:p>
            <w:r>
              <w:rPr>
                <w:sz w:val="14"/>
              </w:rPr>
              <w:t>34.0 %</w:t>
            </w:r>
          </w:p>
        </w:tc>
        <w:tc>
          <w:tcPr>
            <w:tcW w:type="dxa" w:w="1010"/>
          </w:tcPr>
          <w:p>
            <w:r>
              <w:rPr>
                <w:sz w:val="14"/>
              </w:rPr>
              <w:t>5,723</w:t>
            </w:r>
          </w:p>
        </w:tc>
        <w:tc>
          <w:tcPr>
            <w:tcW w:type="dxa" w:w="1010"/>
          </w:tcPr>
          <w:p>
            <w:r>
              <w:rPr>
                <w:sz w:val="14"/>
              </w:rPr>
              <w:t>34.5 %</w:t>
            </w:r>
          </w:p>
        </w:tc>
      </w:tr>
      <w:tr>
        <w:tc>
          <w:tcPr>
            <w:tcW w:type="dxa" w:w="1010"/>
          </w:tcPr>
          <w:p>
            <w:r>
              <w:rPr>
                <w:sz w:val="14"/>
              </w:rPr>
              <w:t>2050 HS</w:t>
            </w:r>
          </w:p>
        </w:tc>
        <w:tc>
          <w:tcPr>
            <w:tcW w:type="dxa" w:w="1010"/>
          </w:tcPr>
          <w:p>
            <w:r>
              <w:rPr>
                <w:sz w:val="14"/>
              </w:rPr>
              <w:t>95,844</w:t>
            </w:r>
          </w:p>
        </w:tc>
        <w:tc>
          <w:tcPr>
            <w:tcW w:type="dxa" w:w="1010"/>
          </w:tcPr>
          <w:p>
            <w:r>
              <w:rPr>
                <w:sz w:val="14"/>
              </w:rPr>
              <w:t>6,814</w:t>
            </w:r>
          </w:p>
        </w:tc>
        <w:tc>
          <w:tcPr>
            <w:tcW w:type="dxa" w:w="1010"/>
          </w:tcPr>
          <w:p>
            <w:r>
              <w:rPr>
                <w:sz w:val="14"/>
              </w:rPr>
              <w:t>5,956</w:t>
            </w:r>
          </w:p>
        </w:tc>
        <w:tc>
          <w:tcPr>
            <w:tcW w:type="dxa" w:w="1010"/>
          </w:tcPr>
          <w:p>
            <w:r>
              <w:rPr>
                <w:sz w:val="14"/>
              </w:rPr>
              <w:t>4,440</w:t>
            </w:r>
          </w:p>
        </w:tc>
        <w:tc>
          <w:tcPr>
            <w:tcW w:type="dxa" w:w="1010"/>
          </w:tcPr>
          <w:p>
            <w:r>
              <w:rPr>
                <w:sz w:val="14"/>
              </w:rPr>
              <w:t>17,209</w:t>
            </w:r>
          </w:p>
        </w:tc>
        <w:tc>
          <w:tcPr>
            <w:tcW w:type="dxa" w:w="1010"/>
          </w:tcPr>
          <w:p>
            <w:r>
              <w:rPr>
                <w:sz w:val="14"/>
              </w:rPr>
              <w:t>84.8 %</w:t>
            </w:r>
          </w:p>
        </w:tc>
        <w:tc>
          <w:tcPr>
            <w:tcW w:type="dxa" w:w="1010"/>
          </w:tcPr>
          <w:p>
            <w:r>
              <w:rPr>
                <w:sz w:val="14"/>
              </w:rPr>
              <w:t>6.0 %</w:t>
            </w:r>
          </w:p>
        </w:tc>
        <w:tc>
          <w:tcPr>
            <w:tcW w:type="dxa" w:w="1010"/>
          </w:tcPr>
          <w:p>
            <w:r>
              <w:rPr>
                <w:sz w:val="14"/>
              </w:rPr>
              <w:t>5.3 %</w:t>
            </w:r>
          </w:p>
        </w:tc>
        <w:tc>
          <w:tcPr>
            <w:tcW w:type="dxa" w:w="1010"/>
          </w:tcPr>
          <w:p>
            <w:r>
              <w:rPr>
                <w:sz w:val="14"/>
              </w:rPr>
              <w:t>3.9 %</w:t>
            </w:r>
          </w:p>
        </w:tc>
        <w:tc>
          <w:tcPr>
            <w:tcW w:type="dxa" w:w="1010"/>
          </w:tcPr>
          <w:p>
            <w:r>
              <w:rPr>
                <w:sz w:val="14"/>
              </w:rPr>
              <w:t>15.2 %</w:t>
            </w:r>
          </w:p>
        </w:tc>
        <w:tc>
          <w:tcPr>
            <w:tcW w:type="dxa" w:w="1010"/>
          </w:tcPr>
          <w:p>
            <w:r>
              <w:rPr>
                <w:sz w:val="14"/>
              </w:rPr>
              <w:t>34.6 %</w:t>
            </w:r>
          </w:p>
        </w:tc>
        <w:tc>
          <w:tcPr>
            <w:tcW w:type="dxa" w:w="1010"/>
          </w:tcPr>
          <w:p>
            <w:r>
              <w:rPr>
                <w:sz w:val="14"/>
              </w:rPr>
              <w:t>6,155</w:t>
            </w:r>
          </w:p>
        </w:tc>
        <w:tc>
          <w:tcPr>
            <w:tcW w:type="dxa" w:w="1010"/>
          </w:tcPr>
          <w:p>
            <w:r>
              <w:rPr>
                <w:sz w:val="14"/>
              </w:rPr>
              <w:t>35.7 %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 The last two columns of the demand table are the bus-slowdown sensitivity of 4.9 (mixed-traffic buses 10 % slower in 2040 and 20 % in 2050, Metronit and LRT unchanged); the 2022 row has no such case.</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5760000" cy="2215385"/>
            <wp:docPr id="10" name="Picture 10"/>
            <wp:cNvGraphicFramePr>
              <a:graphicFrameLocks noChangeAspect="1"/>
            </wp:cNvGraphicFramePr>
            <a:graphic>
              <a:graphicData uri="http://schemas.openxmlformats.org/drawingml/2006/picture">
                <pic:pic>
                  <pic:nvPicPr>
                    <pic:cNvPr id="0" name="demand_by_scenario.png"/>
                    <pic:cNvPicPr/>
                  </pic:nvPicPr>
                  <pic:blipFill>
                    <a:blip r:embed="rId18"/>
                    <a:stretch>
                      <a:fillRect/>
                    </a:stretch>
                  </pic:blipFill>
                  <pic:spPr>
                    <a:xfrm>
                      <a:off x="0" y="0"/>
                      <a:ext cx="5760000" cy="2215385"/>
                    </a:xfrm>
                    <a:prstGeom prst="rect"/>
                  </pic:spPr>
                </pic:pic>
              </a:graphicData>
            </a:graphic>
          </wp:inline>
        </w:drawing>
      </w:r>
    </w:p>
    <w:p>
      <w:r>
        <w:rPr>
          <w:i/>
          <w:sz w:val="16"/>
        </w:rPr>
        <w:t>Figure 4.1 — Transit demand on the corridor by scenario, peak hour: no-build transit, total transit after the LRT, LRT trips, and the LRT trips using the extension (AM and PM).</w:t>
      </w:r>
    </w:p>
    <w:p>
      <w:r>
        <w:drawing>
          <wp:inline xmlns:a="http://schemas.openxmlformats.org/drawingml/2006/main" xmlns:pic="http://schemas.openxmlformats.org/drawingml/2006/picture">
            <wp:extent cx="5760000" cy="2215385"/>
            <wp:docPr id="11" name="Picture 11"/>
            <wp:cNvGraphicFramePr>
              <a:graphicFrameLocks noChangeAspect="1"/>
            </wp:cNvGraphicFramePr>
            <a:graphic>
              <a:graphicData uri="http://schemas.openxmlformats.org/drawingml/2006/picture">
                <pic:pic>
                  <pic:nvPicPr>
                    <pic:cNvPr id="0" name="shift_sources.png"/>
                    <pic:cNvPicPr/>
                  </pic:nvPicPr>
                  <pic:blipFill>
                    <a:blip r:embed="rId19"/>
                    <a:stretch>
                      <a:fillRect/>
                    </a:stretch>
                  </pic:blipFill>
                  <pic:spPr>
                    <a:xfrm>
                      <a:off x="0" y="0"/>
                      <a:ext cx="5760000" cy="2215385"/>
                    </a:xfrm>
                    <a:prstGeom prst="rect"/>
                  </pic:spPr>
                </pic:pic>
              </a:graphicData>
            </a:graphic>
          </wp:inline>
        </w:drawing>
      </w:r>
    </w:p>
    <w:p>
      <w:r>
        <w:rPr>
          <w:i/>
          <w:sz w:val="16"/>
        </w:rPr>
        <w:t>Figure 4.2 — Where the LRT trips come from (car, Metronit, bus), whole line and the part using the extension, by scenario, peak hour.</w:t>
      </w:r>
    </w:p>
    <w:p>
      <w:pPr>
        <w:pStyle w:val="Heading2"/>
      </w:pPr>
      <w:r>
        <w:t>4.3 Where the demand comes from — markets</w:t>
      </w:r>
    </w:p>
    <w:p>
      <w:r>
        <w:t>The LRT trips of the reference case grouped by the corridor areas of their two ends (Output/alternatives/AM/BU_2050/main_ext_prioritized/t_lrt_area_v2.csv; both directions added), and the ten largest area pairs. "Haifa" is Matam to Hamifrats (areas 202–210); the Krayot (areas 101–104, 301–304) are off the line and reach it by bus or Metronit feeder; the main route is Bazan-Hutsot to Nazareth (211–217). "Crossing Hamifrats" is the load on the S24–M02 segment in both directions, i.e. every trip that rides from one side of the junction to the other.</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1,663</w:t>
            </w:r>
          </w:p>
        </w:tc>
        <w:tc>
          <w:tcPr>
            <w:tcW w:type="dxa" w:w="3324"/>
          </w:tcPr>
          <w:p>
            <w:r>
              <w:rPr>
                <w:sz w:val="14"/>
              </w:rPr>
              <w:t>22 %</w:t>
            </w:r>
          </w:p>
        </w:tc>
      </w:tr>
      <w:tr>
        <w:tc>
          <w:tcPr>
            <w:tcW w:type="dxa" w:w="3324"/>
          </w:tcPr>
          <w:p>
            <w:r>
              <w:rPr>
                <w:sz w:val="14"/>
              </w:rPr>
              <w:t>Tirat Carmel ↔ Haifa</w:t>
            </w:r>
          </w:p>
        </w:tc>
        <w:tc>
          <w:tcPr>
            <w:tcW w:type="dxa" w:w="3324"/>
          </w:tcPr>
          <w:p>
            <w:r>
              <w:rPr>
                <w:sz w:val="14"/>
              </w:rPr>
              <w:t>2,189</w:t>
            </w:r>
          </w:p>
        </w:tc>
        <w:tc>
          <w:tcPr>
            <w:tcW w:type="dxa" w:w="3324"/>
          </w:tcPr>
          <w:p>
            <w:r>
              <w:rPr>
                <w:sz w:val="14"/>
              </w:rPr>
              <w:t>29 %</w:t>
            </w:r>
          </w:p>
        </w:tc>
      </w:tr>
      <w:tr>
        <w:tc>
          <w:tcPr>
            <w:tcW w:type="dxa" w:w="3324"/>
          </w:tcPr>
          <w:p>
            <w:r>
              <w:rPr>
                <w:sz w:val="14"/>
              </w:rPr>
              <w:t>Krayot ↔ Haifa (Krayot by feeder)</w:t>
            </w:r>
          </w:p>
        </w:tc>
        <w:tc>
          <w:tcPr>
            <w:tcW w:type="dxa" w:w="3324"/>
          </w:tcPr>
          <w:p>
            <w:r>
              <w:rPr>
                <w:sz w:val="14"/>
              </w:rPr>
              <w:t>1,665</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891</w:t>
            </w:r>
          </w:p>
        </w:tc>
        <w:tc>
          <w:tcPr>
            <w:tcW w:type="dxa" w:w="3324"/>
          </w:tcPr>
          <w:p>
            <w:r>
              <w:rPr>
                <w:sz w:val="14"/>
              </w:rPr>
              <w:t>12 %</w:t>
            </w:r>
          </w:p>
        </w:tc>
      </w:tr>
      <w:tr>
        <w:tc>
          <w:tcPr>
            <w:tcW w:type="dxa" w:w="3324"/>
          </w:tcPr>
          <w:p>
            <w:r>
              <w:rPr>
                <w:sz w:val="14"/>
              </w:rPr>
              <w:t>Main route ↔ Krayot / Tirat Carmel</w:t>
            </w:r>
          </w:p>
        </w:tc>
        <w:tc>
          <w:tcPr>
            <w:tcW w:type="dxa" w:w="3324"/>
          </w:tcPr>
          <w:p>
            <w:r>
              <w:rPr>
                <w:sz w:val="14"/>
              </w:rPr>
              <w:t>522</w:t>
            </w:r>
          </w:p>
        </w:tc>
        <w:tc>
          <w:tcPr>
            <w:tcW w:type="dxa" w:w="3324"/>
          </w:tcPr>
          <w:p>
            <w:r>
              <w:rPr>
                <w:sz w:val="14"/>
              </w:rPr>
              <w:t>7 %</w:t>
            </w:r>
          </w:p>
        </w:tc>
      </w:tr>
      <w:tr>
        <w:tc>
          <w:tcPr>
            <w:tcW w:type="dxa" w:w="3324"/>
          </w:tcPr>
          <w:p>
            <w:r>
              <w:rPr>
                <w:sz w:val="14"/>
              </w:rPr>
              <w:t>within the main route</w:t>
            </w:r>
          </w:p>
        </w:tc>
        <w:tc>
          <w:tcPr>
            <w:tcW w:type="dxa" w:w="3324"/>
          </w:tcPr>
          <w:p>
            <w:r>
              <w:rPr>
                <w:sz w:val="14"/>
              </w:rPr>
              <w:t>306</w:t>
            </w:r>
          </w:p>
        </w:tc>
        <w:tc>
          <w:tcPr>
            <w:tcW w:type="dxa" w:w="3324"/>
          </w:tcPr>
          <w:p>
            <w:r>
              <w:rPr>
                <w:sz w:val="14"/>
              </w:rPr>
              <w:t>4 %</w:t>
            </w:r>
          </w:p>
        </w:tc>
      </w:tr>
      <w:tr>
        <w:tc>
          <w:tcPr>
            <w:tcW w:type="dxa" w:w="3324"/>
          </w:tcPr>
          <w:p>
            <w:r>
              <w:rPr>
                <w:sz w:val="14"/>
              </w:rPr>
              <w:t>Krayot ↔ Tirat Carmel</w:t>
            </w:r>
          </w:p>
        </w:tc>
        <w:tc>
          <w:tcPr>
            <w:tcW w:type="dxa" w:w="3324"/>
          </w:tcPr>
          <w:p>
            <w:r>
              <w:rPr>
                <w:sz w:val="14"/>
              </w:rPr>
              <w:t>193</w:t>
            </w:r>
          </w:p>
        </w:tc>
        <w:tc>
          <w:tcPr>
            <w:tcW w:type="dxa" w:w="3324"/>
          </w:tcPr>
          <w:p>
            <w:r>
              <w:rPr>
                <w:sz w:val="14"/>
              </w:rPr>
              <w:t>3 %</w:t>
            </w:r>
          </w:p>
        </w:tc>
      </w:tr>
      <w:tr>
        <w:tc>
          <w:tcPr>
            <w:tcW w:type="dxa" w:w="3324"/>
          </w:tcPr>
          <w:p>
            <w:r>
              <w:rPr>
                <w:sz w:val="14"/>
              </w:rPr>
              <w:t>crossing Hamifrats (ride the S24–M02 segment)</w:t>
            </w:r>
          </w:p>
        </w:tc>
        <w:tc>
          <w:tcPr>
            <w:tcW w:type="dxa" w:w="3324"/>
          </w:tcPr>
          <w:p>
            <w:r>
              <w:rPr>
                <w:sz w:val="14"/>
              </w:rPr>
              <w:t>2,849</w:t>
            </w:r>
          </w:p>
        </w:tc>
        <w:tc>
          <w:tcPr>
            <w:tcW w:type="dxa" w:w="3324"/>
          </w:tcPr>
          <w:p>
            <w:r>
              <w:rPr>
                <w:sz w:val="14"/>
              </w:rPr>
              <w:t>38 %</w:t>
            </w:r>
          </w:p>
        </w:tc>
      </w:tr>
      <w:tr>
        <w:tc>
          <w:tcPr>
            <w:tcW w:type="dxa" w:w="3324"/>
          </w:tcPr>
          <w:p>
            <w:r>
              <w:rPr>
                <w:sz w:val="14"/>
              </w:rPr>
              <w:t>purely extension to extension (both ends at S01–S24)</w:t>
            </w:r>
          </w:p>
        </w:tc>
        <w:tc>
          <w:tcPr>
            <w:tcW w:type="dxa" w:w="3324"/>
          </w:tcPr>
          <w:p>
            <w:r>
              <w:rPr>
                <w:sz w:val="14"/>
              </w:rPr>
              <w:t>3,851</w:t>
            </w:r>
          </w:p>
        </w:tc>
        <w:tc>
          <w:tcPr>
            <w:tcW w:type="dxa" w:w="3324"/>
          </w:tcPr>
          <w:p>
            <w:r>
              <w:rPr>
                <w:sz w:val="14"/>
              </w:rPr>
              <w:t>52 %</w:t>
            </w:r>
          </w:p>
        </w:tc>
      </w:tr>
      <w:tr>
        <w:tc>
          <w:tcPr>
            <w:tcW w:type="dxa" w:w="3324"/>
          </w:tcPr>
          <w:p>
            <w:r>
              <w:rPr>
                <w:sz w:val="14"/>
              </w:rPr>
              <w:t>using the extension at all</w:t>
            </w:r>
          </w:p>
        </w:tc>
        <w:tc>
          <w:tcPr>
            <w:tcW w:type="dxa" w:w="3324"/>
          </w:tcPr>
          <w:p>
            <w:r>
              <w:rPr>
                <w:sz w:val="14"/>
              </w:rPr>
              <w:t>6,003</w:t>
            </w:r>
          </w:p>
        </w:tc>
        <w:tc>
          <w:tcPr>
            <w:tcW w:type="dxa" w:w="3324"/>
          </w:tcPr>
          <w:p>
            <w:r>
              <w:rPr>
                <w:sz w:val="14"/>
              </w:rPr>
              <w:t>81 %</w:t>
            </w:r>
          </w:p>
        </w:tc>
      </w:tr>
    </w:tbl>
    <w:p>
      <w:r>
        <w:rPr>
          <w:sz w:val="16"/>
        </w:rPr>
        <w:t>Table 4.5 — Markets of the LRT trips, AM three hours, 2050 BU (total 7,432).</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4"/>
              </w:rPr>
              <w:t>market</w:t>
            </w:r>
          </w:p>
        </w:tc>
        <w:tc>
          <w:tcPr>
            <w:tcW w:type="dxa" w:w="3324"/>
          </w:tcPr>
          <w:p>
            <w:r>
              <w:rPr>
                <w:b/>
                <w:sz w:val="14"/>
              </w:rPr>
              <w:t>LRT trips (3 h)</w:t>
            </w:r>
          </w:p>
        </w:tc>
        <w:tc>
          <w:tcPr>
            <w:tcW w:type="dxa" w:w="3324"/>
          </w:tcPr>
          <w:p>
            <w:r>
              <w:rPr>
                <w:b/>
                <w:sz w:val="14"/>
              </w:rPr>
              <w:t>share of all LRT trips</w:t>
            </w:r>
          </w:p>
        </w:tc>
      </w:tr>
      <w:tr>
        <w:tc>
          <w:tcPr>
            <w:tcW w:type="dxa" w:w="3324"/>
          </w:tcPr>
          <w:p>
            <w:r>
              <w:rPr>
                <w:sz w:val="14"/>
              </w:rPr>
              <w:t>Haifa internal (both ends Matam – Hamifrats)</w:t>
            </w:r>
          </w:p>
        </w:tc>
        <w:tc>
          <w:tcPr>
            <w:tcW w:type="dxa" w:w="3324"/>
          </w:tcPr>
          <w:p>
            <w:r>
              <w:rPr>
                <w:sz w:val="14"/>
              </w:rPr>
              <w:t>3,027</w:t>
            </w:r>
          </w:p>
        </w:tc>
        <w:tc>
          <w:tcPr>
            <w:tcW w:type="dxa" w:w="3324"/>
          </w:tcPr>
          <w:p>
            <w:r>
              <w:rPr>
                <w:sz w:val="14"/>
              </w:rPr>
              <w:t>33 %</w:t>
            </w:r>
          </w:p>
        </w:tc>
      </w:tr>
      <w:tr>
        <w:tc>
          <w:tcPr>
            <w:tcW w:type="dxa" w:w="3324"/>
          </w:tcPr>
          <w:p>
            <w:r>
              <w:rPr>
                <w:sz w:val="14"/>
              </w:rPr>
              <w:t>Tirat Carmel ↔ Haifa</w:t>
            </w:r>
          </w:p>
        </w:tc>
        <w:tc>
          <w:tcPr>
            <w:tcW w:type="dxa" w:w="3324"/>
          </w:tcPr>
          <w:p>
            <w:r>
              <w:rPr>
                <w:sz w:val="14"/>
              </w:rPr>
              <w:t>1,041</w:t>
            </w:r>
          </w:p>
        </w:tc>
        <w:tc>
          <w:tcPr>
            <w:tcW w:type="dxa" w:w="3324"/>
          </w:tcPr>
          <w:p>
            <w:r>
              <w:rPr>
                <w:sz w:val="14"/>
              </w:rPr>
              <w:t>11 %</w:t>
            </w:r>
          </w:p>
        </w:tc>
      </w:tr>
      <w:tr>
        <w:tc>
          <w:tcPr>
            <w:tcW w:type="dxa" w:w="3324"/>
          </w:tcPr>
          <w:p>
            <w:r>
              <w:rPr>
                <w:sz w:val="14"/>
              </w:rPr>
              <w:t>Krayot ↔ Haifa (Krayot by feeder)</w:t>
            </w:r>
          </w:p>
        </w:tc>
        <w:tc>
          <w:tcPr>
            <w:tcW w:type="dxa" w:w="3324"/>
          </w:tcPr>
          <w:p>
            <w:r>
              <w:rPr>
                <w:sz w:val="14"/>
              </w:rPr>
              <w:t>2,030</w:t>
            </w:r>
          </w:p>
        </w:tc>
        <w:tc>
          <w:tcPr>
            <w:tcW w:type="dxa" w:w="3324"/>
          </w:tcPr>
          <w:p>
            <w:r>
              <w:rPr>
                <w:sz w:val="14"/>
              </w:rPr>
              <w:t>22 %</w:t>
            </w:r>
          </w:p>
        </w:tc>
      </w:tr>
      <w:tr>
        <w:tc>
          <w:tcPr>
            <w:tcW w:type="dxa" w:w="3324"/>
          </w:tcPr>
          <w:p>
            <w:r>
              <w:rPr>
                <w:sz w:val="14"/>
              </w:rPr>
              <w:t>Main route (Kiryat Ata – Nazareth) ↔ Haifa</w:t>
            </w:r>
          </w:p>
        </w:tc>
        <w:tc>
          <w:tcPr>
            <w:tcW w:type="dxa" w:w="3324"/>
          </w:tcPr>
          <w:p>
            <w:r>
              <w:rPr>
                <w:sz w:val="14"/>
              </w:rPr>
              <w:t>1,533</w:t>
            </w:r>
          </w:p>
        </w:tc>
        <w:tc>
          <w:tcPr>
            <w:tcW w:type="dxa" w:w="3324"/>
          </w:tcPr>
          <w:p>
            <w:r>
              <w:rPr>
                <w:sz w:val="14"/>
              </w:rPr>
              <w:t>17 %</w:t>
            </w:r>
          </w:p>
        </w:tc>
      </w:tr>
      <w:tr>
        <w:tc>
          <w:tcPr>
            <w:tcW w:type="dxa" w:w="3324"/>
          </w:tcPr>
          <w:p>
            <w:r>
              <w:rPr>
                <w:sz w:val="14"/>
              </w:rPr>
              <w:t>Main route ↔ Krayot / Tirat Carmel</w:t>
            </w:r>
          </w:p>
        </w:tc>
        <w:tc>
          <w:tcPr>
            <w:tcW w:type="dxa" w:w="3324"/>
          </w:tcPr>
          <w:p>
            <w:r>
              <w:rPr>
                <w:sz w:val="14"/>
              </w:rPr>
              <w:t>846</w:t>
            </w:r>
          </w:p>
        </w:tc>
        <w:tc>
          <w:tcPr>
            <w:tcW w:type="dxa" w:w="3324"/>
          </w:tcPr>
          <w:p>
            <w:r>
              <w:rPr>
                <w:sz w:val="14"/>
              </w:rPr>
              <w:t>9 %</w:t>
            </w:r>
          </w:p>
        </w:tc>
      </w:tr>
      <w:tr>
        <w:tc>
          <w:tcPr>
            <w:tcW w:type="dxa" w:w="3324"/>
          </w:tcPr>
          <w:p>
            <w:r>
              <w:rPr>
                <w:sz w:val="14"/>
              </w:rPr>
              <w:t>within the main route</w:t>
            </w:r>
          </w:p>
        </w:tc>
        <w:tc>
          <w:tcPr>
            <w:tcW w:type="dxa" w:w="3324"/>
          </w:tcPr>
          <w:p>
            <w:r>
              <w:rPr>
                <w:sz w:val="14"/>
              </w:rPr>
              <w:t>639</w:t>
            </w:r>
          </w:p>
        </w:tc>
        <w:tc>
          <w:tcPr>
            <w:tcW w:type="dxa" w:w="3324"/>
          </w:tcPr>
          <w:p>
            <w:r>
              <w:rPr>
                <w:sz w:val="14"/>
              </w:rPr>
              <w:t>7 %</w:t>
            </w:r>
          </w:p>
        </w:tc>
      </w:tr>
      <w:tr>
        <w:tc>
          <w:tcPr>
            <w:tcW w:type="dxa" w:w="3324"/>
          </w:tcPr>
          <w:p>
            <w:r>
              <w:rPr>
                <w:sz w:val="14"/>
              </w:rPr>
              <w:t>Krayot ↔ Tirat Carmel</w:t>
            </w:r>
          </w:p>
        </w:tc>
        <w:tc>
          <w:tcPr>
            <w:tcW w:type="dxa" w:w="3324"/>
          </w:tcPr>
          <w:p>
            <w:r>
              <w:rPr>
                <w:sz w:val="14"/>
              </w:rPr>
              <w:t>105</w:t>
            </w:r>
          </w:p>
        </w:tc>
        <w:tc>
          <w:tcPr>
            <w:tcW w:type="dxa" w:w="3324"/>
          </w:tcPr>
          <w:p>
            <w:r>
              <w:rPr>
                <w:sz w:val="14"/>
              </w:rPr>
              <w:t>1 %</w:t>
            </w:r>
          </w:p>
        </w:tc>
      </w:tr>
      <w:tr>
        <w:tc>
          <w:tcPr>
            <w:tcW w:type="dxa" w:w="3324"/>
          </w:tcPr>
          <w:p>
            <w:r>
              <w:rPr>
                <w:sz w:val="14"/>
              </w:rPr>
              <w:t>crossing Hamifrats (ride the S24–M02 segment)</w:t>
            </w:r>
          </w:p>
        </w:tc>
        <w:tc>
          <w:tcPr>
            <w:tcW w:type="dxa" w:w="3324"/>
          </w:tcPr>
          <w:p>
            <w:r>
              <w:rPr>
                <w:sz w:val="14"/>
              </w:rPr>
              <w:t>3,711</w:t>
            </w:r>
          </w:p>
        </w:tc>
        <w:tc>
          <w:tcPr>
            <w:tcW w:type="dxa" w:w="3324"/>
          </w:tcPr>
          <w:p>
            <w:r>
              <w:rPr>
                <w:sz w:val="14"/>
              </w:rPr>
              <w:t>40 %</w:t>
            </w:r>
          </w:p>
        </w:tc>
      </w:tr>
      <w:tr>
        <w:tc>
          <w:tcPr>
            <w:tcW w:type="dxa" w:w="3324"/>
          </w:tcPr>
          <w:p>
            <w:r>
              <w:rPr>
                <w:sz w:val="14"/>
              </w:rPr>
              <w:t>purely extension to extension (both ends at S01–S24)</w:t>
            </w:r>
          </w:p>
        </w:tc>
        <w:tc>
          <w:tcPr>
            <w:tcW w:type="dxa" w:w="3324"/>
          </w:tcPr>
          <w:p>
            <w:r>
              <w:rPr>
                <w:sz w:val="14"/>
              </w:rPr>
              <w:t>4,068</w:t>
            </w:r>
          </w:p>
        </w:tc>
        <w:tc>
          <w:tcPr>
            <w:tcW w:type="dxa" w:w="3324"/>
          </w:tcPr>
          <w:p>
            <w:r>
              <w:rPr>
                <w:sz w:val="14"/>
              </w:rPr>
              <w:t>44 %</w:t>
            </w:r>
          </w:p>
        </w:tc>
      </w:tr>
      <w:tr>
        <w:tc>
          <w:tcPr>
            <w:tcW w:type="dxa" w:w="3324"/>
          </w:tcPr>
          <w:p>
            <w:r>
              <w:rPr>
                <w:sz w:val="14"/>
              </w:rPr>
              <w:t>using the extension at all</w:t>
            </w:r>
          </w:p>
        </w:tc>
        <w:tc>
          <w:tcPr>
            <w:tcW w:type="dxa" w:w="3324"/>
          </w:tcPr>
          <w:p>
            <w:r>
              <w:rPr>
                <w:sz w:val="14"/>
              </w:rPr>
              <w:t>7,010</w:t>
            </w:r>
          </w:p>
        </w:tc>
        <w:tc>
          <w:tcPr>
            <w:tcW w:type="dxa" w:w="3324"/>
          </w:tcPr>
          <w:p>
            <w:r>
              <w:rPr>
                <w:sz w:val="14"/>
              </w:rPr>
              <w:t>76 %</w:t>
            </w:r>
          </w:p>
        </w:tc>
      </w:tr>
    </w:tbl>
    <w:p>
      <w:r>
        <w:rPr>
          <w:sz w:val="16"/>
        </w:rPr>
        <w:t>Table 4.6 — Markets of the LRT trips, AM three hours, 2050 HS (total 9,225).</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rank</w:t>
            </w:r>
          </w:p>
        </w:tc>
        <w:tc>
          <w:tcPr>
            <w:tcW w:type="dxa" w:w="2493"/>
          </w:tcPr>
          <w:p>
            <w:r>
              <w:rPr>
                <w:b/>
                <w:sz w:val="14"/>
              </w:rPr>
              <w:t>area pair (both directions)</w:t>
            </w:r>
          </w:p>
        </w:tc>
        <w:tc>
          <w:tcPr>
            <w:tcW w:type="dxa" w:w="2493"/>
          </w:tcPr>
          <w:p>
            <w:r>
              <w:rPr>
                <w:b/>
                <w:sz w:val="14"/>
              </w:rPr>
              <w:t>LRT trips (3 h)</w:t>
            </w:r>
          </w:p>
        </w:tc>
        <w:tc>
          <w:tcPr>
            <w:tcW w:type="dxa" w:w="2493"/>
          </w:tcPr>
          <w:p>
            <w:r>
              <w:rPr>
                <w:b/>
                <w:sz w:val="14"/>
              </w:rPr>
              <w:t>share of all LRT trips</w:t>
            </w:r>
          </w:p>
        </w:tc>
      </w:tr>
      <w:tr>
        <w:tc>
          <w:tcPr>
            <w:tcW w:type="dxa" w:w="2493"/>
          </w:tcPr>
          <w:p>
            <w:r>
              <w:rPr>
                <w:sz w:val="14"/>
              </w:rPr>
              <w:t>1</w:t>
            </w:r>
          </w:p>
        </w:tc>
        <w:tc>
          <w:tcPr>
            <w:tcW w:type="dxa" w:w="2493"/>
          </w:tcPr>
          <w:p>
            <w:r>
              <w:rPr>
                <w:sz w:val="14"/>
              </w:rPr>
              <w:t>TiratCarmel – BatGalim-KiryatEliezer</w:t>
            </w:r>
          </w:p>
        </w:tc>
        <w:tc>
          <w:tcPr>
            <w:tcW w:type="dxa" w:w="2493"/>
          </w:tcPr>
          <w:p>
            <w:r>
              <w:rPr>
                <w:sz w:val="14"/>
              </w:rPr>
              <w:t>820</w:t>
            </w:r>
          </w:p>
        </w:tc>
        <w:tc>
          <w:tcPr>
            <w:tcW w:type="dxa" w:w="2493"/>
          </w:tcPr>
          <w:p>
            <w:r>
              <w:rPr>
                <w:sz w:val="14"/>
              </w:rPr>
              <w:t>11.0 %</w:t>
            </w:r>
          </w:p>
        </w:tc>
      </w:tr>
      <w:tr>
        <w:tc>
          <w:tcPr>
            <w:tcW w:type="dxa" w:w="2493"/>
          </w:tcPr>
          <w:p>
            <w:r>
              <w:rPr>
                <w:sz w:val="14"/>
              </w:rPr>
              <w:t>2</w:t>
            </w:r>
          </w:p>
        </w:tc>
        <w:tc>
          <w:tcPr>
            <w:tcW w:type="dxa" w:w="2493"/>
          </w:tcPr>
          <w:p>
            <w:r>
              <w:rPr>
                <w:sz w:val="14"/>
              </w:rPr>
              <w:t>TiratCarmel – Matam-NeotPeres</w:t>
            </w:r>
          </w:p>
        </w:tc>
        <w:tc>
          <w:tcPr>
            <w:tcW w:type="dxa" w:w="2493"/>
          </w:tcPr>
          <w:p>
            <w:r>
              <w:rPr>
                <w:sz w:val="14"/>
              </w:rPr>
              <w:t>481</w:t>
            </w:r>
          </w:p>
        </w:tc>
        <w:tc>
          <w:tcPr>
            <w:tcW w:type="dxa" w:w="2493"/>
          </w:tcPr>
          <w:p>
            <w:r>
              <w:rPr>
                <w:sz w:val="14"/>
              </w:rPr>
              <w:t>6.5 %</w:t>
            </w:r>
          </w:p>
        </w:tc>
      </w:tr>
      <w:tr>
        <w:tc>
          <w:tcPr>
            <w:tcW w:type="dxa" w:w="2493"/>
          </w:tcPr>
          <w:p>
            <w:r>
              <w:rPr>
                <w:sz w:val="14"/>
              </w:rPr>
              <w:t>3</w:t>
            </w:r>
          </w:p>
        </w:tc>
        <w:tc>
          <w:tcPr>
            <w:tcW w:type="dxa" w:w="2493"/>
          </w:tcPr>
          <w:p>
            <w:r>
              <w:rPr>
                <w:sz w:val="14"/>
              </w:rPr>
              <w:t>TiratCarmel – LowerCity</w:t>
            </w:r>
          </w:p>
        </w:tc>
        <w:tc>
          <w:tcPr>
            <w:tcW w:type="dxa" w:w="2493"/>
          </w:tcPr>
          <w:p>
            <w:r>
              <w:rPr>
                <w:sz w:val="14"/>
              </w:rPr>
              <w:t>222</w:t>
            </w:r>
          </w:p>
        </w:tc>
        <w:tc>
          <w:tcPr>
            <w:tcW w:type="dxa" w:w="2493"/>
          </w:tcPr>
          <w:p>
            <w:r>
              <w:rPr>
                <w:sz w:val="14"/>
              </w:rPr>
              <w:t>3.0 %</w:t>
            </w:r>
          </w:p>
        </w:tc>
      </w:tr>
      <w:tr>
        <w:tc>
          <w:tcPr>
            <w:tcW w:type="dxa" w:w="2493"/>
          </w:tcPr>
          <w:p>
            <w:r>
              <w:rPr>
                <w:sz w:val="14"/>
              </w:rPr>
              <w:t>4</w:t>
            </w:r>
          </w:p>
        </w:tc>
        <w:tc>
          <w:tcPr>
            <w:tcW w:type="dxa" w:w="2493"/>
          </w:tcPr>
          <w:p>
            <w:r>
              <w:rPr>
                <w:sz w:val="14"/>
              </w:rPr>
              <w:t>TiratCarmel – Hecht-Shprintzak</w:t>
            </w:r>
          </w:p>
        </w:tc>
        <w:tc>
          <w:tcPr>
            <w:tcW w:type="dxa" w:w="2493"/>
          </w:tcPr>
          <w:p>
            <w:r>
              <w:rPr>
                <w:sz w:val="14"/>
              </w:rPr>
              <w:t>164</w:t>
            </w:r>
          </w:p>
        </w:tc>
        <w:tc>
          <w:tcPr>
            <w:tcW w:type="dxa" w:w="2493"/>
          </w:tcPr>
          <w:p>
            <w:r>
              <w:rPr>
                <w:sz w:val="14"/>
              </w:rPr>
              <w:t>2.2 %</w:t>
            </w:r>
          </w:p>
        </w:tc>
      </w:tr>
      <w:tr>
        <w:tc>
          <w:tcPr>
            <w:tcW w:type="dxa" w:w="2493"/>
          </w:tcPr>
          <w:p>
            <w:r>
              <w:rPr>
                <w:sz w:val="14"/>
              </w:rPr>
              <w:t>5</w:t>
            </w:r>
          </w:p>
        </w:tc>
        <w:tc>
          <w:tcPr>
            <w:tcW w:type="dxa" w:w="2493"/>
          </w:tcPr>
          <w:p>
            <w:r>
              <w:rPr>
                <w:sz w:val="14"/>
              </w:rPr>
              <w:t>Matam-NeotPeres – BatGalim-KiryatEliezer</w:t>
            </w:r>
          </w:p>
        </w:tc>
        <w:tc>
          <w:tcPr>
            <w:tcW w:type="dxa" w:w="2493"/>
          </w:tcPr>
          <w:p>
            <w:r>
              <w:rPr>
                <w:sz w:val="14"/>
              </w:rPr>
              <w:t>153</w:t>
            </w:r>
          </w:p>
        </w:tc>
        <w:tc>
          <w:tcPr>
            <w:tcW w:type="dxa" w:w="2493"/>
          </w:tcPr>
          <w:p>
            <w:r>
              <w:rPr>
                <w:sz w:val="14"/>
              </w:rPr>
              <w:t>2.1 %</w:t>
            </w:r>
          </w:p>
        </w:tc>
      </w:tr>
      <w:tr>
        <w:tc>
          <w:tcPr>
            <w:tcW w:type="dxa" w:w="2493"/>
          </w:tcPr>
          <w:p>
            <w:r>
              <w:rPr>
                <w:sz w:val="14"/>
              </w:rPr>
              <w:t>6</w:t>
            </w:r>
          </w:p>
        </w:tc>
        <w:tc>
          <w:tcPr>
            <w:tcW w:type="dxa" w:w="2493"/>
          </w:tcPr>
          <w:p>
            <w:r>
              <w:rPr>
                <w:sz w:val="14"/>
              </w:rPr>
              <w:t>TiratCarmel – Namal-Giborim</w:t>
            </w:r>
          </w:p>
        </w:tc>
        <w:tc>
          <w:tcPr>
            <w:tcW w:type="dxa" w:w="2493"/>
          </w:tcPr>
          <w:p>
            <w:r>
              <w:rPr>
                <w:sz w:val="14"/>
              </w:rPr>
              <w:t>131</w:t>
            </w:r>
          </w:p>
        </w:tc>
        <w:tc>
          <w:tcPr>
            <w:tcW w:type="dxa" w:w="2493"/>
          </w:tcPr>
          <w:p>
            <w:r>
              <w:rPr>
                <w:sz w:val="14"/>
              </w:rPr>
              <w:t>1.8 %</w:t>
            </w:r>
          </w:p>
        </w:tc>
      </w:tr>
      <w:tr>
        <w:tc>
          <w:tcPr>
            <w:tcW w:type="dxa" w:w="2493"/>
          </w:tcPr>
          <w:p>
            <w:r>
              <w:rPr>
                <w:sz w:val="14"/>
              </w:rPr>
              <w:t>7</w:t>
            </w:r>
          </w:p>
        </w:tc>
        <w:tc>
          <w:tcPr>
            <w:tcW w:type="dxa" w:w="2493"/>
          </w:tcPr>
          <w:p>
            <w:r>
              <w:rPr>
                <w:sz w:val="14"/>
              </w:rPr>
              <w:t>Hamifrats – Shefaram</w:t>
            </w:r>
          </w:p>
        </w:tc>
        <w:tc>
          <w:tcPr>
            <w:tcW w:type="dxa" w:w="2493"/>
          </w:tcPr>
          <w:p>
            <w:r>
              <w:rPr>
                <w:sz w:val="14"/>
              </w:rPr>
              <w:t>126</w:t>
            </w:r>
          </w:p>
        </w:tc>
        <w:tc>
          <w:tcPr>
            <w:tcW w:type="dxa" w:w="2493"/>
          </w:tcPr>
          <w:p>
            <w:r>
              <w:rPr>
                <w:sz w:val="14"/>
              </w:rPr>
              <w:t>1.7 %</w:t>
            </w:r>
          </w:p>
        </w:tc>
      </w:tr>
      <w:tr>
        <w:tc>
          <w:tcPr>
            <w:tcW w:type="dxa" w:w="2493"/>
          </w:tcPr>
          <w:p>
            <w:r>
              <w:rPr>
                <w:sz w:val="14"/>
              </w:rPr>
              <w:t>8</w:t>
            </w:r>
          </w:p>
        </w:tc>
        <w:tc>
          <w:tcPr>
            <w:tcW w:type="dxa" w:w="2493"/>
          </w:tcPr>
          <w:p>
            <w:r>
              <w:rPr>
                <w:sz w:val="14"/>
              </w:rPr>
              <w:t>Hecht-Shprintzak – BatGalim-KiryatEliezer</w:t>
            </w:r>
          </w:p>
        </w:tc>
        <w:tc>
          <w:tcPr>
            <w:tcW w:type="dxa" w:w="2493"/>
          </w:tcPr>
          <w:p>
            <w:r>
              <w:rPr>
                <w:sz w:val="14"/>
              </w:rPr>
              <w:t>113</w:t>
            </w:r>
          </w:p>
        </w:tc>
        <w:tc>
          <w:tcPr>
            <w:tcW w:type="dxa" w:w="2493"/>
          </w:tcPr>
          <w:p>
            <w:r>
              <w:rPr>
                <w:sz w:val="14"/>
              </w:rPr>
              <w:t>1.5 %</w:t>
            </w:r>
          </w:p>
        </w:tc>
      </w:tr>
      <w:tr>
        <w:tc>
          <w:tcPr>
            <w:tcW w:type="dxa" w:w="2493"/>
          </w:tcPr>
          <w:p>
            <w:r>
              <w:rPr>
                <w:sz w:val="14"/>
              </w:rPr>
              <w:t>9</w:t>
            </w:r>
          </w:p>
        </w:tc>
        <w:tc>
          <w:tcPr>
            <w:tcW w:type="dxa" w:w="2493"/>
          </w:tcPr>
          <w:p>
            <w:r>
              <w:rPr>
                <w:sz w:val="14"/>
              </w:rPr>
              <w:t>TiratCarmel – Hamifrats</w:t>
            </w:r>
          </w:p>
        </w:tc>
        <w:tc>
          <w:tcPr>
            <w:tcW w:type="dxa" w:w="2493"/>
          </w:tcPr>
          <w:p>
            <w:r>
              <w:rPr>
                <w:sz w:val="14"/>
              </w:rPr>
              <w:t>108</w:t>
            </w:r>
          </w:p>
        </w:tc>
        <w:tc>
          <w:tcPr>
            <w:tcW w:type="dxa" w:w="2493"/>
          </w:tcPr>
          <w:p>
            <w:r>
              <w:rPr>
                <w:sz w:val="14"/>
              </w:rPr>
              <w:t>1.5 %</w:t>
            </w:r>
          </w:p>
        </w:tc>
      </w:tr>
      <w:tr>
        <w:tc>
          <w:tcPr>
            <w:tcW w:type="dxa" w:w="2493"/>
          </w:tcPr>
          <w:p>
            <w:r>
              <w:rPr>
                <w:sz w:val="14"/>
              </w:rPr>
              <w:t>10</w:t>
            </w:r>
          </w:p>
        </w:tc>
        <w:tc>
          <w:tcPr>
            <w:tcW w:type="dxa" w:w="2493"/>
          </w:tcPr>
          <w:p>
            <w:r>
              <w:rPr>
                <w:sz w:val="14"/>
              </w:rPr>
              <w:t>TiratCarmel – HofCarmel-NeveDavid</w:t>
            </w:r>
          </w:p>
        </w:tc>
        <w:tc>
          <w:tcPr>
            <w:tcW w:type="dxa" w:w="2493"/>
          </w:tcPr>
          <w:p>
            <w:r>
              <w:rPr>
                <w:sz w:val="14"/>
              </w:rPr>
              <w:t>108</w:t>
            </w:r>
          </w:p>
        </w:tc>
        <w:tc>
          <w:tcPr>
            <w:tcW w:type="dxa" w:w="2493"/>
          </w:tcPr>
          <w:p>
            <w:r>
              <w:rPr>
                <w:sz w:val="14"/>
              </w:rPr>
              <w:t>1.5 %</w:t>
            </w:r>
          </w:p>
        </w:tc>
      </w:tr>
    </w:tbl>
    <w:p>
      <w:r>
        <w:rPr>
          <w:sz w:val="16"/>
        </w:rPr>
        <w:t>Table 4.7 — The ten largest area pairs of the LRT trips, AM three hours, 2050 BU.</w:t>
      </w:r>
    </w:p>
    <w:p>
      <w:r>
        <w:t>Reading. In 2050 BU the market has three legs of similar size: Tirat Carmel ↔ Haifa (29 %), Haifa internal (22 %) and the Krayot reaching Haifa by feeder (22 %); the main route's own areas add 12 % to Haifa and a few percent among themselves. 38 % of the trips cross Hamifrats and 52 % stay between extension stations. Tirat Carmel ↔ Bat Galim is the single largest pair. The HS 2050 set reads differently — Haifa internal a third, Tirat Carmel a tenth — because the high scenario moves population and jobs into Haifa's TAZs and seeds trips into pairs empty today (caveat 29); the composition, not only the total, is scenario-dependent, which is one reason to plan on the BU reference.</w:t>
      </w:r>
    </w:p>
    <w:p>
      <w:pPr>
        <w:pStyle w:val="Heading2"/>
      </w:pPr>
      <w:r>
        <w:t>4.4 What happens to the Metronit</w:t>
      </w:r>
    </w:p>
    <w:p>
      <w:r>
        <w:t>The model keeps every bus and Metronit line as it runs today (the June 2026 timetable) in every scenario-year and adds the LRT as a new path. Nothing is cut. The 3,731 trips shown as moving from the Metronit in 2050 BU (33 % of the corridor Metronit trips) are travellers on pairs whose best transit path today is the Metronit and for whom the LRT path is cheaper in generalized cost: a faster ride on the trunk, a station nearer their ends, or both. They choose the LRT while the Metronit still runs beside it. The remaining 7,816 Metronit trips stay because their path is still the cheaper one.</w:t>
      </w:r>
    </w:p>
    <w:p>
      <w:r>
        <w:t>Four consequences for reading the numbers:</w:t>
      </w:r>
    </w:p>
    <w:p>
      <w:pPr>
        <w:pStyle w:val="ListBullet"/>
      </w:pPr>
      <w:r>
        <w:t>The LRT and the Metronit coexist in the model on the whole trunk from Hof HaCarmel to the Krayot. The LRT's riders are, for the most part, today's transit riders on a better vehicle: the transit market itself grows only by the car shift, a few hundred to about a thousand trips in three hours. The LRT replaces existing transit capacity on the trunk far more than it creates a market.</w:t>
      </w:r>
    </w:p>
    <w:p>
      <w:pPr>
        <w:pStyle w:val="ListBullet"/>
      </w:pPr>
      <w:r>
        <w:t>Part of the "Metronit" and "bus" shift is a change of technology for one leg of the trip, not a new transit trip: the LRT path may begin or end with a Metronit or bus feeder (penalty 4 / 8 minutes), and such a trip is counted as an LRT trip. The Krayot market (1,665 trips) is almost entirely of this kind: Metronit riders who transfer to the LRT at Hamifrats or on the trunk. A rider count for the LRT is therefore a boarding count, not a count of trips that exist only because of the LRT.</w:t>
      </w:r>
    </w:p>
    <w:p>
      <w:pPr>
        <w:pStyle w:val="ListBullet"/>
      </w:pPr>
      <w:r>
        <w:t>If the Metronit were reduced on the overlap after opening, the riders it keeps in the model (the pairs where it is still cheaper) would have to move to the LRT or to the bus: the LRT loads on the trunk would rise, bounded by the Metronit's corridor trips before the LRT (11,282 in 2050 BU AM). The reverse, a feeder reorganisation that brings Metronit lines to the LRT stations, would raise the LRT's access quality and its draw. Neither is modelled; the report's figures are for the coexistence case, which is the conservative one for the LRT.</w:t>
      </w:r>
    </w:p>
    <w:p>
      <w:pPr>
        <w:pStyle w:val="ListBullet"/>
      </w:pPr>
      <w:r>
        <w:t>Whether the LRT and the Metronit are intended to coexist on the trunk is a network-planning decision outside this study. It changes the LRT's loads by up to the Metronit's trunk volume, more than any demand uncertainty in this report, and it should be settled before the figures are used for capacity.</w:t>
      </w:r>
    </w:p>
    <w:p>
      <w:pPr>
        <w:pStyle w:val="Heading2"/>
      </w:pPr>
      <w:r>
        <w:t>4.5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lrt_scenarios_AM.png"/>
                    <pic:cNvPicPr/>
                  </pic:nvPicPr>
                  <pic:blipFill>
                    <a:blip r:embed="rId20"/>
                    <a:stretch>
                      <a:fillRect/>
                    </a:stretch>
                  </pic:blipFill>
                  <pic:spPr>
                    <a:xfrm>
                      <a:off x="0" y="0"/>
                      <a:ext cx="9000000" cy="4846154"/>
                    </a:xfrm>
                    <a:prstGeom prst="rect"/>
                  </pic:spPr>
                </pic:pic>
              </a:graphicData>
            </a:graphic>
          </wp:inline>
        </w:drawing>
      </w:r>
    </w:p>
    <w:p>
      <w:r>
        <w:rPr>
          <w:i/>
          <w:sz w:val="16"/>
        </w:rPr>
        <w:t>Figure 4.3 — LRT flow by segment and direction, the four scenarios, AM.</w:t>
      </w:r>
    </w:p>
    <w:p>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lrt_scenarios_PM.png"/>
                    <pic:cNvPicPr/>
                  </pic:nvPicPr>
                  <pic:blipFill>
                    <a:blip r:embed="rId21"/>
                    <a:stretch>
                      <a:fillRect/>
                    </a:stretch>
                  </pic:blipFill>
                  <pic:spPr>
                    <a:xfrm>
                      <a:off x="0" y="0"/>
                      <a:ext cx="9000000" cy="4846154"/>
                    </a:xfrm>
                    <a:prstGeom prst="rect"/>
                  </pic:spPr>
                </pic:pic>
              </a:graphicData>
            </a:graphic>
          </wp:inline>
        </w:drawing>
      </w:r>
    </w:p>
    <w:p>
      <w:r>
        <w:rPr>
          <w:i/>
          <w:sz w:val="16"/>
        </w:rPr>
        <w:t>Figure 4.4 — LRT flow by segment and direction, the four scenarios, PM.</w:t>
      </w:r>
    </w:p>
    <w:p>
      <w:r>
        <w:drawing>
          <wp:inline xmlns:a="http://schemas.openxmlformats.org/drawingml/2006/main" xmlns:pic="http://schemas.openxmlformats.org/drawingml/2006/picture">
            <wp:extent cx="9000000" cy="9000000"/>
            <wp:docPr id="14" name="Picture 14"/>
            <wp:cNvGraphicFramePr>
              <a:graphicFrameLocks noChangeAspect="1"/>
            </wp:cNvGraphicFramePr>
            <a:graphic>
              <a:graphicData uri="http://schemas.openxmlformats.org/drawingml/2006/picture">
                <pic:pic>
                  <pic:nvPicPr>
                    <pic:cNvPr id="0" name="flow_lrt_AM.png"/>
                    <pic:cNvPicPr/>
                  </pic:nvPicPr>
                  <pic:blipFill>
                    <a:blip r:embed="rId22"/>
                    <a:stretch>
                      <a:fillRect/>
                    </a:stretch>
                  </pic:blipFill>
                  <pic:spPr>
                    <a:xfrm>
                      <a:off x="0" y="0"/>
                      <a:ext cx="9000000" cy="9000000"/>
                    </a:xfrm>
                    <a:prstGeom prst="rect"/>
                  </pic:spPr>
                </pic:pic>
              </a:graphicData>
            </a:graphic>
          </wp:inline>
        </w:drawing>
      </w:r>
    </w:p>
    <w:p>
      <w:r>
        <w:rPr>
          <w:i/>
          <w:sz w:val="16"/>
        </w:rPr>
        <w:t>Figure 4.5 — LRT flow per scenario, both directions on one panel, AM (2022 and the four scenarios).</w:t>
      </w:r>
    </w:p>
    <w:p>
      <w:r>
        <w:drawing>
          <wp:inline xmlns:a="http://schemas.openxmlformats.org/drawingml/2006/main" xmlns:pic="http://schemas.openxmlformats.org/drawingml/2006/picture">
            <wp:extent cx="9000000" cy="9000000"/>
            <wp:docPr id="15" name="Picture 15"/>
            <wp:cNvGraphicFramePr>
              <a:graphicFrameLocks noChangeAspect="1"/>
            </wp:cNvGraphicFramePr>
            <a:graphic>
              <a:graphicData uri="http://schemas.openxmlformats.org/drawingml/2006/picture">
                <pic:pic>
                  <pic:nvPicPr>
                    <pic:cNvPr id="0" name="flow_lrt_PM.png"/>
                    <pic:cNvPicPr/>
                  </pic:nvPicPr>
                  <pic:blipFill>
                    <a:blip r:embed="rId23"/>
                    <a:stretch>
                      <a:fillRect/>
                    </a:stretch>
                  </pic:blipFill>
                  <pic:spPr>
                    <a:xfrm>
                      <a:off x="0" y="0"/>
                      <a:ext cx="9000000" cy="9000000"/>
                    </a:xfrm>
                    <a:prstGeom prst="rect"/>
                  </pic:spPr>
                </pic:pic>
              </a:graphicData>
            </a:graphic>
          </wp:inline>
        </w:drawing>
      </w:r>
    </w:p>
    <w:p>
      <w:r>
        <w:rPr>
          <w:i/>
          <w:sz w:val="16"/>
        </w:rPr>
        <w:t>Figure 4.6 — LRT flow per scenario, both directions on one panel, PM.</w:t>
      </w:r>
    </w:p>
    <w:p>
      <w:pPr>
        <w:pStyle w:val="Heading2"/>
      </w:pPr>
      <w:r>
        <w:t>4.6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4.2. Source: transit_line_loads.csv in each run folder, scaled to the peak hour as above.</w:t>
      </w:r>
    </w:p>
    <w:p>
      <w:r>
        <w:drawing>
          <wp:inline xmlns:a="http://schemas.openxmlformats.org/drawingml/2006/main" xmlns:pic="http://schemas.openxmlformats.org/drawingml/2006/picture">
            <wp:extent cx="9000000" cy="4846154"/>
            <wp:docPr id="16" name="Picture 16"/>
            <wp:cNvGraphicFramePr>
              <a:graphicFrameLocks noChangeAspect="1"/>
            </wp:cNvGraphicFramePr>
            <a:graphic>
              <a:graphicData uri="http://schemas.openxmlformats.org/drawingml/2006/picture">
                <pic:pic>
                  <pic:nvPicPr>
                    <pic:cNvPr id="0" name="flow_transit_scenarios_AM.png"/>
                    <pic:cNvPicPr/>
                  </pic:nvPicPr>
                  <pic:blipFill>
                    <a:blip r:embed="rId24"/>
                    <a:stretch>
                      <a:fillRect/>
                    </a:stretch>
                  </pic:blipFill>
                  <pic:spPr>
                    <a:xfrm>
                      <a:off x="0" y="0"/>
                      <a:ext cx="9000000" cy="4846154"/>
                    </a:xfrm>
                    <a:prstGeom prst="rect"/>
                  </pic:spPr>
                </pic:pic>
              </a:graphicData>
            </a:graphic>
          </wp:inline>
        </w:drawing>
      </w:r>
    </w:p>
    <w:p>
      <w:r>
        <w:rPr>
          <w:i/>
          <w:sz w:val="16"/>
        </w:rPr>
        <w:t>Figure 4.7 — Total transit flow by segment and direction, the four scenarios, AM.</w:t>
      </w:r>
    </w:p>
    <w:p>
      <w:r>
        <w:drawing>
          <wp:inline xmlns:a="http://schemas.openxmlformats.org/drawingml/2006/main" xmlns:pic="http://schemas.openxmlformats.org/drawingml/2006/picture">
            <wp:extent cx="9000000" cy="4846154"/>
            <wp:docPr id="17" name="Picture 17"/>
            <wp:cNvGraphicFramePr>
              <a:graphicFrameLocks noChangeAspect="1"/>
            </wp:cNvGraphicFramePr>
            <a:graphic>
              <a:graphicData uri="http://schemas.openxmlformats.org/drawingml/2006/picture">
                <pic:pic>
                  <pic:nvPicPr>
                    <pic:cNvPr id="0" name="flow_transit_scenarios_PM.png"/>
                    <pic:cNvPicPr/>
                  </pic:nvPicPr>
                  <pic:blipFill>
                    <a:blip r:embed="rId25"/>
                    <a:stretch>
                      <a:fillRect/>
                    </a:stretch>
                  </pic:blipFill>
                  <pic:spPr>
                    <a:xfrm>
                      <a:off x="0" y="0"/>
                      <a:ext cx="9000000" cy="4846154"/>
                    </a:xfrm>
                    <a:prstGeom prst="rect"/>
                  </pic:spPr>
                </pic:pic>
              </a:graphicData>
            </a:graphic>
          </wp:inline>
        </w:drawing>
      </w:r>
    </w:p>
    <w:p>
      <w:r>
        <w:rPr>
          <w:i/>
          <w:sz w:val="16"/>
        </w:rPr>
        <w:t>Figure 4.8 — Total transit flow by segment and direction, the four scenarios, PM.</w:t>
      </w:r>
    </w:p>
    <w:p>
      <w:r>
        <w:drawing>
          <wp:inline xmlns:a="http://schemas.openxmlformats.org/drawingml/2006/main" xmlns:pic="http://schemas.openxmlformats.org/drawingml/2006/picture">
            <wp:extent cx="9000000" cy="9000000"/>
            <wp:docPr id="18" name="Picture 18"/>
            <wp:cNvGraphicFramePr>
              <a:graphicFrameLocks noChangeAspect="1"/>
            </wp:cNvGraphicFramePr>
            <a:graphic>
              <a:graphicData uri="http://schemas.openxmlformats.org/drawingml/2006/picture">
                <pic:pic>
                  <pic:nvPicPr>
                    <pic:cNvPr id="0" name="flow_transit_AM.png"/>
                    <pic:cNvPicPr/>
                  </pic:nvPicPr>
                  <pic:blipFill>
                    <a:blip r:embed="rId26"/>
                    <a:stretch>
                      <a:fillRect/>
                    </a:stretch>
                  </pic:blipFill>
                  <pic:spPr>
                    <a:xfrm>
                      <a:off x="0" y="0"/>
                      <a:ext cx="9000000" cy="9000000"/>
                    </a:xfrm>
                    <a:prstGeom prst="rect"/>
                  </pic:spPr>
                </pic:pic>
              </a:graphicData>
            </a:graphic>
          </wp:inline>
        </w:drawing>
      </w:r>
    </w:p>
    <w:p>
      <w:r>
        <w:rPr>
          <w:i/>
          <w:sz w:val="16"/>
        </w:rPr>
        <w:t>Figure 4.9 — Total transit flow per scenario, both directions, AM.</w:t>
      </w:r>
    </w:p>
    <w:p>
      <w:r>
        <w:drawing>
          <wp:inline xmlns:a="http://schemas.openxmlformats.org/drawingml/2006/main" xmlns:pic="http://schemas.openxmlformats.org/drawingml/2006/picture">
            <wp:extent cx="9000000" cy="9000000"/>
            <wp:docPr id="19" name="Picture 19"/>
            <wp:cNvGraphicFramePr>
              <a:graphicFrameLocks noChangeAspect="1"/>
            </wp:cNvGraphicFramePr>
            <a:graphic>
              <a:graphicData uri="http://schemas.openxmlformats.org/drawingml/2006/picture">
                <pic:pic>
                  <pic:nvPicPr>
                    <pic:cNvPr id="0" name="flow_transit_PM.png"/>
                    <pic:cNvPicPr/>
                  </pic:nvPicPr>
                  <pic:blipFill>
                    <a:blip r:embed="rId27"/>
                    <a:stretch>
                      <a:fillRect/>
                    </a:stretch>
                  </pic:blipFill>
                  <pic:spPr>
                    <a:xfrm>
                      <a:off x="0" y="0"/>
                      <a:ext cx="9000000" cy="9000000"/>
                    </a:xfrm>
                    <a:prstGeom prst="rect"/>
                  </pic:spPr>
                </pic:pic>
              </a:graphicData>
            </a:graphic>
          </wp:inline>
        </w:drawing>
      </w:r>
    </w:p>
    <w:p>
      <w:r>
        <w:rPr>
          <w:i/>
          <w:sz w:val="16"/>
        </w:rPr>
        <w:t>Figure 4.10 — Total transit flow per scenario, both directions, PM.</w:t>
      </w:r>
    </w:p>
    <w:p>
      <w:pPr>
        <w:sectPr>
          <w:pgSz w:w="15840" w:h="12240" w:orient="landscape"/>
          <w:pgMar w:top="1440" w:right="850" w:bottom="1440" w:left="850" w:header="720" w:footer="720" w:gutter="0"/>
          <w:cols w:space="720"/>
          <w:docGrid w:linePitch="360"/>
        </w:sectPr>
      </w:pPr>
    </w:p>
    <w:p>
      <w:pPr>
        <w:pStyle w:val="Heading2"/>
      </w:pPr>
      <w:r>
        <w:t>4.7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5760000" cy="2215385"/>
            <wp:docPr id="20" name="Picture 20"/>
            <wp:cNvGraphicFramePr>
              <a:graphicFrameLocks noChangeAspect="1"/>
            </wp:cNvGraphicFramePr>
            <a:graphic>
              <a:graphicData uri="http://schemas.openxmlformats.org/drawingml/2006/picture">
                <pic:pic>
                  <pic:nvPicPr>
                    <pic:cNvPr id="0" name="mode_split.png"/>
                    <pic:cNvPicPr/>
                  </pic:nvPicPr>
                  <pic:blipFill>
                    <a:blip r:embed="rId28"/>
                    <a:stretch>
                      <a:fillRect/>
                    </a:stretch>
                  </pic:blipFill>
                  <pic:spPr>
                    <a:xfrm>
                      <a:off x="0" y="0"/>
                      <a:ext cx="5760000" cy="2215385"/>
                    </a:xfrm>
                    <a:prstGeom prst="rect"/>
                  </pic:spPr>
                </pic:pic>
              </a:graphicData>
            </a:graphic>
          </wp:inline>
        </w:drawing>
      </w:r>
    </w:p>
    <w:p>
      <w:r>
        <w:rPr>
          <w:i/>
          <w:sz w:val="16"/>
        </w:rPr>
        <w:t>Figure 4.11 — Mode split on the corridor after the LRT: car, bus, Metronit and LRT, AM and PM.</w:t>
      </w:r>
    </w:p>
    <w:p>
      <w:pPr>
        <w:pStyle w:val="Heading2"/>
      </w:pPr>
      <w:r>
        <w:t>4.8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4.8 — LRT trips in the two regimes of the extension. The Unprioritized regime (at-grade running, 65.8 min end to end on the extension against 40.7) loses about a fifth of the LRT trips, most of it on the extension itself.</w:t>
      </w:r>
    </w:p>
    <w:p>
      <w:pPr>
        <w:pStyle w:val="Heading2"/>
      </w:pPr>
      <w:r>
        <w:t>4.9 Sensitivity: slower buses in 2040 and 2050</w:t>
      </w:r>
    </w:p>
    <w:p>
      <w:r>
        <w:t>Every scenario year runs on the May 2026 level of service: the car and the buses are as fast in 2050 as today while the corridor demand grows by 30–60 %. This is the "do-minimum network" convention, kept because the 2040 road and transit network of the regional model is not available and degrading today's network with tomorrow's demand while leaving out every planned scheme would be the worse assumption. Two things follow. First, a slower car would change nothing in this model: the pivot moves trips on the change of the transit bundle only, and the car's level enters through the observed 2022 shares (caveat 25); making the car count needs a no-build mode-choice step (handover item D-11). Second, slower buses do count: a bus in mixed traffic that slows with the road raises the bus generalized cost, while the Metronit on its lanes and a Prioritized LRT keep their times, so both the LRT share within transit and the draw from the car rise. The central assumption is therefore conservative for the LRT.</w:t>
      </w:r>
    </w:p>
    <w:p>
      <w:r>
        <w:t>The sensitivity: step 45 rerun with the running time of every bus ride that is not the Metronit multiplied by 1.10 in 2040 and 1.20 in 2050 (both BU and HS), the Metronit and the LRT unchanged, the bus feeder legs of the LRT paths slowed with the buses. The factors are a reading of a standard volume–delay curve for a road demand growing by 1.3–1.6 × from about 80 % of capacity, not a calibrated value: the May 2026 car speeds hardly move by hour (caveat 24) and cannot calibrate one. Source: Output/alternatives_bus_slow/demand_summary.csv.</w:t>
      </w:r>
    </w:p>
    <w:tbl>
      <w:tblPr>
        <w:tblStyle w:val="LightGrid-Accent1"/>
        <w:tblW w:type="auto" w:w="0"/>
        <w:tblLook w:firstColumn="1" w:firstRow="1" w:lastColumn="0" w:lastRow="0" w:noHBand="0" w:noVBand="1" w:val="04A0"/>
      </w:tblPr>
      <w:tblGrid>
        <w:gridCol w:w="712"/>
        <w:gridCol w:w="712"/>
        <w:gridCol w:w="712"/>
        <w:gridCol w:w="712"/>
        <w:gridCol w:w="712"/>
        <w:gridCol w:w="712"/>
        <w:gridCol w:w="712"/>
        <w:gridCol w:w="712"/>
        <w:gridCol w:w="712"/>
        <w:gridCol w:w="712"/>
        <w:gridCol w:w="712"/>
        <w:gridCol w:w="712"/>
        <w:gridCol w:w="712"/>
        <w:gridCol w:w="712"/>
      </w:tblGrid>
      <w:tr>
        <w:tc>
          <w:tcPr>
            <w:tcW w:type="dxa" w:w="712"/>
          </w:tcPr>
          <w:p>
            <w:r>
              <w:rPr>
                <w:b/>
                <w:sz w:val="14"/>
              </w:rPr>
              <w:t>period</w:t>
            </w:r>
          </w:p>
        </w:tc>
        <w:tc>
          <w:tcPr>
            <w:tcW w:type="dxa" w:w="712"/>
          </w:tcPr>
          <w:p>
            <w:r>
              <w:rPr>
                <w:b/>
                <w:sz w:val="14"/>
              </w:rPr>
              <w:t>scenario</w:t>
            </w:r>
          </w:p>
        </w:tc>
        <w:tc>
          <w:tcPr>
            <w:tcW w:type="dxa" w:w="712"/>
          </w:tcPr>
          <w:p>
            <w:r>
              <w:rPr>
                <w:b/>
                <w:sz w:val="14"/>
              </w:rPr>
              <w:t>bus factor</w:t>
            </w:r>
          </w:p>
        </w:tc>
        <w:tc>
          <w:tcPr>
            <w:tcW w:type="dxa" w:w="712"/>
          </w:tcPr>
          <w:p>
            <w:r>
              <w:rPr>
                <w:b/>
                <w:sz w:val="14"/>
              </w:rPr>
              <w:t>LRT central</w:t>
            </w:r>
          </w:p>
        </w:tc>
        <w:tc>
          <w:tcPr>
            <w:tcW w:type="dxa" w:w="712"/>
          </w:tcPr>
          <w:p>
            <w:r>
              <w:rPr>
                <w:b/>
                <w:sz w:val="14"/>
              </w:rPr>
              <w:t>LRT, buses slower</w:t>
            </w:r>
          </w:p>
        </w:tc>
        <w:tc>
          <w:tcPr>
            <w:tcW w:type="dxa" w:w="712"/>
          </w:tcPr>
          <w:p>
            <w:r>
              <w:rPr>
                <w:b/>
                <w:sz w:val="14"/>
              </w:rPr>
              <w:t>ratio</w:t>
            </w:r>
          </w:p>
        </w:tc>
        <w:tc>
          <w:tcPr>
            <w:tcW w:type="dxa" w:w="712"/>
          </w:tcPr>
          <w:p>
            <w:r>
              <w:rPr>
                <w:b/>
                <w:sz w:val="14"/>
              </w:rPr>
              <w:t>from car, central</w:t>
            </w:r>
          </w:p>
        </w:tc>
        <w:tc>
          <w:tcPr>
            <w:tcW w:type="dxa" w:w="712"/>
          </w:tcPr>
          <w:p>
            <w:r>
              <w:rPr>
                <w:b/>
                <w:sz w:val="14"/>
              </w:rPr>
              <w:t>from car, buses slower</w:t>
            </w:r>
          </w:p>
        </w:tc>
        <w:tc>
          <w:tcPr>
            <w:tcW w:type="dxa" w:w="712"/>
          </w:tcPr>
          <w:p>
            <w:r>
              <w:rPr>
                <w:b/>
                <w:sz w:val="14"/>
              </w:rPr>
              <w:t>from bus/BRT, central</w:t>
            </w:r>
          </w:p>
        </w:tc>
        <w:tc>
          <w:tcPr>
            <w:tcW w:type="dxa" w:w="712"/>
          </w:tcPr>
          <w:p>
            <w:r>
              <w:rPr>
                <w:b/>
                <w:sz w:val="14"/>
              </w:rPr>
              <w:t>from bus/BRT, buses slower</w:t>
            </w:r>
          </w:p>
        </w:tc>
        <w:tc>
          <w:tcPr>
            <w:tcW w:type="dxa" w:w="712"/>
          </w:tcPr>
          <w:p>
            <w:r>
              <w:rPr>
                <w:b/>
                <w:sz w:val="14"/>
              </w:rPr>
              <w:t>using the extension, central</w:t>
            </w:r>
          </w:p>
        </w:tc>
        <w:tc>
          <w:tcPr>
            <w:tcW w:type="dxa" w:w="712"/>
          </w:tcPr>
          <w:p>
            <w:r>
              <w:rPr>
                <w:b/>
                <w:sz w:val="14"/>
              </w:rPr>
              <w:t>using the extension, buses slower</w:t>
            </w:r>
          </w:p>
        </w:tc>
        <w:tc>
          <w:tcPr>
            <w:tcW w:type="dxa" w:w="712"/>
          </w:tcPr>
          <w:p>
            <w:r>
              <w:rPr>
                <w:b/>
                <w:sz w:val="14"/>
              </w:rPr>
              <w:t>transit share after, central</w:t>
            </w:r>
          </w:p>
        </w:tc>
        <w:tc>
          <w:tcPr>
            <w:tcW w:type="dxa" w:w="712"/>
          </w:tcPr>
          <w:p>
            <w:r>
              <w:rPr>
                <w:b/>
                <w:sz w:val="14"/>
              </w:rPr>
              <w:t>transit share after, buses slower</w:t>
            </w:r>
          </w:p>
        </w:tc>
      </w:tr>
      <w:tr>
        <w:tc>
          <w:tcPr>
            <w:tcW w:type="dxa" w:w="712"/>
          </w:tcPr>
          <w:p>
            <w:r>
              <w:rPr>
                <w:sz w:val="14"/>
              </w:rPr>
              <w:t>AM</w:t>
            </w:r>
          </w:p>
        </w:tc>
        <w:tc>
          <w:tcPr>
            <w:tcW w:type="dxa" w:w="712"/>
          </w:tcPr>
          <w:p>
            <w:r>
              <w:rPr>
                <w:sz w:val="14"/>
              </w:rPr>
              <w:t>2040 BU</w:t>
            </w:r>
          </w:p>
        </w:tc>
        <w:tc>
          <w:tcPr>
            <w:tcW w:type="dxa" w:w="712"/>
          </w:tcPr>
          <w:p>
            <w:r>
              <w:rPr>
                <w:sz w:val="14"/>
              </w:rPr>
              <w:t>1.10</w:t>
            </w:r>
          </w:p>
        </w:tc>
        <w:tc>
          <w:tcPr>
            <w:tcW w:type="dxa" w:w="712"/>
          </w:tcPr>
          <w:p>
            <w:r>
              <w:rPr>
                <w:sz w:val="14"/>
              </w:rPr>
              <w:t>6,309</w:t>
            </w:r>
          </w:p>
        </w:tc>
        <w:tc>
          <w:tcPr>
            <w:tcW w:type="dxa" w:w="712"/>
          </w:tcPr>
          <w:p>
            <w:r>
              <w:rPr>
                <w:sz w:val="14"/>
              </w:rPr>
              <w:t>6,442</w:t>
            </w:r>
          </w:p>
        </w:tc>
        <w:tc>
          <w:tcPr>
            <w:tcW w:type="dxa" w:w="712"/>
          </w:tcPr>
          <w:p>
            <w:r>
              <w:rPr>
                <w:sz w:val="14"/>
              </w:rPr>
              <w:t>1.02</w:t>
            </w:r>
          </w:p>
        </w:tc>
        <w:tc>
          <w:tcPr>
            <w:tcW w:type="dxa" w:w="712"/>
          </w:tcPr>
          <w:p>
            <w:r>
              <w:rPr>
                <w:sz w:val="14"/>
              </w:rPr>
              <w:t>353</w:t>
            </w:r>
          </w:p>
        </w:tc>
        <w:tc>
          <w:tcPr>
            <w:tcW w:type="dxa" w:w="712"/>
          </w:tcPr>
          <w:p>
            <w:r>
              <w:rPr>
                <w:sz w:val="14"/>
              </w:rPr>
              <w:t>376</w:t>
            </w:r>
          </w:p>
        </w:tc>
        <w:tc>
          <w:tcPr>
            <w:tcW w:type="dxa" w:w="712"/>
          </w:tcPr>
          <w:p>
            <w:r>
              <w:rPr>
                <w:sz w:val="14"/>
              </w:rPr>
              <w:t>5,956</w:t>
            </w:r>
          </w:p>
        </w:tc>
        <w:tc>
          <w:tcPr>
            <w:tcW w:type="dxa" w:w="712"/>
          </w:tcPr>
          <w:p>
            <w:r>
              <w:rPr>
                <w:sz w:val="14"/>
              </w:rPr>
              <w:t>6,066</w:t>
            </w:r>
          </w:p>
        </w:tc>
        <w:tc>
          <w:tcPr>
            <w:tcW w:type="dxa" w:w="712"/>
          </w:tcPr>
          <w:p>
            <w:r>
              <w:rPr>
                <w:sz w:val="14"/>
              </w:rPr>
              <w:t>4,950</w:t>
            </w:r>
          </w:p>
        </w:tc>
        <w:tc>
          <w:tcPr>
            <w:tcW w:type="dxa" w:w="712"/>
          </w:tcPr>
          <w:p>
            <w:r>
              <w:rPr>
                <w:sz w:val="14"/>
              </w:rPr>
              <w:t>5,037</w:t>
            </w:r>
          </w:p>
        </w:tc>
        <w:tc>
          <w:tcPr>
            <w:tcW w:type="dxa" w:w="712"/>
          </w:tcPr>
          <w:p>
            <w:r>
              <w:rPr>
                <w:sz w:val="14"/>
              </w:rPr>
              <w:t>20.4 %</w:t>
            </w:r>
          </w:p>
        </w:tc>
        <w:tc>
          <w:tcPr>
            <w:tcW w:type="dxa" w:w="712"/>
          </w:tcPr>
          <w:p>
            <w:r>
              <w:rPr>
                <w:sz w:val="14"/>
              </w:rPr>
              <w:t>20.5 %</w:t>
            </w:r>
          </w:p>
        </w:tc>
      </w:tr>
      <w:tr>
        <w:tc>
          <w:tcPr>
            <w:tcW w:type="dxa" w:w="712"/>
          </w:tcPr>
          <w:p>
            <w:r>
              <w:rPr>
                <w:sz w:val="14"/>
              </w:rPr>
              <w:t>AM</w:t>
            </w:r>
          </w:p>
        </w:tc>
        <w:tc>
          <w:tcPr>
            <w:tcW w:type="dxa" w:w="712"/>
          </w:tcPr>
          <w:p>
            <w:r>
              <w:rPr>
                <w:sz w:val="14"/>
              </w:rPr>
              <w:t>2050 BU</w:t>
            </w:r>
          </w:p>
        </w:tc>
        <w:tc>
          <w:tcPr>
            <w:tcW w:type="dxa" w:w="712"/>
          </w:tcPr>
          <w:p>
            <w:r>
              <w:rPr>
                <w:sz w:val="14"/>
              </w:rPr>
              <w:t>1.20</w:t>
            </w:r>
          </w:p>
        </w:tc>
        <w:tc>
          <w:tcPr>
            <w:tcW w:type="dxa" w:w="712"/>
          </w:tcPr>
          <w:p>
            <w:r>
              <w:rPr>
                <w:sz w:val="14"/>
              </w:rPr>
              <w:t>7,433</w:t>
            </w:r>
          </w:p>
        </w:tc>
        <w:tc>
          <w:tcPr>
            <w:tcW w:type="dxa" w:w="712"/>
          </w:tcPr>
          <w:p>
            <w:r>
              <w:rPr>
                <w:sz w:val="14"/>
              </w:rPr>
              <w:t>7,804</w:t>
            </w:r>
          </w:p>
        </w:tc>
        <w:tc>
          <w:tcPr>
            <w:tcW w:type="dxa" w:w="712"/>
          </w:tcPr>
          <w:p>
            <w:r>
              <w:rPr>
                <w:sz w:val="14"/>
              </w:rPr>
              <w:t>1.05</w:t>
            </w:r>
          </w:p>
        </w:tc>
        <w:tc>
          <w:tcPr>
            <w:tcW w:type="dxa" w:w="712"/>
          </w:tcPr>
          <w:p>
            <w:r>
              <w:rPr>
                <w:sz w:val="14"/>
              </w:rPr>
              <w:t>818</w:t>
            </w:r>
          </w:p>
        </w:tc>
        <w:tc>
          <w:tcPr>
            <w:tcW w:type="dxa" w:w="712"/>
          </w:tcPr>
          <w:p>
            <w:r>
              <w:rPr>
                <w:sz w:val="14"/>
              </w:rPr>
              <w:t>948</w:t>
            </w:r>
          </w:p>
        </w:tc>
        <w:tc>
          <w:tcPr>
            <w:tcW w:type="dxa" w:w="712"/>
          </w:tcPr>
          <w:p>
            <w:r>
              <w:rPr>
                <w:sz w:val="14"/>
              </w:rPr>
              <w:t>6,614</w:t>
            </w:r>
          </w:p>
        </w:tc>
        <w:tc>
          <w:tcPr>
            <w:tcW w:type="dxa" w:w="712"/>
          </w:tcPr>
          <w:p>
            <w:r>
              <w:rPr>
                <w:sz w:val="14"/>
              </w:rPr>
              <w:t>6,856</w:t>
            </w:r>
          </w:p>
        </w:tc>
        <w:tc>
          <w:tcPr>
            <w:tcW w:type="dxa" w:w="712"/>
          </w:tcPr>
          <w:p>
            <w:r>
              <w:rPr>
                <w:sz w:val="14"/>
              </w:rPr>
              <w:t>6,003</w:t>
            </w:r>
          </w:p>
        </w:tc>
        <w:tc>
          <w:tcPr>
            <w:tcW w:type="dxa" w:w="712"/>
          </w:tcPr>
          <w:p>
            <w:r>
              <w:rPr>
                <w:sz w:val="14"/>
              </w:rPr>
              <w:t>6,283</w:t>
            </w:r>
          </w:p>
        </w:tc>
        <w:tc>
          <w:tcPr>
            <w:tcW w:type="dxa" w:w="712"/>
          </w:tcPr>
          <w:p>
            <w:r>
              <w:rPr>
                <w:sz w:val="14"/>
              </w:rPr>
              <w:t>20.6 %</w:t>
            </w:r>
          </w:p>
        </w:tc>
        <w:tc>
          <w:tcPr>
            <w:tcW w:type="dxa" w:w="712"/>
          </w:tcPr>
          <w:p>
            <w:r>
              <w:rPr>
                <w:sz w:val="14"/>
              </w:rPr>
              <w:t>20.7 %</w:t>
            </w:r>
          </w:p>
        </w:tc>
      </w:tr>
      <w:tr>
        <w:tc>
          <w:tcPr>
            <w:tcW w:type="dxa" w:w="712"/>
          </w:tcPr>
          <w:p>
            <w:r>
              <w:rPr>
                <w:sz w:val="14"/>
              </w:rPr>
              <w:t>AM</w:t>
            </w:r>
          </w:p>
        </w:tc>
        <w:tc>
          <w:tcPr>
            <w:tcW w:type="dxa" w:w="712"/>
          </w:tcPr>
          <w:p>
            <w:r>
              <w:rPr>
                <w:sz w:val="14"/>
              </w:rPr>
              <w:t>2040 HS</w:t>
            </w:r>
          </w:p>
        </w:tc>
        <w:tc>
          <w:tcPr>
            <w:tcW w:type="dxa" w:w="712"/>
          </w:tcPr>
          <w:p>
            <w:r>
              <w:rPr>
                <w:sz w:val="14"/>
              </w:rPr>
              <w:t>1.10</w:t>
            </w:r>
          </w:p>
        </w:tc>
        <w:tc>
          <w:tcPr>
            <w:tcW w:type="dxa" w:w="712"/>
          </w:tcPr>
          <w:p>
            <w:r>
              <w:rPr>
                <w:sz w:val="14"/>
              </w:rPr>
              <w:t>7,476</w:t>
            </w:r>
          </w:p>
        </w:tc>
        <w:tc>
          <w:tcPr>
            <w:tcW w:type="dxa" w:w="712"/>
          </w:tcPr>
          <w:p>
            <w:r>
              <w:rPr>
                <w:sz w:val="14"/>
              </w:rPr>
              <w:t>7,624</w:t>
            </w:r>
          </w:p>
        </w:tc>
        <w:tc>
          <w:tcPr>
            <w:tcW w:type="dxa" w:w="712"/>
          </w:tcPr>
          <w:p>
            <w:r>
              <w:rPr>
                <w:sz w:val="14"/>
              </w:rPr>
              <w:t>1.02</w:t>
            </w:r>
          </w:p>
        </w:tc>
        <w:tc>
          <w:tcPr>
            <w:tcW w:type="dxa" w:w="712"/>
          </w:tcPr>
          <w:p>
            <w:r>
              <w:rPr>
                <w:sz w:val="14"/>
              </w:rPr>
              <w:t>870</w:t>
            </w:r>
          </w:p>
        </w:tc>
        <w:tc>
          <w:tcPr>
            <w:tcW w:type="dxa" w:w="712"/>
          </w:tcPr>
          <w:p>
            <w:r>
              <w:rPr>
                <w:sz w:val="14"/>
              </w:rPr>
              <w:t>916</w:t>
            </w:r>
          </w:p>
        </w:tc>
        <w:tc>
          <w:tcPr>
            <w:tcW w:type="dxa" w:w="712"/>
          </w:tcPr>
          <w:p>
            <w:r>
              <w:rPr>
                <w:sz w:val="14"/>
              </w:rPr>
              <w:t>6,606</w:t>
            </w:r>
          </w:p>
        </w:tc>
        <w:tc>
          <w:tcPr>
            <w:tcW w:type="dxa" w:w="712"/>
          </w:tcPr>
          <w:p>
            <w:r>
              <w:rPr>
                <w:sz w:val="14"/>
              </w:rPr>
              <w:t>6,708</w:t>
            </w:r>
          </w:p>
        </w:tc>
        <w:tc>
          <w:tcPr>
            <w:tcW w:type="dxa" w:w="712"/>
          </w:tcPr>
          <w:p>
            <w:r>
              <w:rPr>
                <w:sz w:val="14"/>
              </w:rPr>
              <w:t>5,651</w:t>
            </w:r>
          </w:p>
        </w:tc>
        <w:tc>
          <w:tcPr>
            <w:tcW w:type="dxa" w:w="712"/>
          </w:tcPr>
          <w:p>
            <w:r>
              <w:rPr>
                <w:sz w:val="14"/>
              </w:rPr>
              <w:t>5,735</w:t>
            </w:r>
          </w:p>
        </w:tc>
        <w:tc>
          <w:tcPr>
            <w:tcW w:type="dxa" w:w="712"/>
          </w:tcPr>
          <w:p>
            <w:r>
              <w:rPr>
                <w:sz w:val="14"/>
              </w:rPr>
              <w:t>20.8 %</w:t>
            </w:r>
          </w:p>
        </w:tc>
        <w:tc>
          <w:tcPr>
            <w:tcW w:type="dxa" w:w="712"/>
          </w:tcPr>
          <w:p>
            <w:r>
              <w:rPr>
                <w:sz w:val="14"/>
              </w:rPr>
              <w:t>20.9 %</w:t>
            </w:r>
          </w:p>
        </w:tc>
      </w:tr>
      <w:tr>
        <w:tc>
          <w:tcPr>
            <w:tcW w:type="dxa" w:w="712"/>
          </w:tcPr>
          <w:p>
            <w:r>
              <w:rPr>
                <w:sz w:val="14"/>
              </w:rPr>
              <w:t>AM</w:t>
            </w:r>
          </w:p>
        </w:tc>
        <w:tc>
          <w:tcPr>
            <w:tcW w:type="dxa" w:w="712"/>
          </w:tcPr>
          <w:p>
            <w:r>
              <w:rPr>
                <w:sz w:val="14"/>
              </w:rPr>
              <w:t>2050 HS</w:t>
            </w:r>
          </w:p>
        </w:tc>
        <w:tc>
          <w:tcPr>
            <w:tcW w:type="dxa" w:w="712"/>
          </w:tcPr>
          <w:p>
            <w:r>
              <w:rPr>
                <w:sz w:val="14"/>
              </w:rPr>
              <w:t>1.20</w:t>
            </w:r>
          </w:p>
        </w:tc>
        <w:tc>
          <w:tcPr>
            <w:tcW w:type="dxa" w:w="712"/>
          </w:tcPr>
          <w:p>
            <w:r>
              <w:rPr>
                <w:sz w:val="14"/>
              </w:rPr>
              <w:t>9,225</w:t>
            </w:r>
          </w:p>
        </w:tc>
        <w:tc>
          <w:tcPr>
            <w:tcW w:type="dxa" w:w="712"/>
          </w:tcPr>
          <w:p>
            <w:r>
              <w:rPr>
                <w:sz w:val="14"/>
              </w:rPr>
              <w:t>9,590</w:t>
            </w:r>
          </w:p>
        </w:tc>
        <w:tc>
          <w:tcPr>
            <w:tcW w:type="dxa" w:w="712"/>
          </w:tcPr>
          <w:p>
            <w:r>
              <w:rPr>
                <w:sz w:val="14"/>
              </w:rPr>
              <w:t>1.04</w:t>
            </w:r>
          </w:p>
        </w:tc>
        <w:tc>
          <w:tcPr>
            <w:tcW w:type="dxa" w:w="712"/>
          </w:tcPr>
          <w:p>
            <w:r>
              <w:rPr>
                <w:sz w:val="14"/>
              </w:rPr>
              <w:t>1,311</w:t>
            </w:r>
          </w:p>
        </w:tc>
        <w:tc>
          <w:tcPr>
            <w:tcW w:type="dxa" w:w="712"/>
          </w:tcPr>
          <w:p>
            <w:r>
              <w:rPr>
                <w:sz w:val="14"/>
              </w:rPr>
              <w:t>1,446</w:t>
            </w:r>
          </w:p>
        </w:tc>
        <w:tc>
          <w:tcPr>
            <w:tcW w:type="dxa" w:w="712"/>
          </w:tcPr>
          <w:p>
            <w:r>
              <w:rPr>
                <w:sz w:val="14"/>
              </w:rPr>
              <w:t>7,914</w:t>
            </w:r>
          </w:p>
        </w:tc>
        <w:tc>
          <w:tcPr>
            <w:tcW w:type="dxa" w:w="712"/>
          </w:tcPr>
          <w:p>
            <w:r>
              <w:rPr>
                <w:sz w:val="14"/>
              </w:rPr>
              <w:t>8,144</w:t>
            </w:r>
          </w:p>
        </w:tc>
        <w:tc>
          <w:tcPr>
            <w:tcW w:type="dxa" w:w="712"/>
          </w:tcPr>
          <w:p>
            <w:r>
              <w:rPr>
                <w:sz w:val="14"/>
              </w:rPr>
              <w:t>7,010</w:t>
            </w:r>
          </w:p>
        </w:tc>
        <w:tc>
          <w:tcPr>
            <w:tcW w:type="dxa" w:w="712"/>
          </w:tcPr>
          <w:p>
            <w:r>
              <w:rPr>
                <w:sz w:val="14"/>
              </w:rPr>
              <w:t>7,226</w:t>
            </w:r>
          </w:p>
        </w:tc>
        <w:tc>
          <w:tcPr>
            <w:tcW w:type="dxa" w:w="712"/>
          </w:tcPr>
          <w:p>
            <w:r>
              <w:rPr>
                <w:sz w:val="14"/>
              </w:rPr>
              <w:t>21.0 %</w:t>
            </w:r>
          </w:p>
        </w:tc>
        <w:tc>
          <w:tcPr>
            <w:tcW w:type="dxa" w:w="712"/>
          </w:tcPr>
          <w:p>
            <w:r>
              <w:rPr>
                <w:sz w:val="14"/>
              </w:rPr>
              <w:t>21.1 %</w:t>
            </w:r>
          </w:p>
        </w:tc>
      </w:tr>
      <w:tr>
        <w:tc>
          <w:tcPr>
            <w:tcW w:type="dxa" w:w="712"/>
          </w:tcPr>
          <w:p>
            <w:r>
              <w:rPr>
                <w:sz w:val="14"/>
              </w:rPr>
              <w:t>PM</w:t>
            </w:r>
          </w:p>
        </w:tc>
        <w:tc>
          <w:tcPr>
            <w:tcW w:type="dxa" w:w="712"/>
          </w:tcPr>
          <w:p>
            <w:r>
              <w:rPr>
                <w:sz w:val="14"/>
              </w:rPr>
              <w:t>2040 BU</w:t>
            </w:r>
          </w:p>
        </w:tc>
        <w:tc>
          <w:tcPr>
            <w:tcW w:type="dxa" w:w="712"/>
          </w:tcPr>
          <w:p>
            <w:r>
              <w:rPr>
                <w:sz w:val="14"/>
              </w:rPr>
              <w:t>1.10</w:t>
            </w:r>
          </w:p>
        </w:tc>
        <w:tc>
          <w:tcPr>
            <w:tcW w:type="dxa" w:w="712"/>
          </w:tcPr>
          <w:p>
            <w:r>
              <w:rPr>
                <w:sz w:val="14"/>
              </w:rPr>
              <w:t>5,358</w:t>
            </w:r>
          </w:p>
        </w:tc>
        <w:tc>
          <w:tcPr>
            <w:tcW w:type="dxa" w:w="712"/>
          </w:tcPr>
          <w:p>
            <w:r>
              <w:rPr>
                <w:sz w:val="14"/>
              </w:rPr>
              <w:t>5,477</w:t>
            </w:r>
          </w:p>
        </w:tc>
        <w:tc>
          <w:tcPr>
            <w:tcW w:type="dxa" w:w="712"/>
          </w:tcPr>
          <w:p>
            <w:r>
              <w:rPr>
                <w:sz w:val="14"/>
              </w:rPr>
              <w:t>1.02</w:t>
            </w:r>
          </w:p>
        </w:tc>
        <w:tc>
          <w:tcPr>
            <w:tcW w:type="dxa" w:w="712"/>
          </w:tcPr>
          <w:p>
            <w:r>
              <w:rPr>
                <w:sz w:val="14"/>
              </w:rPr>
              <w:t>327</w:t>
            </w:r>
          </w:p>
        </w:tc>
        <w:tc>
          <w:tcPr>
            <w:tcW w:type="dxa" w:w="712"/>
          </w:tcPr>
          <w:p>
            <w:r>
              <w:rPr>
                <w:sz w:val="14"/>
              </w:rPr>
              <w:t>346</w:t>
            </w:r>
          </w:p>
        </w:tc>
        <w:tc>
          <w:tcPr>
            <w:tcW w:type="dxa" w:w="712"/>
          </w:tcPr>
          <w:p>
            <w:r>
              <w:rPr>
                <w:sz w:val="14"/>
              </w:rPr>
              <w:t>5,031</w:t>
            </w:r>
          </w:p>
        </w:tc>
        <w:tc>
          <w:tcPr>
            <w:tcW w:type="dxa" w:w="712"/>
          </w:tcPr>
          <w:p>
            <w:r>
              <w:rPr>
                <w:sz w:val="14"/>
              </w:rPr>
              <w:t>5,132</w:t>
            </w:r>
          </w:p>
        </w:tc>
        <w:tc>
          <w:tcPr>
            <w:tcW w:type="dxa" w:w="712"/>
          </w:tcPr>
          <w:p>
            <w:r>
              <w:rPr>
                <w:sz w:val="14"/>
              </w:rPr>
              <w:t>4,300</w:t>
            </w:r>
          </w:p>
        </w:tc>
        <w:tc>
          <w:tcPr>
            <w:tcW w:type="dxa" w:w="712"/>
          </w:tcPr>
          <w:p>
            <w:r>
              <w:rPr>
                <w:sz w:val="14"/>
              </w:rPr>
              <w:t>4,395</w:t>
            </w:r>
          </w:p>
        </w:tc>
        <w:tc>
          <w:tcPr>
            <w:tcW w:type="dxa" w:w="712"/>
          </w:tcPr>
          <w:p>
            <w:r>
              <w:rPr>
                <w:sz w:val="14"/>
              </w:rPr>
              <w:t>15.9 %</w:t>
            </w:r>
          </w:p>
        </w:tc>
        <w:tc>
          <w:tcPr>
            <w:tcW w:type="dxa" w:w="712"/>
          </w:tcPr>
          <w:p>
            <w:r>
              <w:rPr>
                <w:sz w:val="14"/>
              </w:rPr>
              <w:t>16.0 %</w:t>
            </w:r>
          </w:p>
        </w:tc>
      </w:tr>
      <w:tr>
        <w:tc>
          <w:tcPr>
            <w:tcW w:type="dxa" w:w="712"/>
          </w:tcPr>
          <w:p>
            <w:r>
              <w:rPr>
                <w:sz w:val="14"/>
              </w:rPr>
              <w:t>PM</w:t>
            </w:r>
          </w:p>
        </w:tc>
        <w:tc>
          <w:tcPr>
            <w:tcW w:type="dxa" w:w="712"/>
          </w:tcPr>
          <w:p>
            <w:r>
              <w:rPr>
                <w:sz w:val="14"/>
              </w:rPr>
              <w:t>2050 BU</w:t>
            </w:r>
          </w:p>
        </w:tc>
        <w:tc>
          <w:tcPr>
            <w:tcW w:type="dxa" w:w="712"/>
          </w:tcPr>
          <w:p>
            <w:r>
              <w:rPr>
                <w:sz w:val="14"/>
              </w:rPr>
              <w:t>1.20</w:t>
            </w:r>
          </w:p>
        </w:tc>
        <w:tc>
          <w:tcPr>
            <w:tcW w:type="dxa" w:w="712"/>
          </w:tcPr>
          <w:p>
            <w:r>
              <w:rPr>
                <w:sz w:val="14"/>
              </w:rPr>
              <w:t>6,135</w:t>
            </w:r>
          </w:p>
        </w:tc>
        <w:tc>
          <w:tcPr>
            <w:tcW w:type="dxa" w:w="712"/>
          </w:tcPr>
          <w:p>
            <w:r>
              <w:rPr>
                <w:sz w:val="14"/>
              </w:rPr>
              <w:t>6,399</w:t>
            </w:r>
          </w:p>
        </w:tc>
        <w:tc>
          <w:tcPr>
            <w:tcW w:type="dxa" w:w="712"/>
          </w:tcPr>
          <w:p>
            <w:r>
              <w:rPr>
                <w:sz w:val="14"/>
              </w:rPr>
              <w:t>1.04</w:t>
            </w:r>
          </w:p>
        </w:tc>
        <w:tc>
          <w:tcPr>
            <w:tcW w:type="dxa" w:w="712"/>
          </w:tcPr>
          <w:p>
            <w:r>
              <w:rPr>
                <w:sz w:val="14"/>
              </w:rPr>
              <w:t>368</w:t>
            </w:r>
          </w:p>
        </w:tc>
        <w:tc>
          <w:tcPr>
            <w:tcW w:type="dxa" w:w="712"/>
          </w:tcPr>
          <w:p>
            <w:r>
              <w:rPr>
                <w:sz w:val="14"/>
              </w:rPr>
              <w:t>411</w:t>
            </w:r>
          </w:p>
        </w:tc>
        <w:tc>
          <w:tcPr>
            <w:tcW w:type="dxa" w:w="712"/>
          </w:tcPr>
          <w:p>
            <w:r>
              <w:rPr>
                <w:sz w:val="14"/>
              </w:rPr>
              <w:t>5,766</w:t>
            </w:r>
          </w:p>
        </w:tc>
        <w:tc>
          <w:tcPr>
            <w:tcW w:type="dxa" w:w="712"/>
          </w:tcPr>
          <w:p>
            <w:r>
              <w:rPr>
                <w:sz w:val="14"/>
              </w:rPr>
              <w:t>5,988</w:t>
            </w:r>
          </w:p>
        </w:tc>
        <w:tc>
          <w:tcPr>
            <w:tcW w:type="dxa" w:w="712"/>
          </w:tcPr>
          <w:p>
            <w:r>
              <w:rPr>
                <w:sz w:val="14"/>
              </w:rPr>
              <w:t>4,998</w:t>
            </w:r>
          </w:p>
        </w:tc>
        <w:tc>
          <w:tcPr>
            <w:tcW w:type="dxa" w:w="712"/>
          </w:tcPr>
          <w:p>
            <w:r>
              <w:rPr>
                <w:sz w:val="14"/>
              </w:rPr>
              <w:t>5,212</w:t>
            </w:r>
          </w:p>
        </w:tc>
        <w:tc>
          <w:tcPr>
            <w:tcW w:type="dxa" w:w="712"/>
          </w:tcPr>
          <w:p>
            <w:r>
              <w:rPr>
                <w:sz w:val="14"/>
              </w:rPr>
              <w:t>15.7 %</w:t>
            </w:r>
          </w:p>
        </w:tc>
        <w:tc>
          <w:tcPr>
            <w:tcW w:type="dxa" w:w="712"/>
          </w:tcPr>
          <w:p>
            <w:r>
              <w:rPr>
                <w:sz w:val="14"/>
              </w:rPr>
              <w:t>15.7 %</w:t>
            </w:r>
          </w:p>
        </w:tc>
      </w:tr>
      <w:tr>
        <w:tc>
          <w:tcPr>
            <w:tcW w:type="dxa" w:w="712"/>
          </w:tcPr>
          <w:p>
            <w:r>
              <w:rPr>
                <w:sz w:val="14"/>
              </w:rPr>
              <w:t>PM</w:t>
            </w:r>
          </w:p>
        </w:tc>
        <w:tc>
          <w:tcPr>
            <w:tcW w:type="dxa" w:w="712"/>
          </w:tcPr>
          <w:p>
            <w:r>
              <w:rPr>
                <w:sz w:val="14"/>
              </w:rPr>
              <w:t>2040 HS</w:t>
            </w:r>
          </w:p>
        </w:tc>
        <w:tc>
          <w:tcPr>
            <w:tcW w:type="dxa" w:w="712"/>
          </w:tcPr>
          <w:p>
            <w:r>
              <w:rPr>
                <w:sz w:val="14"/>
              </w:rPr>
              <w:t>1.10</w:t>
            </w:r>
          </w:p>
        </w:tc>
        <w:tc>
          <w:tcPr>
            <w:tcW w:type="dxa" w:w="712"/>
          </w:tcPr>
          <w:p>
            <w:r>
              <w:rPr>
                <w:sz w:val="14"/>
              </w:rPr>
              <w:t>5,620</w:t>
            </w:r>
          </w:p>
        </w:tc>
        <w:tc>
          <w:tcPr>
            <w:tcW w:type="dxa" w:w="712"/>
          </w:tcPr>
          <w:p>
            <w:r>
              <w:rPr>
                <w:sz w:val="14"/>
              </w:rPr>
              <w:t>5,723</w:t>
            </w:r>
          </w:p>
        </w:tc>
        <w:tc>
          <w:tcPr>
            <w:tcW w:type="dxa" w:w="712"/>
          </w:tcPr>
          <w:p>
            <w:r>
              <w:rPr>
                <w:sz w:val="14"/>
              </w:rPr>
              <w:t>1.02</w:t>
            </w:r>
          </w:p>
        </w:tc>
        <w:tc>
          <w:tcPr>
            <w:tcW w:type="dxa" w:w="712"/>
          </w:tcPr>
          <w:p>
            <w:r>
              <w:rPr>
                <w:sz w:val="14"/>
              </w:rPr>
              <w:t>425</w:t>
            </w:r>
          </w:p>
        </w:tc>
        <w:tc>
          <w:tcPr>
            <w:tcW w:type="dxa" w:w="712"/>
          </w:tcPr>
          <w:p>
            <w:r>
              <w:rPr>
                <w:sz w:val="14"/>
              </w:rPr>
              <w:t>446</w:t>
            </w:r>
          </w:p>
        </w:tc>
        <w:tc>
          <w:tcPr>
            <w:tcW w:type="dxa" w:w="712"/>
          </w:tcPr>
          <w:p>
            <w:r>
              <w:rPr>
                <w:sz w:val="14"/>
              </w:rPr>
              <w:t>5,195</w:t>
            </w:r>
          </w:p>
        </w:tc>
        <w:tc>
          <w:tcPr>
            <w:tcW w:type="dxa" w:w="712"/>
          </w:tcPr>
          <w:p>
            <w:r>
              <w:rPr>
                <w:sz w:val="14"/>
              </w:rPr>
              <w:t>5,277</w:t>
            </w:r>
          </w:p>
        </w:tc>
        <w:tc>
          <w:tcPr>
            <w:tcW w:type="dxa" w:w="712"/>
          </w:tcPr>
          <w:p>
            <w:r>
              <w:rPr>
                <w:sz w:val="14"/>
              </w:rPr>
              <w:t>4,595</w:t>
            </w:r>
          </w:p>
        </w:tc>
        <w:tc>
          <w:tcPr>
            <w:tcW w:type="dxa" w:w="712"/>
          </w:tcPr>
          <w:p>
            <w:r>
              <w:rPr>
                <w:sz w:val="14"/>
              </w:rPr>
              <w:t>4,676</w:t>
            </w:r>
          </w:p>
        </w:tc>
        <w:tc>
          <w:tcPr>
            <w:tcW w:type="dxa" w:w="712"/>
          </w:tcPr>
          <w:p>
            <w:r>
              <w:rPr>
                <w:sz w:val="14"/>
              </w:rPr>
              <w:t>15.8 %</w:t>
            </w:r>
          </w:p>
        </w:tc>
        <w:tc>
          <w:tcPr>
            <w:tcW w:type="dxa" w:w="712"/>
          </w:tcPr>
          <w:p>
            <w:r>
              <w:rPr>
                <w:sz w:val="14"/>
              </w:rPr>
              <w:t>15.9 %</w:t>
            </w:r>
          </w:p>
        </w:tc>
      </w:tr>
      <w:tr>
        <w:tc>
          <w:tcPr>
            <w:tcW w:type="dxa" w:w="712"/>
          </w:tcPr>
          <w:p>
            <w:r>
              <w:rPr>
                <w:sz w:val="14"/>
              </w:rPr>
              <w:t>PM</w:t>
            </w:r>
          </w:p>
        </w:tc>
        <w:tc>
          <w:tcPr>
            <w:tcW w:type="dxa" w:w="712"/>
          </w:tcPr>
          <w:p>
            <w:r>
              <w:rPr>
                <w:sz w:val="14"/>
              </w:rPr>
              <w:t>2050 HS</w:t>
            </w:r>
          </w:p>
        </w:tc>
        <w:tc>
          <w:tcPr>
            <w:tcW w:type="dxa" w:w="712"/>
          </w:tcPr>
          <w:p>
            <w:r>
              <w:rPr>
                <w:sz w:val="14"/>
              </w:rPr>
              <w:t>1.20</w:t>
            </w:r>
          </w:p>
        </w:tc>
        <w:tc>
          <w:tcPr>
            <w:tcW w:type="dxa" w:w="712"/>
          </w:tcPr>
          <w:p>
            <w:r>
              <w:rPr>
                <w:sz w:val="14"/>
              </w:rPr>
              <w:t>5,956</w:t>
            </w:r>
          </w:p>
        </w:tc>
        <w:tc>
          <w:tcPr>
            <w:tcW w:type="dxa" w:w="712"/>
          </w:tcPr>
          <w:p>
            <w:r>
              <w:rPr>
                <w:sz w:val="14"/>
              </w:rPr>
              <w:t>6,155</w:t>
            </w:r>
          </w:p>
        </w:tc>
        <w:tc>
          <w:tcPr>
            <w:tcW w:type="dxa" w:w="712"/>
          </w:tcPr>
          <w:p>
            <w:r>
              <w:rPr>
                <w:sz w:val="14"/>
              </w:rPr>
              <w:t>1.03</w:t>
            </w:r>
          </w:p>
        </w:tc>
        <w:tc>
          <w:tcPr>
            <w:tcW w:type="dxa" w:w="712"/>
          </w:tcPr>
          <w:p>
            <w:r>
              <w:rPr>
                <w:sz w:val="14"/>
              </w:rPr>
              <w:t>466</w:t>
            </w:r>
          </w:p>
        </w:tc>
        <w:tc>
          <w:tcPr>
            <w:tcW w:type="dxa" w:w="712"/>
          </w:tcPr>
          <w:p>
            <w:r>
              <w:rPr>
                <w:sz w:val="14"/>
              </w:rPr>
              <w:t>509</w:t>
            </w:r>
          </w:p>
        </w:tc>
        <w:tc>
          <w:tcPr>
            <w:tcW w:type="dxa" w:w="712"/>
          </w:tcPr>
          <w:p>
            <w:r>
              <w:rPr>
                <w:sz w:val="14"/>
              </w:rPr>
              <w:t>5,490</w:t>
            </w:r>
          </w:p>
        </w:tc>
        <w:tc>
          <w:tcPr>
            <w:tcW w:type="dxa" w:w="712"/>
          </w:tcPr>
          <w:p>
            <w:r>
              <w:rPr>
                <w:sz w:val="14"/>
              </w:rPr>
              <w:t>5,646</w:t>
            </w:r>
          </w:p>
        </w:tc>
        <w:tc>
          <w:tcPr>
            <w:tcW w:type="dxa" w:w="712"/>
          </w:tcPr>
          <w:p>
            <w:r>
              <w:rPr>
                <w:sz w:val="14"/>
              </w:rPr>
              <w:t>4,918</w:t>
            </w:r>
          </w:p>
        </w:tc>
        <w:tc>
          <w:tcPr>
            <w:tcW w:type="dxa" w:w="712"/>
          </w:tcPr>
          <w:p>
            <w:r>
              <w:rPr>
                <w:sz w:val="14"/>
              </w:rPr>
              <w:t>5,074</w:t>
            </w:r>
          </w:p>
        </w:tc>
        <w:tc>
          <w:tcPr>
            <w:tcW w:type="dxa" w:w="712"/>
          </w:tcPr>
          <w:p>
            <w:r>
              <w:rPr>
                <w:sz w:val="14"/>
              </w:rPr>
              <w:t>15.2 %</w:t>
            </w:r>
          </w:p>
        </w:tc>
        <w:tc>
          <w:tcPr>
            <w:tcW w:type="dxa" w:w="712"/>
          </w:tcPr>
          <w:p>
            <w:r>
              <w:rPr>
                <w:sz w:val="14"/>
              </w:rPr>
              <w:t>15.3 %</w:t>
            </w:r>
          </w:p>
        </w:tc>
      </w:tr>
    </w:tbl>
    <w:p>
      <w:r>
        <w:rPr>
          <w:sz w:val="16"/>
        </w:rPr>
        <w:t>Table 4.9 — LRT trips with slower buses against the central case, main route + extension, Prioritized (three hours). AM: the LRT gains +2 % to +5 %, from 6,309–9,225 to 6,442–9,590.</w:t>
      </w:r>
    </w:p>
    <w:p>
      <w:pPr>
        <w:pStyle w:val="Heading2"/>
      </w:pPr>
      <w:r>
        <w:t>4.10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4.10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4.11 Maps</w:t>
      </w:r>
    </w:p>
    <w:p>
      <w:r>
        <w:t>The map set of the alternatives report (Output/figures/alternatives/, 41 maps: line loads, origins and destinations of the LRT trips, LRT share, growth, shift sources and rates, travel-time maps) applies to these runs; four are reproduced here.</w:t>
      </w:r>
    </w:p>
    <w:p>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map_line_loads_AM_HS_2050.png"/>
                    <pic:cNvPicPr/>
                  </pic:nvPicPr>
                  <pic:blipFill>
                    <a:blip r:embed="rId29"/>
                    <a:stretch>
                      <a:fillRect/>
                    </a:stretch>
                  </pic:blipFill>
                  <pic:spPr>
                    <a:xfrm>
                      <a:off x="0" y="0"/>
                      <a:ext cx="5760000" cy="4680000"/>
                    </a:xfrm>
                    <a:prstGeom prst="rect"/>
                  </pic:spPr>
                </pic:pic>
              </a:graphicData>
            </a:graphic>
          </wp:inline>
        </w:drawing>
      </w:r>
    </w:p>
    <w:p>
      <w:r>
        <w:rPr>
          <w:i/>
          <w:sz w:val="16"/>
        </w:rPr>
        <w:t>Figure 4.12 — LRT line loads and station boardings in the peak hour, HS 2050 AM.</w:t>
      </w:r>
    </w:p>
    <w:p>
      <w:r>
        <w:drawing>
          <wp:inline xmlns:a="http://schemas.openxmlformats.org/drawingml/2006/main" xmlns:pic="http://schemas.openxmlformats.org/drawingml/2006/picture">
            <wp:extent cx="5760000" cy="468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5760000" cy="4680000"/>
                    </a:xfrm>
                    <a:prstGeom prst="rect"/>
                  </pic:spPr>
                </pic:pic>
              </a:graphicData>
            </a:graphic>
          </wp:inline>
        </w:drawing>
      </w:r>
    </w:p>
    <w:p>
      <w:r>
        <w:rPr>
          <w:i/>
          <w:sz w:val="16"/>
        </w:rPr>
        <w:t>Figure 4.13 — Growth of the LRT trips by TAZ, 2022 → each scenario, AM peak hour.</w:t>
      </w:r>
    </w:p>
    <w:p>
      <w:r>
        <w:drawing>
          <wp:inline xmlns:a="http://schemas.openxmlformats.org/drawingml/2006/main" xmlns:pic="http://schemas.openxmlformats.org/drawingml/2006/picture">
            <wp:extent cx="5760000" cy="1832727"/>
            <wp:docPr id="23" name="Picture 23"/>
            <wp:cNvGraphicFramePr>
              <a:graphicFrameLocks noChangeAspect="1"/>
            </wp:cNvGraphicFramePr>
            <a:graphic>
              <a:graphicData uri="http://schemas.openxmlformats.org/drawingml/2006/picture">
                <pic:pic>
                  <pic:nvPicPr>
                    <pic:cNvPr id="0" name="map_shift_sources_AM_BU_2040.png"/>
                    <pic:cNvPicPr/>
                  </pic:nvPicPr>
                  <pic:blipFill>
                    <a:blip r:embed="rId31"/>
                    <a:stretch>
                      <a:fillRect/>
                    </a:stretch>
                  </pic:blipFill>
                  <pic:spPr>
                    <a:xfrm>
                      <a:off x="0" y="0"/>
                      <a:ext cx="5760000" cy="1832727"/>
                    </a:xfrm>
                    <a:prstGeom prst="rect"/>
                  </pic:spPr>
                </pic:pic>
              </a:graphicData>
            </a:graphic>
          </wp:inline>
        </w:drawing>
      </w:r>
    </w:p>
    <w:p>
      <w:r>
        <w:rPr>
          <w:i/>
          <w:sz w:val="16"/>
        </w:rPr>
        <w:t>Figure 4.14 — Sources of the LRT trips by TAZ (car, Metronit, bus), BU 2040 AM peak hour.</w:t>
      </w:r>
    </w:p>
    <w:p>
      <w:r>
        <w:drawing>
          <wp:inline xmlns:a="http://schemas.openxmlformats.org/drawingml/2006/main" xmlns:pic="http://schemas.openxmlformats.org/drawingml/2006/picture">
            <wp:extent cx="5760000" cy="1832727"/>
            <wp:docPr id="24" name="Picture 24"/>
            <wp:cNvGraphicFramePr>
              <a:graphicFrameLocks noChangeAspect="1"/>
            </wp:cNvGraphicFramePr>
            <a:graphic>
              <a:graphicData uri="http://schemas.openxmlformats.org/drawingml/2006/picture">
                <pic:pic>
                  <pic:nvPicPr>
                    <pic:cNvPr id="0" name="map_time_lrt_vs_bus_AM.png"/>
                    <pic:cNvPicPr/>
                  </pic:nvPicPr>
                  <pic:blipFill>
                    <a:blip r:embed="rId32"/>
                    <a:stretch>
                      <a:fillRect/>
                    </a:stretch>
                  </pic:blipFill>
                  <pic:spPr>
                    <a:xfrm>
                      <a:off x="0" y="0"/>
                      <a:ext cx="5760000" cy="1832727"/>
                    </a:xfrm>
                    <a:prstGeom prst="rect"/>
                  </pic:spPr>
                </pic:pic>
              </a:graphicData>
            </a:graphic>
          </wp:inline>
        </w:drawing>
      </w:r>
    </w:p>
    <w:p>
      <w:r>
        <w:rPr>
          <w:i/>
          <w:sz w:val="16"/>
        </w:rPr>
        <w:t>Figure 4.15 — LRT against bus generalized cost by TAZ, AM.</w:t>
      </w:r>
    </w:p>
    <w:p>
      <w:pPr>
        <w:pStyle w:val="Heading1"/>
      </w:pPr>
      <w:r>
        <w:t>5. Conclusions</w:t>
      </w:r>
    </w:p>
    <w:p>
      <w:pPr>
        <w:pStyle w:val="ListBullet"/>
      </w:pPr>
      <w:r>
        <w:t>Reference case. 2050 BU: 7,433 LRT riders in the AM three hours (4,378 in the peak hour), planning range 5,532–10,537 on the cost sensitivity; 6,003 use the extension against 5,939 if the extension terminated at Hamifrats; three markets of similar size (Tirat Carmel ↔ Haifa, Haifa internal, the Krayot by feeder); peak load 1,071 per hour and direction at the Hamifrats entry.</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level of service is held at May 2026 in every year, and if the buses slow with the road (10 % in 2040, 20 % in 2050) the LRT gains 2–5 % in the AM (section 4.9), so the constant-LOS central case is conservative for the LRT;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