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22"/>
          <w:szCs w:val="22"/>
          <w:rFonts w:ascii="Calibri" w:cs="Calibri" w:eastAsia="Calibri" w:hAnsi="Calibri"/>
        </w:rPr>
        <w:t xml:space="preserve">Nofit LRT Extension</w:t>
      </w:r>
    </w:p>
    <w:p>
      <w:pPr>
        <w:spacing w:after="120"/>
      </w:pPr>
      <w:r>
        <w:rPr>
          <w:b/>
          <w:bCs/>
          <w:sz w:val="34"/>
          <w:szCs w:val="34"/>
          <w:rFonts w:ascii="Calibri" w:cs="Calibri" w:eastAsia="Calibri" w:hAnsi="Calibri"/>
        </w:rPr>
        <w:t xml:space="preserve">The Corridor on the V2 Aggregation, the LRT Line’s Travel Times and the Generalized-Cost Inputs</w:t>
      </w:r>
    </w:p>
    <w:p>
      <w:pPr>
        <w:spacing w:after="200"/>
      </w:pPr>
      <w:r>
        <w:rPr>
          <w:color w:val="52514E"/>
          <w:sz w:val="26"/>
          <w:szCs w:val="26"/>
          <w:rFonts w:ascii="Calibri" w:cs="Calibri" w:eastAsia="Calibri" w:hAnsi="Calibri"/>
        </w:rPr>
        <w:t xml:space="preserve">Findings, and what the matrices can and cannot be used for — revision 1</w:t>
      </w:r>
    </w:p>
    <w:p>
      <w:pPr>
        <w:spacing w:after="120" w:before="0"/>
      </w:pPr>
      <w:r>
        <w:rPr>
          <w:b/>
          <w:bCs/>
          <w:sz w:val="22"/>
          <w:szCs w:val="22"/>
          <w:rFonts w:ascii="Calibri" w:cs="Calibri" w:eastAsia="Calibri" w:hAnsi="Calibri"/>
        </w:rPr>
        <w:t xml:space="preserve">Date: </w:t>
      </w:r>
      <w:r>
        <w:rPr>
          <w:sz w:val="22"/>
          <w:szCs w:val="22"/>
          <w:rFonts w:ascii="Calibri" w:cs="Calibri" w:eastAsia="Calibri" w:hAnsi="Calibri"/>
        </w:rPr>
        <w:t xml:space="preserve">22 September 2026. Companion to the Survey Matrices report (revision 2.1, 21 September 2026), which remains the account of how the 2022 base was built and tested; this report covers the work done on the new inputs delivered on 22 September and states the usability of every matrix product now in the repository.</w:t>
      </w:r>
    </w:p>
    <w:p>
      <w:pPr>
        <w:spacing w:after="120" w:before="0"/>
      </w:pPr>
      <w:r>
        <w:rPr>
          <w:b/>
          <w:bCs/>
          <w:sz w:val="22"/>
          <w:szCs w:val="22"/>
          <w:rFonts w:ascii="Calibri" w:cs="Calibri" w:eastAsia="Calibri" w:hAnsi="Calibri"/>
        </w:rPr>
        <w:t xml:space="preserve">Notebooks: </w:t>
      </w:r>
      <w:r>
        <w:rPr>
          <w:sz w:val="22"/>
          <w:szCs w:val="22"/>
          <w:rFonts w:ascii="Calibri" w:cs="Calibri" w:eastAsia="Calibri" w:hAnsi="Calibri"/>
        </w:rPr>
        <w:t xml:space="preserve">Corridor_peak_hour_V2_routes, Corridor_flow_profile_V2_routes, Corridor_profile_V2_survey_vs_ticketing, LRT_line_stations_travel_time, GC_data_inventory_and_skims (all under notebooks/current/); THS_2017_PCA_car_vs_transit (diagnostics). Methodology sections 6s, 6v–6z of METHODOLOGY.md.</w:t>
      </w:r>
    </w:p>
    <w:p>
      <w:pPr>
        <w:spacing w:after="240" w:before="0"/>
      </w:pPr>
      <w:r>
        <w:rPr>
          <w:b/>
          <w:bCs/>
          <w:sz w:val="22"/>
          <w:szCs w:val="22"/>
          <w:rFonts w:ascii="Calibri" w:cs="Calibri" w:eastAsia="Calibri" w:hAnsi="Calibri"/>
        </w:rPr>
        <w:t xml:space="preserve">Outputs: </w:t>
      </w:r>
      <w:r>
        <w:rPr>
          <w:sz w:val="22"/>
          <w:szCs w:val="22"/>
          <w:rFonts w:ascii="Calibri" w:cs="Calibri" w:eastAsia="Calibri" w:hAnsi="Calibri"/>
        </w:rPr>
        <w:t xml:space="preserve">Output/corridor_v2/, Output/lrt_v2/, Output/gc/, Output/figures/.</w:t>
      </w:r>
    </w:p>
    <w:p>
      <w:pPr>
        <w:pStyle w:val="Heading1"/>
        <w:spacing w:before="360" w:after="160"/>
      </w:pPr>
      <w:r>
        <w:rPr>
          <w:rFonts w:ascii="Calibri" w:cs="Calibri" w:eastAsia="Calibri" w:hAnsi="Calibri"/>
        </w:rPr>
        <w:t xml:space="preserve">1. Summary</w:t>
      </w:r>
    </w:p>
    <w:p>
      <w:pPr>
        <w:spacing w:after="120" w:before="0"/>
      </w:pPr>
      <w:r>
        <w:rPr>
          <w:sz w:val="22"/>
          <w:szCs w:val="22"/>
          <w:rFonts w:ascii="Calibri" w:cs="Calibri" w:eastAsia="Calibri" w:hAnsi="Calibri"/>
        </w:rPr>
        <w:t xml:space="preserve">Three new inputs arrived on 22 September 2026: a new corridor aggregation (V2 — 25 areas built from 174 traffic analysis zones, arranged as three routes on a common trunk), the planned LRT alignment with its stations, and a street network carrying measured bus speeds for May 2026. Alongside them came a calibrated stop-to-stop travel-time function for a light-rail operator, with separate coefficients for underground and ground-level running. This report explains what was done with them and what the results say, in plain language, and then answers the question a user of the repository needs answered before quoting any number from it: which matrix is fit for which purpose.</w:t>
      </w:r>
    </w:p>
    <w:p>
      <w:pPr>
        <w:spacing w:after="120" w:before="0"/>
      </w:pPr>
      <w:r>
        <w:rPr>
          <w:sz w:val="22"/>
          <w:szCs w:val="22"/>
          <w:rFonts w:ascii="Calibri" w:cs="Calibri" w:eastAsia="Calibri" w:hAnsi="Calibri"/>
        </w:rPr>
        <w:t xml:space="preserve">Five pieces of work are covered:</w:t>
      </w:r>
    </w:p>
    <w:p>
      <w:pPr>
        <w:pStyle w:val="ListParagraph"/>
        <w:numPr>
          <w:ilvl w:val="0"/>
          <w:numId w:val="2"/>
        </w:numPr>
        <w:spacing w:after="80"/>
      </w:pPr>
      <w:r>
        <w:rPr>
          <w:b/>
          <w:bCs/>
          <w:sz w:val="22"/>
          <w:szCs w:val="22"/>
          <w:rFonts w:ascii="Calibri" w:cs="Calibri" w:eastAsia="Calibri" w:hAnsi="Calibri"/>
        </w:rPr>
        <w:t xml:space="preserve">The corridor on the V2 aggregation. </w:t>
      </w:r>
      <w:r>
        <w:rPr>
          <w:sz w:val="22"/>
          <w:szCs w:val="22"/>
          <w:rFonts w:ascii="Calibri" w:cs="Calibri" w:eastAsia="Calibri" w:hAnsi="Calibri"/>
        </w:rPr>
        <w:t xml:space="preserve">The 2022 demand layers laid along each of the three routes and along the whole tree network, as three-hour and peak-hour potential movements, with peak-hour factors re-estimated on the new route sequences.</w:t>
      </w:r>
    </w:p>
    <w:p>
      <w:pPr>
        <w:pStyle w:val="ListParagraph"/>
        <w:numPr>
          <w:ilvl w:val="0"/>
          <w:numId w:val="2"/>
        </w:numPr>
        <w:spacing w:after="80"/>
      </w:pPr>
      <w:r>
        <w:rPr>
          <w:b/>
          <w:bCs/>
          <w:sz w:val="22"/>
          <w:szCs w:val="22"/>
          <w:rFonts w:ascii="Calibri" w:cs="Calibri" w:eastAsia="Calibri" w:hAnsi="Calibri"/>
        </w:rPr>
        <w:t xml:space="preserve">The survey against ticketing on the new geography. </w:t>
      </w:r>
      <w:r>
        <w:rPr>
          <w:sz w:val="22"/>
          <w:szCs w:val="22"/>
          <w:rFonts w:ascii="Calibri" w:cs="Calibri" w:eastAsia="Calibri" w:hAnsi="Calibri"/>
        </w:rPr>
        <w:t xml:space="preserve">The comparison of the calibrated-survey transit profile with the ticketing-based one, repeated route by route.</w:t>
      </w:r>
    </w:p>
    <w:p>
      <w:pPr>
        <w:pStyle w:val="ListParagraph"/>
        <w:numPr>
          <w:ilvl w:val="0"/>
          <w:numId w:val="2"/>
        </w:numPr>
        <w:spacing w:after="80"/>
      </w:pPr>
      <w:r>
        <w:rPr>
          <w:b/>
          <w:bCs/>
          <w:sz w:val="22"/>
          <w:szCs w:val="22"/>
          <w:rFonts w:ascii="Calibri" w:cs="Calibri" w:eastAsia="Calibri" w:hAnsi="Calibri"/>
        </w:rPr>
        <w:t xml:space="preserve">The LRT line. </w:t>
      </w:r>
      <w:r>
        <w:rPr>
          <w:sz w:val="22"/>
          <w:szCs w:val="22"/>
          <w:rFonts w:ascii="Calibri" w:cs="Calibri" w:eastAsia="Calibri" w:hAnsi="Calibri"/>
        </w:rPr>
        <w:t xml:space="preserve">The 46 platform points turned into 24 stations with chainage, and station-to-station in-vehicle times under two scenarios — every station underground, every station at ground level — using the calibrated function.</w:t>
      </w:r>
    </w:p>
    <w:p>
      <w:pPr>
        <w:pStyle w:val="ListParagraph"/>
        <w:numPr>
          <w:ilvl w:val="0"/>
          <w:numId w:val="2"/>
        </w:numPr>
        <w:spacing w:after="80"/>
      </w:pPr>
      <w:r>
        <w:rPr>
          <w:b/>
          <w:bCs/>
          <w:sz w:val="22"/>
          <w:szCs w:val="22"/>
          <w:rFonts w:ascii="Calibri" w:cs="Calibri" w:eastAsia="Calibri" w:hAnsi="Calibri"/>
        </w:rPr>
        <w:t xml:space="preserve">The generalized-cost inputs. </w:t>
      </w:r>
      <w:r>
        <w:rPr>
          <w:sz w:val="22"/>
          <w:szCs w:val="22"/>
          <w:rFonts w:ascii="Calibri" w:cs="Calibri" w:eastAsia="Calibri" w:hAnsi="Calibri"/>
        </w:rPr>
        <w:t xml:space="preserve">Component by component and mode by mode, what exists, what could be derived, what had to be assumed, and what is missing; and a first fill of the car, bus and LRT matrices on the 25 areas.</w:t>
      </w:r>
    </w:p>
    <w:p>
      <w:pPr>
        <w:pStyle w:val="ListParagraph"/>
        <w:numPr>
          <w:ilvl w:val="0"/>
          <w:numId w:val="2"/>
        </w:numPr>
        <w:spacing w:after="80"/>
      </w:pPr>
      <w:r>
        <w:rPr>
          <w:b/>
          <w:bCs/>
          <w:sz w:val="22"/>
          <w:szCs w:val="22"/>
          <w:rFonts w:ascii="Calibri" w:cs="Calibri" w:eastAsia="Calibri" w:hAnsi="Calibri"/>
        </w:rPr>
        <w:t xml:space="preserve">A check. </w:t>
      </w:r>
      <w:r>
        <w:rPr>
          <w:sz w:val="22"/>
          <w:szCs w:val="22"/>
          <w:rFonts w:ascii="Calibri" w:cs="Calibri" w:eastAsia="Calibri" w:hAnsi="Calibri"/>
        </w:rPr>
        <w:t xml:space="preserve">The car-versus-transit destination-structure test repeated on the V2 areas.</w:t>
      </w:r>
    </w:p>
    <w:p>
      <w:pPr>
        <w:pStyle w:val="Heading2"/>
        <w:spacing w:before="280" w:after="120"/>
      </w:pPr>
      <w:r>
        <w:rPr>
          <w:rFonts w:ascii="Calibri" w:cs="Calibri" w:eastAsia="Calibri" w:hAnsi="Calibri"/>
        </w:rPr>
        <w:t xml:space="preserve">The main numbers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80"/>
        <w:gridCol w:w="6120"/>
      </w:tblGrid>
      <w:tr>
        <w:trPr>
          <w:tblHeader/>
        </w:trPr>
        <w:tc>
          <w:tcPr>
            <w:tcW w:type="dxa" w:w="288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Quantity (2022 layers, 06:00–09:00 unless stated)</w:t>
            </w:r>
          </w:p>
        </w:tc>
        <w:tc>
          <w:tcPr>
            <w:tcW w:type="dxa" w:w="61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Value</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V2 aggregation</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25 areas, 174 TAZs, 492,000 residents and 221,000 jobs (2020); 184,106 trips with both ends in the areas (car 156,944, bus 18,788, taxi-type 8,323, rail 51)</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Route-internal trips (all layers / transit)</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T1 Nazareth 123,906 / 12,546; T2 Krayot 73,964 / 7,711; T3 Kiryat Yam 55,519 / 7,054</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Busiest transit link on every route, three hours (peak hour)</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Away from Tirat Carmel: Ein Hayam – Bat Galim, 1,379–1,437 (814–848). Towards Tirat Carmel: Matam – Hof Carmel, 1,410–1,629 (833–961)</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Busiest single link of any route</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Kiryat Haim – Kiryat Bialik Center (T2), 10,144 towards Haifa in three hours (5,812 in the peak hour), transit share 10 %</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Busiest trunk link on the tree network, towards Haifa</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Bazan-Hutsot – Tsomet Kiryat Ata: 16,231 all layers / 2,898 transit in three hours; 8,792 / 1,710 in the peak hour</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Peak-hour share of the three hours (car, by route)</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0.62–0.65 away from Tirat Carmel, 0.57–0.58 towards it; 0.56 / 0.52 on the whole network (bus 0.59, taxi-type 0.58 unchanged)</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Calibrated survey ÷ ticketing transit, Haifa segment</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Away from Tirat Carmel 0.78–0.83 on every route; towards it T2 0.92, T3 0.73, T1 0.66</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LRT line hf_lrt_3</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24 stations, 18.74 km between the end stations, mean spacing 815 m; serves the ten trunk areas Tirat Carmel – Hamifrats only</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End-to-end in-vehicle time, all underground / all ground</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73.5 / 89.7 min in the distance form (15.3 / 12.5 km/h); 45.1 / 55.0 min in the section form (24.9 / 20.4 km/h); underground saves 18.1 % in either form</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Generalized-cost first fill, trunk pairs, trip-weighted</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Car door-to-door 14.5 min; bus fastest-path in-vehicle 12.5 min against 27.1 min door-to-door in the survey; LRT in-vehicle 20.6 (underground) / 25.1 (ground) min, walk access + egress 13.6 min</w:t>
            </w:r>
          </w:p>
        </w:tc>
      </w:tr>
    </w:tbl>
    <w:p>
      <w:pPr>
        <w:spacing w:after="120"/>
      </w:pPr>
    </w:p>
    <w:p>
      <w:pPr>
        <w:pStyle w:val="Heading2"/>
        <w:spacing w:before="280" w:after="120"/>
      </w:pPr>
      <w:r>
        <w:rPr>
          <w:rFonts w:ascii="Calibri" w:cs="Calibri" w:eastAsia="Calibri" w:hAnsi="Calibri"/>
        </w:rPr>
        <w:t xml:space="preserve">The main findings</w:t>
      </w:r>
    </w:p>
    <w:p>
      <w:pPr>
        <w:pStyle w:val="ListParagraph"/>
        <w:numPr>
          <w:ilvl w:val="0"/>
          <w:numId w:val="2"/>
        </w:numPr>
        <w:spacing w:after="80"/>
      </w:pPr>
      <w:r>
        <w:rPr>
          <w:b/>
          <w:bCs/>
          <w:sz w:val="22"/>
          <w:szCs w:val="22"/>
          <w:rFonts w:ascii="Calibri" w:cs="Calibri" w:eastAsia="Calibri" w:hAnsi="Calibri"/>
        </w:rPr>
        <w:t xml:space="preserve">The Haifa trunk looks the same on every route; the branches do not. </w:t>
      </w:r>
      <w:r>
        <w:rPr>
          <w:sz w:val="22"/>
          <w:szCs w:val="22"/>
          <w:rFonts w:ascii="Calibri" w:cs="Calibri" w:eastAsia="Calibri" w:hAnsi="Calibri"/>
        </w:rPr>
        <w:t xml:space="preserve">Between Tirat Carmel and Hamifrats the three routes share their busiest transit links and their values (within a few per cent of the earlier 18-area line). Beyond Tsomet Kiryat Ata the Nazareth branch is one-directional in the morning (5,809 towards Haifa against 785 away, transit share 20–23 % — the highest in the set), the Krayot branch holds the busiest link of any route (10,144 towards Haifa, but only 10 % transit), and the Kiryat Yam branch peaks at 4,896.</w:t>
      </w:r>
    </w:p>
    <w:p>
      <w:pPr>
        <w:pStyle w:val="ListParagraph"/>
        <w:numPr>
          <w:ilvl w:val="0"/>
          <w:numId w:val="2"/>
        </w:numPr>
        <w:spacing w:after="80"/>
      </w:pPr>
      <w:r>
        <w:rPr>
          <w:b/>
          <w:bCs/>
          <w:sz w:val="22"/>
          <w:szCs w:val="22"/>
          <w:rFonts w:ascii="Calibri" w:cs="Calibri" w:eastAsia="Calibri" w:hAnsi="Calibri"/>
        </w:rPr>
        <w:t xml:space="preserve">The eastern trunk fills up only when the branches are added together. </w:t>
      </w:r>
      <w:r>
        <w:rPr>
          <w:sz w:val="22"/>
          <w:szCs w:val="22"/>
          <w:rFonts w:ascii="Calibri" w:cs="Calibri" w:eastAsia="Calibri" w:hAnsi="Calibri"/>
        </w:rPr>
        <w:t xml:space="preserve">Loading every pair of the 25 areas on its unique path over the tree, Bazan-Hutsot – Tsomet Kiryat Ata carries 16,231 potential movements towards Haifa in three hours (2,898 transit) — three times what the Nazareth route alone puts there. The 14,688 trips between two different branches load the branch links, not the trunk.</w:t>
      </w:r>
    </w:p>
    <w:p>
      <w:pPr>
        <w:pStyle w:val="ListParagraph"/>
        <w:numPr>
          <w:ilvl w:val="0"/>
          <w:numId w:val="2"/>
        </w:numPr>
        <w:spacing w:after="80"/>
      </w:pPr>
      <w:r>
        <w:rPr>
          <w:b/>
          <w:bCs/>
          <w:sz w:val="22"/>
          <w:szCs w:val="22"/>
          <w:rFonts w:ascii="Calibri" w:cs="Calibri" w:eastAsia="Calibri" w:hAnsi="Calibri"/>
        </w:rPr>
        <w:t xml:space="preserve">Peak-hour factors estimated on the new routes are lower in the Haifa-bound direction. </w:t>
      </w:r>
      <w:r>
        <w:rPr>
          <w:sz w:val="22"/>
          <w:szCs w:val="22"/>
          <w:rFonts w:ascii="Calibri" w:cs="Calibri" w:eastAsia="Calibri" w:hAnsi="Calibri"/>
        </w:rPr>
        <w:t xml:space="preserve">Car trips from Nazareth and the Krayot start earlier and spread their departures, so the towards-Haifa factor is 0.57–0.58 per route and 0.52 on the whole network, against 0.63 on the earlier line. Peak-hour values fell by 5–17 % from the first pass. Bus and taxi-type samples are still too thin for route-specific factors.</w:t>
      </w:r>
    </w:p>
    <w:p>
      <w:pPr>
        <w:pStyle w:val="ListParagraph"/>
        <w:numPr>
          <w:ilvl w:val="0"/>
          <w:numId w:val="2"/>
        </w:numPr>
        <w:spacing w:after="80"/>
      </w:pPr>
      <w:r>
        <w:rPr>
          <w:b/>
          <w:bCs/>
          <w:sz w:val="22"/>
          <w:szCs w:val="22"/>
          <w:rFonts w:ascii="Calibri" w:cs="Calibri" w:eastAsia="Calibri" w:hAnsi="Calibri"/>
        </w:rPr>
        <w:t xml:space="preserve">The survey and the ticketing data agree away from Tirat Carmel and disagree towards it, route by route. </w:t>
      </w:r>
      <w:r>
        <w:rPr>
          <w:sz w:val="22"/>
          <w:szCs w:val="22"/>
          <w:rFonts w:ascii="Calibri" w:cs="Calibri" w:eastAsia="Calibri" w:hAnsi="Calibri"/>
        </w:rPr>
        <w:t xml:space="preserve">On the Krayot route the two frames nearly match in both directions; on the Nazareth route the ticketing set carries about 2.3 times the survey’s transit towards Haifa beyond Hamifrats. The cause is the one found before: journeys ticketed from Nazareth land at trunk-route alighting stops in Bat Galim, Lower City and Hecht-Shprintzak, where the survey places them by employment share. A Nazareth-branch market should be quoted as a range.</w:t>
      </w:r>
    </w:p>
    <w:p>
      <w:pPr>
        <w:pStyle w:val="ListParagraph"/>
        <w:numPr>
          <w:ilvl w:val="0"/>
          <w:numId w:val="2"/>
        </w:numPr>
        <w:spacing w:after="80"/>
      </w:pPr>
      <w:r>
        <w:rPr>
          <w:b/>
          <w:bCs/>
          <w:sz w:val="22"/>
          <w:szCs w:val="22"/>
          <w:rFonts w:ascii="Calibri" w:cs="Calibri" w:eastAsia="Calibri" w:hAnsi="Calibri"/>
        </w:rPr>
        <w:t xml:space="preserve">The calibrated LRT function is slow on this station spacing. </w:t>
      </w:r>
      <w:r>
        <w:rPr>
          <w:sz w:val="22"/>
          <w:szCs w:val="22"/>
          <w:rFonts w:ascii="Calibri" w:cs="Calibri" w:eastAsia="Calibri" w:hAnsi="Calibri"/>
        </w:rPr>
        <w:t xml:space="preserve">The coefficients were calibrated at 500 m between stops; this line averages 815 m. Read as minutes per kilometre they give 15.3 km/h underground and 12.5 km/h at ground level; read as minutes per stop they give 25 and 20 km/h. The two readings bracket the answer and differ by 39 % of in-vehicle time. Going underground saves 18 % in either reading.</w:t>
      </w:r>
    </w:p>
    <w:p>
      <w:pPr>
        <w:pStyle w:val="ListParagraph"/>
        <w:numPr>
          <w:ilvl w:val="0"/>
          <w:numId w:val="2"/>
        </w:numPr>
        <w:spacing w:after="80"/>
      </w:pPr>
      <w:r>
        <w:rPr>
          <w:b/>
          <w:bCs/>
          <w:sz w:val="22"/>
          <w:szCs w:val="22"/>
          <w:rFonts w:ascii="Calibri" w:cs="Calibri" w:eastAsia="Calibri" w:hAnsi="Calibri"/>
        </w:rPr>
        <w:t xml:space="preserve">That speed, not the missing fare data, decides the generalized-cost comparison. </w:t>
      </w:r>
      <w:r>
        <w:rPr>
          <w:sz w:val="22"/>
          <w:szCs w:val="22"/>
          <w:rFonts w:ascii="Calibri" w:cs="Calibri" w:eastAsia="Calibri" w:hAnsi="Calibri"/>
        </w:rPr>
        <w:t xml:space="preserve">On the trunk pairs the LRT in-vehicle time is 20.6 min underground in the slower reading, with 13.6 min of walking and 3 min of waiting on top — about 37 min door to door against 27 min that bus users report today. In the faster reading it is about 30 min, level with the bus. Fares, parking and the value of time are missing for every mode but move the comparison by a few minutes; the speed moves it by seven to nine.</w:t>
      </w:r>
    </w:p>
    <w:p>
      <w:pPr>
        <w:pStyle w:val="ListParagraph"/>
        <w:numPr>
          <w:ilvl w:val="0"/>
          <w:numId w:val="2"/>
        </w:numPr>
        <w:spacing w:after="80"/>
      </w:pPr>
      <w:r>
        <w:rPr>
          <w:b/>
          <w:bCs/>
          <w:sz w:val="22"/>
          <w:szCs w:val="22"/>
          <w:rFonts w:ascii="Calibri" w:cs="Calibri" w:eastAsia="Calibri" w:hAnsi="Calibri"/>
        </w:rPr>
        <w:t xml:space="preserve">The line as drawn serves ten of the 25 areas. </w:t>
      </w:r>
      <w:r>
        <w:rPr>
          <w:sz w:val="22"/>
          <w:szCs w:val="22"/>
          <w:rFonts w:ascii="Calibri" w:cs="Calibri" w:eastAsia="Calibri" w:hAnsi="Calibri"/>
        </w:rPr>
        <w:t xml:space="preserve">Bazan-Hutsot, Tsomet Kiryat Ata and the three branches have no station on the supplied alignment, so no LRT time exists for them yet.</w:t>
      </w:r>
    </w:p>
    <w:p>
      <w:pPr>
        <w:pStyle w:val="ListParagraph"/>
        <w:numPr>
          <w:ilvl w:val="0"/>
          <w:numId w:val="2"/>
        </w:numPr>
        <w:spacing w:after="80"/>
      </w:pPr>
      <w:r>
        <w:rPr>
          <w:b/>
          <w:bCs/>
          <w:sz w:val="22"/>
          <w:szCs w:val="22"/>
          <w:rFonts w:ascii="Calibri" w:cs="Calibri" w:eastAsia="Calibri" w:hAnsi="Calibri"/>
        </w:rPr>
        <w:t xml:space="preserve">The destination-structure check adds nothing at this geography. </w:t>
      </w:r>
      <w:r>
        <w:rPr>
          <w:sz w:val="22"/>
          <w:szCs w:val="22"/>
          <w:rFonts w:ascii="Calibri" w:cs="Calibri" w:eastAsia="Calibri" w:hAnsi="Calibri"/>
        </w:rPr>
        <w:t xml:space="preserve">On the V2 areas the car-versus-transit overlap sits at or just below transit’s own day-to-day repeatability, depending on which handful of origins has enough transit trips. The superzone-level finding — transit is less local and more Haifa-bound than car, so it cannot be read off the car pattern — stands.</w:t>
      </w:r>
    </w:p>
    <w:p>
      <w:pPr>
        <w:pStyle w:val="Heading1"/>
        <w:spacing w:before="360" w:after="160"/>
      </w:pPr>
      <w:r>
        <w:rPr>
          <w:rFonts w:ascii="Calibri" w:cs="Calibri" w:eastAsia="Calibri" w:hAnsi="Calibri"/>
        </w:rPr>
        <w:t xml:space="preserve">2. What arrived, and what was made of 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60"/>
        <w:gridCol w:w="3420"/>
        <w:gridCol w:w="3420"/>
      </w:tblGrid>
      <w:tr>
        <w:trPr>
          <w:tblHeader/>
        </w:trPr>
        <w:tc>
          <w:tcPr>
            <w:tcW w:type="dxa" w:w="21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Input</w:t>
            </w:r>
          </w:p>
        </w:tc>
        <w:tc>
          <w:tcPr>
            <w:tcW w:type="dxa" w:w="34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What it is</w:t>
            </w:r>
          </w:p>
        </w:tc>
        <w:tc>
          <w:tcPr>
            <w:tcW w:type="dxa" w:w="34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How it is used here</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Corridor_TAZ_Agg_V2.xlsx</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25 areas (codes 201–217 trunk and Nazareth branch, 101–104 Krayot branch, 301–304 Kiryat Yam branch), each a list of TAZs; three route orders T1 / T2 / T3 sharing the twelve trunk areas 201–212</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The reporting geography of everything in this report. 143 of its TAZs were in the earlier 28-area set; 62 old TAZs are dropped (Hadar Carmel, Neve Yosef, Kiryat Ata East, the influence areas …) and 31 added (all of Nazareth city, Shefaram, Neot Peres). TAZ 1509, where station S13 falls, is not listed.</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hf_lrt_3.shp and station_hf_lrt_3.geojson</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One 18.94 km polyline from Hamifrats to Tirat Carmel; 46 platform points</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Projected to the Israel grid; the points paired into 24 stations by chainage; each station located in its TAZ and area.</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BusSpeedData: Streets.shp and std_202605.csv</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161,534 street links nationally, with bus speeds per weekday, hour and direction for May 2026; 54,507 links in the study area, 48,092 of them with a Tuesday 07:00–08:00 bus speed</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 bus-served street graph on which the fastest path between area centroids gives a running-time floor for bus in-vehicle time.</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Transit travel-time calibration report (operator 22)</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26,653 clean journeys over 132 Thursdays, 2023–2026: 1.961 min per 500 m section underground, 2.393 min at ground level, dwell included</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The station-to-station time function of Part B, in two readings (per kilometre and per section).</w:t>
            </w:r>
          </w:p>
        </w:tc>
      </w:tr>
    </w:tbl>
    <w:p>
      <w:pPr>
        <w:spacing w:after="120"/>
      </w:pPr>
    </w:p>
    <w:p>
      <w:pPr>
        <w:spacing w:after="120" w:before="0"/>
      </w:pPr>
      <w:r>
        <w:rPr>
          <w:sz w:val="22"/>
          <w:szCs w:val="22"/>
          <w:rFonts w:ascii="Calibri" w:cs="Calibri" w:eastAsia="Calibri" w:hAnsi="Calibri"/>
        </w:rPr>
        <w:t xml:space="preserve">Direction convention throughout: “up” means away from Tirat Carmel towards the end of a branch (the old “1 → 23”); “down” means towards Tirat Carmel, which for every branch is the direction into Haifa in the morning.</w:t>
      </w:r>
    </w:p>
    <w:p>
      <w:pPr>
        <w:pStyle w:val="Heading1"/>
        <w:spacing w:before="360" w:after="160"/>
      </w:pPr>
      <w:r>
        <w:rPr>
          <w:rFonts w:ascii="Calibri" w:cs="Calibri" w:eastAsia="Calibri" w:hAnsi="Calibri"/>
        </w:rPr>
        <w:t xml:space="preserve">3. Part A — the corridor on the V2 aggregation</w:t>
      </w:r>
    </w:p>
    <w:p>
      <w:pPr>
        <w:pStyle w:val="Heading2"/>
        <w:spacing w:before="280" w:after="120"/>
      </w:pPr>
      <w:r>
        <w:rPr>
          <w:rFonts w:ascii="Calibri" w:cs="Calibri" w:eastAsia="Calibri" w:hAnsi="Calibri"/>
        </w:rPr>
        <w:t xml:space="preserve">3.1 Routes, and the tree network</w:t>
      </w:r>
    </w:p>
    <w:p>
      <w:pPr>
        <w:spacing w:after="120" w:before="0"/>
      </w:pPr>
      <w:r>
        <w:rPr>
          <w:sz w:val="22"/>
          <w:szCs w:val="22"/>
          <w:rFonts w:ascii="Calibri" w:cs="Calibri" w:eastAsia="Calibri" w:hAnsi="Calibri"/>
        </w:rPr>
        <w:t xml:space="preserve">The V2 file gives three route orders. All three start at Tirat Carmel and run through the same twelve trunk areas to Tsomet Kiryat Ata; there they branch. T1 continues through Kiryat Ata North, Kiryat Ata North-East, Shefaram and Hamovil to Nazareth (17 areas). T2 turns to Kiryat Haim, Kiryat Bialik Center, Kiryon and Tsur Shalom (16 areas). T3 turns to Kiryat Haim West, Kiryat Yam B+C, Kiryat Yam A and Savyoney Yam (16 areas).</w:t>
      </w:r>
    </w:p>
    <w:p>
      <w:pPr>
        <w:spacing w:after="120" w:before="0"/>
      </w:pPr>
      <w:r>
        <w:rPr>
          <w:sz w:val="22"/>
          <w:szCs w:val="22"/>
          <w:rFonts w:ascii="Calibri" w:cs="Calibri" w:eastAsia="Calibri" w:hAnsi="Calibri"/>
        </w:rPr>
        <w:t xml:space="preserve">The 2022 layers of the survey base (car, bus, taxi-type, rail, at TAZ level) were added up into 25 × 25 area matrices. For each route, every pair of areas with both ends on the route is assigned to every link between them, in its direction of travel — exactly the construction of the earlier corridor profiles. A route profile therefore counts only trips with both ends on that route. A fourth view treats the three routes as one tree: every pair of the 25 areas has a single path over the trunk and the branches, and the trunk links carry the trips of all three branches at once. That view is the one to use for the trunk; the route views are the ones to use for each branch.</w:t>
      </w:r>
    </w:p>
    <w:p>
      <w:pPr>
        <w:spacing w:after="120" w:before="0"/>
      </w:pPr>
      <w:r>
        <w:rPr>
          <w:i/>
          <w:iCs/>
          <w:sz w:val="22"/>
          <w:szCs w:val="22"/>
          <w:rFonts w:ascii="Calibri" w:cs="Calibri" w:eastAsia="Calibri" w:hAnsi="Calibri"/>
        </w:rPr>
        <w:t xml:space="preserve">What the values are. </w:t>
      </w:r>
      <w:r>
        <w:rPr>
          <w:sz w:val="22"/>
          <w:szCs w:val="22"/>
          <w:rFonts w:ascii="Calibri" w:cs="Calibri" w:eastAsia="Calibri" w:hAnsi="Calibri"/>
        </w:rPr>
        <w:t xml:space="preserve">Each value is the number of morning-peak trips between line areas that could traverse a link if every such trip used the line: a potential movement, over three hours or in the peak departure hour. It is not a passenger load — there is no station access, no choice between the line and parallel buses, and no trip with one end off the line.</w:t>
      </w:r>
    </w:p>
    <w:p>
      <w:pPr>
        <w:pStyle w:val="Heading2"/>
        <w:spacing w:before="280" w:after="120"/>
      </w:pPr>
      <w:r>
        <w:rPr>
          <w:rFonts w:ascii="Calibri" w:cs="Calibri" w:eastAsia="Calibri" w:hAnsi="Calibri"/>
        </w:rPr>
        <w:t xml:space="preserve">3.2 Results per route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70"/>
        <w:gridCol w:w="1440"/>
        <w:gridCol w:w="1710"/>
        <w:gridCol w:w="1710"/>
        <w:gridCol w:w="1890"/>
        <w:gridCol w:w="1080"/>
      </w:tblGrid>
      <w:tr>
        <w:trPr>
          <w:tblHeader/>
        </w:trPr>
        <w:tc>
          <w:tcPr>
            <w:tcW w:type="dxa" w:w="117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Route</w:t>
            </w:r>
          </w:p>
        </w:tc>
        <w:tc>
          <w:tcPr>
            <w:tcW w:type="dxa" w:w="144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Route-internal trips (all / transit)</w:t>
            </w:r>
          </w:p>
        </w:tc>
        <w:tc>
          <w:tcPr>
            <w:tcW w:type="dxa" w:w="171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Busiest trunk link, transit, up (3 h → peak hour)</w:t>
            </w:r>
          </w:p>
        </w:tc>
        <w:tc>
          <w:tcPr>
            <w:tcW w:type="dxa" w:w="171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Busiest trunk link, transit, down</w:t>
            </w:r>
          </w:p>
        </w:tc>
        <w:tc>
          <w:tcPr>
            <w:tcW w:type="dxa" w:w="189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Busiest branch link, all layers, down (3 h → peak hour)</w:t>
            </w:r>
          </w:p>
        </w:tc>
        <w:tc>
          <w:tcPr>
            <w:tcW w:type="dxa" w:w="108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Transit share on the branch, down</w:t>
            </w:r>
          </w:p>
        </w:tc>
      </w:tr>
      <w:tr>
        <w:tc>
          <w:tcPr>
            <w:tcW w:type="dxa" w:w="117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T1 Nazareth</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123,906 / 12,546</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Ein Hayam – Bat Galim 1,379 → 814</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Matam – Hof Carmel 1,489 → 879</w:t>
            </w:r>
          </w:p>
        </w:tc>
        <w:tc>
          <w:tcPr>
            <w:tcW w:type="dxa" w:w="189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Tsomet Kiryat Ata – Kiryat Ata North 5,809 → 3,372</w:t>
            </w:r>
          </w:p>
        </w:tc>
        <w:tc>
          <w:tcPr>
            <w:tcW w:type="dxa" w:w="10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20–23 %</w:t>
            </w:r>
          </w:p>
        </w:tc>
      </w:tr>
      <w:tr>
        <w:tc>
          <w:tcPr>
            <w:tcW w:type="dxa" w:w="117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T2 Krayot</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73,964 / 7,711</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Ein Hayam – Bat Galim 1,391 → 821</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Matam – Hof Carmel 1,629 → 961</w:t>
            </w:r>
          </w:p>
        </w:tc>
        <w:tc>
          <w:tcPr>
            <w:tcW w:type="dxa" w:w="189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Haim – Kiryat Bialik Center 10,144 → 5,812</w:t>
            </w:r>
          </w:p>
        </w:tc>
        <w:tc>
          <w:tcPr>
            <w:tcW w:type="dxa" w:w="10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8–14 %</w:t>
            </w:r>
          </w:p>
        </w:tc>
      </w:tr>
      <w:tr>
        <w:tc>
          <w:tcPr>
            <w:tcW w:type="dxa" w:w="117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T3 Kiryat Yam</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55,519 / 7,054</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Ein Hayam – Bat Galim 1,437 → 848</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Matam – Hof Carmel 1,410 → 833</w:t>
            </w:r>
          </w:p>
        </w:tc>
        <w:tc>
          <w:tcPr>
            <w:tcW w:type="dxa" w:w="189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Tsomet Kiryat Ata – Kiryat Haim West 4,896 → 2,817</w:t>
            </w:r>
          </w:p>
        </w:tc>
        <w:tc>
          <w:tcPr>
            <w:tcW w:type="dxa" w:w="10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15–19 %</w:t>
            </w:r>
          </w:p>
        </w:tc>
      </w:tr>
      <w:tr>
        <w:tc>
          <w:tcPr>
            <w:tcW w:type="dxa" w:w="117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Tree network</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184,106 / 18,839</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Ein Hayam – Bat Galim 1,518 → 896</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Bazan-Hutsot – Tsomet Kiryat Ata 2,898 → 1,710</w:t>
            </w:r>
          </w:p>
        </w:tc>
        <w:tc>
          <w:tcPr>
            <w:tcW w:type="dxa" w:w="189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Haim – Kiryat Bialik Center 13,592 → 7,272</w:t>
            </w:r>
          </w:p>
        </w:tc>
        <w:tc>
          <w:tcPr>
            <w:tcW w:type="dxa" w:w="10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r>
    </w:tbl>
    <w:p>
      <w:pPr>
        <w:spacing w:after="120"/>
      </w:pPr>
    </w:p>
    <w:p>
      <w:pPr>
        <w:spacing w:after="120" w:before="0"/>
      </w:pPr>
      <w:r>
        <w:rPr>
          <w:sz w:val="22"/>
          <w:szCs w:val="22"/>
          <w:rFonts w:ascii="Calibri" w:cs="Calibri" w:eastAsia="Calibri" w:hAnsi="Calibri"/>
        </w:rPr>
        <w:t xml:space="preserve">Three things stand out. First, the Haifa segment is the same on every route: the same busiest links, values within a few per cent of each other and of the earlier 18-area profile (1,661 / 1,650 there against 1,379–1,437 / 1,410–1,629 here, the difference being the reaggregation — Bat Galim and Kiryat Eliezer are one area now, so are Matam and Neot Peres). Second, the branches differ in kind. The Nazareth branch is one-directional in the morning and carries the highest transit shares in the whole set; the Krayot branch carries more people than any trunk link but almost all of them in cars; the Kiryat Yam branch sits between. Third, down dominates every link east of Bat Galim in the morning and up dominates only Tirat Carmel – Ein Hayam, where Tirat Carmel’s residents head into the city.</w:t>
      </w:r>
    </w:p>
    <w:p>
      <w:pPr>
        <w:spacing w:before="120" w:after="60"/>
        <w:jc w:val="center"/>
      </w:pPr>
      <w:r>
        <w:drawing>
          <wp:inline distT="0" distB="0" distL="0" distR="0">
            <wp:extent cx="581025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810250" cy="55054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1. Potential movements along the three routes (three-hour totals filled, peak hour dashed, tree network dotted; branch shaded). All layers on the left, transit on the right.</w:t>
      </w:r>
    </w:p>
    <w:p>
      <w:pPr>
        <w:pStyle w:val="Heading2"/>
        <w:spacing w:before="280" w:after="120"/>
      </w:pPr>
      <w:r>
        <w:rPr>
          <w:rFonts w:ascii="Calibri" w:cs="Calibri" w:eastAsia="Calibri" w:hAnsi="Calibri"/>
        </w:rPr>
        <w:t xml:space="preserve">3.3 The peak hour on the V2 routes</w:t>
      </w:r>
    </w:p>
    <w:p>
      <w:pPr>
        <w:spacing w:after="120" w:before="0"/>
      </w:pPr>
      <w:r>
        <w:rPr>
          <w:sz w:val="22"/>
          <w:szCs w:val="22"/>
          <w:rFonts w:ascii="Calibri" w:cs="Calibri" w:eastAsia="Calibri" w:hAnsi="Calibri"/>
        </w:rPr>
        <w:t xml:space="preserve">The earlier peak-hour factors were estimated on the trips between the 18 areas of the old line. They were re-estimated on the V2 route sequences from the survey’s minute-level departure times, per route, direction and layer, with the same rules as before: a factor is applied per direction where at least 100 sampled trips support it, otherwise the layer’s study-area factor; 200 household resamples give the range.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41"/>
        <w:gridCol w:w="1739"/>
        <w:gridCol w:w="1739"/>
        <w:gridCol w:w="1636"/>
        <w:gridCol w:w="1023"/>
        <w:gridCol w:w="1023"/>
      </w:tblGrid>
      <w:tr>
        <w:trPr>
          <w:tblHeader/>
        </w:trPr>
        <w:tc>
          <w:tcPr>
            <w:tcW w:type="dxa" w:w="1841"/>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Scope</w:t>
            </w:r>
          </w:p>
        </w:tc>
        <w:tc>
          <w:tcPr>
            <w:tcW w:type="dxa" w:w="1739"/>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Car, up</w:t>
            </w:r>
          </w:p>
        </w:tc>
        <w:tc>
          <w:tcPr>
            <w:tcW w:type="dxa" w:w="1739"/>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Car, down</w:t>
            </w:r>
          </w:p>
        </w:tc>
        <w:tc>
          <w:tcPr>
            <w:tcW w:type="dxa" w:w="1636"/>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Sampled car trips (up / down)</w:t>
            </w:r>
          </w:p>
        </w:tc>
        <w:tc>
          <w:tcPr>
            <w:tcW w:type="dxa" w:w="1023"/>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Bus</w:t>
            </w:r>
          </w:p>
        </w:tc>
        <w:tc>
          <w:tcPr>
            <w:tcW w:type="dxa" w:w="1023"/>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Taxi-type</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T1 Nazareth</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0.626 (07:15–08:15)</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0.578 (07:00–08:00)</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203 / 240</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T2 Krayot</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0.619 (07:15–08:15)</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0.569 (07:15–08:15)</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332 / 447</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T3 Kiryat Yam</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0.652 (07:15–08:15)</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0.569 (07:00–08:00)</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241 / 299</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Tree network</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0.556 (07:15–08:15)</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0.522 (07:00–08:00)</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777 / 1,001</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Earlier 18-area line</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0.661</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0.626</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194 / 236</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bl>
    <w:p>
      <w:pPr>
        <w:spacing w:after="200"/>
      </w:pPr>
      <w:r>
        <w:rPr>
          <w:i/>
          <w:iCs/>
          <w:color w:val="52514E"/>
          <w:sz w:val="18"/>
          <w:szCs w:val="18"/>
          <w:rFonts w:ascii="Calibri" w:cs="Calibri" w:eastAsia="Calibri" w:hAnsi="Calibri"/>
        </w:rPr>
        <w:t xml:space="preserve">* study-area factor: no route-direction bus sample exceeds 58 trips (96 on the network), no taxi-type sample 48; the route values scatter around the study-area ones within their ranges. Peak hour in brackets; factors are the share of the three hours in the busiest 60 minutes (an average hour is 0.333).</w:t>
      </w:r>
    </w:p>
    <w:p>
      <w:pPr>
        <w:spacing w:before="120" w:after="60"/>
        <w:jc w:val="center"/>
      </w:pPr>
      <w:r>
        <w:drawing>
          <wp:inline distT="0" distB="0" distL="0" distR="0">
            <wp:extent cx="581025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4955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2. Departure-time profiles of the trips between V2 areas, weighted by links crossed, per route and on the tree network; the applied factor is the solid line where the route sample supports it, the dashed study-area profile otherwise.</w:t>
      </w:r>
    </w:p>
    <w:p>
      <w:pPr>
        <w:spacing w:after="120" w:before="0"/>
      </w:pPr>
      <w:r>
        <w:rPr>
          <w:sz w:val="22"/>
          <w:szCs w:val="22"/>
          <w:rFonts w:ascii="Calibri" w:cs="Calibri" w:eastAsia="Calibri" w:hAnsi="Calibri"/>
        </w:rPr>
        <w:t xml:space="preserve">The up factors are within a few per cent of the earlier ones. The down factors are 8–9 % lower per route and 16–17 % lower on the network: trips into Haifa from Nazareth and the Krayot start earlier and spread over 06:00–08:00, so the pooled Haifa-bound profile is flatter than any single route’s. The peak-hour values in this report use the new factors; against the first pass that used the old ones, peak-hour car and total values are 5–17 % lower (the network trunk link 8,792 instead of 9,956).</w:t>
      </w:r>
    </w:p>
    <w:p>
      <w:pPr>
        <w:pStyle w:val="Heading2"/>
        <w:spacing w:before="280" w:after="120"/>
      </w:pPr>
      <w:r>
        <w:rPr>
          <w:rFonts w:ascii="Calibri" w:cs="Calibri" w:eastAsia="Calibri" w:hAnsi="Calibri"/>
        </w:rPr>
        <w:t xml:space="preserve">3.4 The calibrated survey against the ticketing data, route by route</w:t>
      </w:r>
    </w:p>
    <w:p>
      <w:pPr>
        <w:spacing w:after="120" w:before="0"/>
      </w:pPr>
      <w:r>
        <w:rPr>
          <w:sz w:val="22"/>
          <w:szCs w:val="22"/>
          <w:rFonts w:ascii="Calibri" w:cs="Calibri" w:eastAsia="Calibri" w:hAnsi="Calibri"/>
        </w:rPr>
        <w:t xml:space="preserve">The earlier comparison of the two transit frames — the calibrated survey (residents from their doorstep) and the ticketing data (every rider from the boarding stop) — was repeated on the V2 routes from the TAZ-level products, so that no earlier aggregation is involved. In the 25 areas the survey set holds 18,839 transit trips and the ticketing set 16,363, yet the survey sits below the ticketing profile on almost every link: its transit is more local, in short pairs that cross few links; the ticketing’s is more corridor-long.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50"/>
        <w:gridCol w:w="1530"/>
        <w:gridCol w:w="1260"/>
        <w:gridCol w:w="1260"/>
        <w:gridCol w:w="1260"/>
        <w:gridCol w:w="2340"/>
      </w:tblGrid>
      <w:tr>
        <w:trPr>
          <w:tblHeader/>
        </w:trPr>
        <w:tc>
          <w:tcPr>
            <w:tcW w:type="dxa" w:w="135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Scope</w:t>
            </w:r>
          </w:p>
        </w:tc>
        <w:tc>
          <w:tcPr>
            <w:tcW w:type="dxa" w:w="153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Haifa segment, up (survey ÷ ticketing)</w:t>
            </w:r>
          </w:p>
        </w:tc>
        <w:tc>
          <w:tcPr>
            <w:tcW w:type="dxa" w:w="12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Haifa segment, down</w:t>
            </w:r>
          </w:p>
        </w:tc>
        <w:tc>
          <w:tcPr>
            <w:tcW w:type="dxa" w:w="12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Beyond Hamifrats, up</w:t>
            </w:r>
          </w:p>
        </w:tc>
        <w:tc>
          <w:tcPr>
            <w:tcW w:type="dxa" w:w="12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Beyond Hamifrats, down</w:t>
            </w:r>
          </w:p>
        </w:tc>
        <w:tc>
          <w:tcPr>
            <w:tcW w:type="dxa" w:w="234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Ticketing peak link, down (3 h)</w:t>
            </w:r>
          </w:p>
        </w:tc>
      </w:tr>
      <w:tr>
        <w:tc>
          <w:tcPr>
            <w:tcW w:type="dxa" w:w="135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T1 Nazareth</w:t>
            </w:r>
          </w:p>
        </w:tc>
        <w:tc>
          <w:tcPr>
            <w:tcW w:type="dxa" w:w="153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0.83</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0.66</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1.08</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0.43</w:t>
            </w:r>
          </w:p>
        </w:tc>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Lower City – Namal-Giborim 2,903</w:t>
            </w:r>
          </w:p>
        </w:tc>
      </w:tr>
      <w:tr>
        <w:tc>
          <w:tcPr>
            <w:tcW w:type="dxa" w:w="135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T2 Krayot</w:t>
            </w:r>
          </w:p>
        </w:tc>
        <w:tc>
          <w:tcPr>
            <w:tcW w:type="dxa" w:w="153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0.78</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0.92</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0.79</w:t>
            </w:r>
          </w:p>
        </w:tc>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Lower City – Namal-Giborim 2,073</w:t>
            </w:r>
          </w:p>
        </w:tc>
      </w:tr>
      <w:tr>
        <w:tc>
          <w:tcPr>
            <w:tcW w:type="dxa" w:w="135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T3 Kiryat Yam</w:t>
            </w:r>
          </w:p>
        </w:tc>
        <w:tc>
          <w:tcPr>
            <w:tcW w:type="dxa" w:w="153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0.82</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0.73</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0.57</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0.79</w:t>
            </w:r>
          </w:p>
        </w:tc>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Lower City – Namal-Giborim 1,920</w:t>
            </w:r>
          </w:p>
        </w:tc>
      </w:tr>
      <w:tr>
        <w:tc>
          <w:tcPr>
            <w:tcW w:type="dxa" w:w="135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Tree network</w:t>
            </w:r>
          </w:p>
        </w:tc>
        <w:tc>
          <w:tcPr>
            <w:tcW w:type="dxa" w:w="153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0.82</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0.63</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0.74</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0.65</w:t>
            </w:r>
          </w:p>
        </w:tc>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Bazan-Hutsot – Tsomet Kiryat Ata 4,476 (survey 2,898)</w:t>
            </w:r>
          </w:p>
        </w:tc>
      </w:tr>
    </w:tbl>
    <w:p>
      <w:pPr>
        <w:spacing w:after="120"/>
      </w:pPr>
    </w:p>
    <w:p>
      <w:pPr>
        <w:spacing w:after="120" w:before="0"/>
      </w:pPr>
      <w:r>
        <w:rPr>
          <w:sz w:val="22"/>
          <w:szCs w:val="22"/>
          <w:rFonts w:ascii="Calibri" w:cs="Calibri" w:eastAsia="Calibri" w:hAnsi="Calibri"/>
        </w:rPr>
        <w:t xml:space="preserve">Away from Tirat Carmel the two frames agree as they did before, with the same peak link. Towards Tirat Carmel the disagreement is route-specific: the Krayot route nearly matches, the Nazareth route does not. The pairs that drive the gap are the ones found before, now named on the V2 areas: Nazareth as origin (1,070 survey against 2,402 ticketed corridor-bound trips), above all Nazareth to Bat Galim-Kiryat Eliezer (87 against 521), to Hecht-Shprintzak (22 against 271) and to Lower City (132 against 431); then Kiryat Yam B+C, Tsur Shalom and the Hamifrats hub as origins. By destination the ticketing set lands far more at Bat Galim-Kiryat Eliezer, Lower City and Hecht-Shprintzak — trunk-route alighting stops — while the survey places its trips by employment share. The survey is the higher of the two from Kiryat Bialik Center, Ein Hayam and Hecht-Shprintzak, and to Kiryat Ata North and Kiryat Yam B+C.</w:t>
      </w:r>
    </w:p>
    <w:p>
      <w:pPr>
        <w:spacing w:after="120" w:before="0"/>
      </w:pPr>
      <w:r>
        <w:rPr>
          <w:sz w:val="22"/>
          <w:szCs w:val="22"/>
          <w:rFonts w:ascii="Calibri" w:cs="Calibri" w:eastAsia="Calibri" w:hAnsi="Calibri"/>
        </w:rPr>
        <w:t xml:space="preserve">The reading is unchanged: the gap is about where Nazareth’s trips are allocated inside Haifa and about the alighting frame, not about ticketing coverage. For any market figure on the Nazareth branch, both frames should be carried as a range until that allocation is settled.</w:t>
      </w:r>
    </w:p>
    <w:p>
      <w:pPr>
        <w:spacing w:before="120" w:after="60"/>
        <w:jc w:val="center"/>
      </w:pPr>
      <w:r>
        <w:drawing>
          <wp:inline distT="0" distB="0" distL="0" distR="0">
            <wp:extent cx="5334000" cy="634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63436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3. Bus and transit potential movements on the V2 routes and the tree network: calibrated survey (blue) against ticketing (orange), with the calibration’s intermediate steps (grey dotted, purple dashed) and taxi-type (green dotted).</w:t>
      </w:r>
    </w:p>
    <w:p>
      <w:pPr>
        <w:pStyle w:val="Heading2"/>
        <w:spacing w:before="280" w:after="120"/>
      </w:pPr>
      <w:r>
        <w:rPr>
          <w:rFonts w:ascii="Calibri" w:cs="Calibri" w:eastAsia="Calibri" w:hAnsi="Calibri"/>
        </w:rPr>
        <w:t xml:space="preserve">3.5 Car versus transit at the V2 areas</w:t>
      </w:r>
    </w:p>
    <w:p>
      <w:pPr>
        <w:spacing w:after="120" w:before="0"/>
      </w:pPr>
      <w:r>
        <w:rPr>
          <w:sz w:val="22"/>
          <w:szCs w:val="22"/>
          <w:rFonts w:ascii="Calibri" w:cs="Calibri" w:eastAsia="Calibri" w:hAnsi="Calibri"/>
        </w:rPr>
        <w:t xml:space="preserve">The test of whether car and transit trips share the same destination structure — the reason the base keeps a transit-specific destination pattern rather than a scaled car matrix — was repeated with the V2 areas as the geography. With the 14 areas that have at least ten sampled transit trips as origins, the car-versus-transit overlap is 0.55 against transit’s own day-to-day repeatability of 0.76; with the seven best-sampled origins it is 0.76 against 0.80. Which side of the noise floor it lands on depends on which handful of origins is in, which is what sample-limited means. The level adds no conclusion; the superzone and TAZ-by-superzone evidence stands. The same pull towards Haifa shows per origin: Kiryon sends 35 % of its transit trips to the Haifa trunk areas against 6 % of its car trips, Kiryat Bialik Center 30 % against 6 %, Kiryat Yam B+C 31 % against 8 %. Nazareth (83 sampled transit trips) is 90 % self-contained in transit and 96 % in car — its corridor-bound transit is a thin slice of a large local market.</w:t>
      </w:r>
    </w:p>
    <w:p>
      <w:pPr>
        <w:pStyle w:val="Heading1"/>
        <w:spacing w:before="360" w:after="160"/>
      </w:pPr>
      <w:r>
        <w:rPr>
          <w:rFonts w:ascii="Calibri" w:cs="Calibri" w:eastAsia="Calibri" w:hAnsi="Calibri"/>
        </w:rPr>
        <w:t xml:space="preserve">4. Part B — the LRT line and its station-to-station times</w:t>
      </w:r>
    </w:p>
    <w:p>
      <w:pPr>
        <w:pStyle w:val="Heading2"/>
        <w:spacing w:before="280" w:after="120"/>
      </w:pPr>
      <w:r>
        <w:rPr>
          <w:rFonts w:ascii="Calibri" w:cs="Calibri" w:eastAsia="Calibri" w:hAnsi="Calibri"/>
        </w:rPr>
        <w:t xml:space="preserve">4.1 The geometry</w:t>
      </w:r>
    </w:p>
    <w:p>
      <w:pPr>
        <w:spacing w:after="120" w:before="0"/>
      </w:pPr>
      <w:r>
        <w:rPr>
          <w:sz w:val="22"/>
          <w:szCs w:val="22"/>
          <w:rFonts w:ascii="Calibri" w:cs="Calibri" w:eastAsia="Calibri" w:hAnsi="Calibri"/>
        </w:rPr>
        <w:t xml:space="preserve">The supplied alignment is one 18.94 km line from Hamifrats to Tirat Carmel. Its 46 platform points all lie within 80 m of the line and pair up into 24 stations (22 platform pairs and two single points at the Hamifrats end), S01 at the Tirat Carmel end to S24 at Hamifrats, 18.74 km apart. Spacing runs from 354 m to 1,396 m, 815 m on average — 1.6 times the 500 m at which the travel-time function was calibrated. Every station was located in its TAZ and V2 area; station S13, between Ein Hayam and Bat Galim, falls in TAZ 1509, which the V2 file does not list. The line serves the ten trunk areas from Tirat Carmel to Hamifrats and nothing beyond: Bazan-Hutsot, Tsomet Kiryat Ata and all three branches have no station on this geometry.</w:t>
      </w:r>
    </w:p>
    <w:p>
      <w:pPr>
        <w:pStyle w:val="Heading2"/>
        <w:spacing w:before="280" w:after="120"/>
      </w:pPr>
      <w:r>
        <w:rPr>
          <w:rFonts w:ascii="Calibri" w:cs="Calibri" w:eastAsia="Calibri" w:hAnsi="Calibri"/>
        </w:rPr>
        <w:t xml:space="preserve">4.2 The calibrated function and the two scenarios</w:t>
      </w:r>
    </w:p>
    <w:p>
      <w:pPr>
        <w:spacing w:after="120" w:before="0"/>
      </w:pPr>
      <w:r>
        <w:rPr>
          <w:sz w:val="22"/>
          <w:szCs w:val="22"/>
          <w:rFonts w:ascii="Calibri" w:cs="Calibri" w:eastAsia="Calibri" w:hAnsi="Calibri"/>
        </w:rPr>
        <w:t xml:space="preserve">The function is T = 1.961 × (underground sections) + 2.393 × (other sections), in minutes per 500 m section, dwell included; a section counts as underground only when both its stations are. The two scenarios asked for are therefore the two pure regimes: every section underground, or every section at ground level. Because the spacing here is not 500 m, the function was applied in two readings and both are published:</w:t>
      </w:r>
    </w:p>
    <w:p>
      <w:pPr>
        <w:pStyle w:val="ListParagraph"/>
        <w:numPr>
          <w:ilvl w:val="0"/>
          <w:numId w:val="2"/>
        </w:numPr>
        <w:spacing w:after="80"/>
      </w:pPr>
      <w:r>
        <w:rPr>
          <w:b/>
          <w:bCs/>
          <w:sz w:val="22"/>
          <w:szCs w:val="22"/>
          <w:rFonts w:ascii="Calibri" w:cs="Calibri" w:eastAsia="Calibri" w:hAnsi="Calibri"/>
        </w:rPr>
        <w:t xml:space="preserve">Distance form </w:t>
      </w:r>
      <w:r>
        <w:rPr>
          <w:sz w:val="22"/>
          <w:szCs w:val="22"/>
          <w:rFonts w:ascii="Calibri" w:cs="Calibri" w:eastAsia="Calibri" w:hAnsi="Calibri"/>
        </w:rPr>
        <w:t xml:space="preserve">(the report’s own “equivalent distance form”): 3.92 min per kilometre underground, 4.79 at ground level — 15.3 and 12.5 km/h. Time grows with distance, so dwell is charged 1.6 times per kilometre. The slow end.</w:t>
      </w:r>
    </w:p>
    <w:p>
      <w:pPr>
        <w:pStyle w:val="ListParagraph"/>
        <w:numPr>
          <w:ilvl w:val="0"/>
          <w:numId w:val="2"/>
        </w:numPr>
        <w:spacing w:after="80"/>
      </w:pPr>
      <w:r>
        <w:rPr>
          <w:b/>
          <w:bCs/>
          <w:sz w:val="22"/>
          <w:szCs w:val="22"/>
          <w:rFonts w:ascii="Calibri" w:cs="Calibri" w:eastAsia="Calibri" w:hAnsi="Calibri"/>
        </w:rPr>
        <w:t xml:space="preserve">Section form: </w:t>
      </w:r>
      <w:r>
        <w:rPr>
          <w:sz w:val="22"/>
          <w:szCs w:val="22"/>
          <w:rFonts w:ascii="Calibri" w:cs="Calibri" w:eastAsia="Calibri" w:hAnsi="Calibri"/>
        </w:rPr>
        <w:t xml:space="preserve">one calibrated section per inter-station link whatever its length — 24.9 and 20.4 km/h on this line. One dwell per stop but no extra running time for the longer sections. The fast end.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40"/>
        <w:gridCol w:w="2700"/>
        <w:gridCol w:w="1800"/>
        <w:gridCol w:w="2160"/>
      </w:tblGrid>
      <w:tr>
        <w:trPr>
          <w:tblHeader/>
        </w:trPr>
        <w:tc>
          <w:tcPr>
            <w:tcW w:type="dxa" w:w="234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Scenario</w:t>
            </w:r>
          </w:p>
        </w:tc>
        <w:tc>
          <w:tcPr>
            <w:tcW w:type="dxa" w:w="270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End to end S01 → S24 (18.74 km, 23 sections), distance form</w:t>
            </w:r>
          </w:p>
        </w:tc>
        <w:tc>
          <w:tcPr>
            <w:tcW w:type="dxa" w:w="180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Section form</w:t>
            </w:r>
          </w:p>
        </w:tc>
        <w:tc>
          <w:tcPr>
            <w:tcW w:type="dxa" w:w="21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Saving from going underground</w:t>
            </w:r>
          </w:p>
        </w:tc>
      </w:tr>
      <w:tr>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All stations underground</w:t>
            </w:r>
          </w:p>
        </w:tc>
        <w:tc>
          <w:tcPr>
            <w:tcW w:type="dxa" w:w="27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73.5 min (15.3 km/h)</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45.1 min (24.9 km/h)</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w:t>
            </w:r>
          </w:p>
        </w:tc>
      </w:tr>
      <w:tr>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All stations at ground level</w:t>
            </w:r>
          </w:p>
        </w:tc>
        <w:tc>
          <w:tcPr>
            <w:tcW w:type="dxa" w:w="27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89.7 min (12.5 km/h)</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55.0 min (20.4 km/h)</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w:t>
            </w:r>
          </w:p>
        </w:tc>
      </w:tr>
      <w:tr>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Underground against ground</w:t>
            </w:r>
          </w:p>
        </w:tc>
        <w:tc>
          <w:tcPr>
            <w:tcW w:type="dxa" w:w="27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−16.2 min</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−9.9 min</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18.1 % on every station pair, in either form</w:t>
            </w:r>
          </w:p>
        </w:tc>
      </w:tr>
    </w:tbl>
    <w:p>
      <w:pPr>
        <w:spacing w:after="120"/>
      </w:pPr>
    </w:p>
    <w:p>
      <w:pPr>
        <w:spacing w:after="120" w:before="0"/>
      </w:pPr>
      <w:r>
        <w:rPr>
          <w:sz w:val="22"/>
          <w:szCs w:val="22"/>
          <w:rFonts w:ascii="Calibri" w:cs="Calibri" w:eastAsia="Calibri" w:hAnsi="Calibri"/>
        </w:rPr>
        <w:t xml:space="preserve">The truth for this line sits between the two forms, nearer the section form on the long Carmel-coast sections and nearer the distance form in the dense city-centre stretch. The calibration report’s own recommended refinement — estimating running time and dwell separately with actual inter-stop distances — would replace the pair with one number; until then the pair brackets the answer. For comparison, the earlier capture-model plan assumed 22–26 km/h, which sits at the section-form end.</w:t>
      </w:r>
    </w:p>
    <w:p>
      <w:pPr>
        <w:spacing w:before="120" w:after="60"/>
        <w:jc w:val="center"/>
      </w:pPr>
      <w:r>
        <w:drawing>
          <wp:inline distT="0" distB="0" distL="0" distR="0">
            <wp:extent cx="58102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24574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4. Cumulative in-vehicle time from S01 under the two scenarios and the two forms (left); the stations on the alignment (right; the orange station is the one whose TAZ is missing from the V2 file).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2160"/>
        <w:gridCol w:w="2070"/>
        <w:gridCol w:w="2070"/>
      </w:tblGrid>
      <w:tr>
        <w:trPr>
          <w:tblHeader/>
        </w:trPr>
        <w:tc>
          <w:tcPr>
            <w:tcW w:type="dxa" w:w="90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Station</w:t>
            </w:r>
          </w:p>
        </w:tc>
        <w:tc>
          <w:tcPr>
            <w:tcW w:type="dxa" w:w="180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Chainage from Tirat Carmel end</w:t>
            </w:r>
          </w:p>
        </w:tc>
        <w:tc>
          <w:tcPr>
            <w:tcW w:type="dxa" w:w="21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Area</w:t>
            </w:r>
          </w:p>
        </w:tc>
        <w:tc>
          <w:tcPr>
            <w:tcW w:type="dxa" w:w="207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Cumulative min, underground (distance / section form)</w:t>
            </w:r>
          </w:p>
        </w:tc>
        <w:tc>
          <w:tcPr>
            <w:tcW w:type="dxa" w:w="207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Cumulative min, ground (distance / section form)</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S01</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0.16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Tirat Carmel</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0.0 / 0.0</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0.0 / 0.0</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S04</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3.22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Tirat Carmel</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12.0 / 5.9</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14.6 / 7.2</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S06</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5.10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Matam-Neot Peres</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19.4 / 9.8</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23.6 / 12.0</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S09</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7.40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Hof Carmel-Neve David</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28.4 / 15.7</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34.6 / 19.1</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S12</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9.77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Ein Hayam</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37.7 / 21.6</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46.0 / 26.3</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S15</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12.32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Bat Galim-Kiryat Eliezer</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47.7 / 27.4</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58.2 / 33.5</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S17</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13.43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Hamoshava</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52.0 / 31.4</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63.5 / 38.3</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S19</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14.39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Lower City</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55.8 / 35.3</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68.0 / 43.1</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S21</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16.31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Namal-Giborim</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63.3 / 39.2</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77.3 / 47.8</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S24</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18.91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Hamifrats</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73.5 / 45.1</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89.7 / 55.0</w:t>
            </w:r>
          </w:p>
        </w:tc>
      </w:tr>
    </w:tbl>
    <w:p>
      <w:pPr>
        <w:spacing w:after="200"/>
      </w:pPr>
      <w:r>
        <w:rPr>
          <w:i/>
          <w:iCs/>
          <w:color w:val="52514E"/>
          <w:sz w:val="18"/>
          <w:szCs w:val="18"/>
          <w:rFonts w:ascii="Calibri" w:cs="Calibri" w:eastAsia="Calibri" w:hAnsi="Calibri"/>
        </w:rPr>
        <w:t xml:space="preserve">The stations listed are the representative station of each served area (nearest its population- and employment-weighted centroid) plus S01; the full 24-station table is Output/lrt_v2/lrt_line_profile.csv.</w:t>
      </w:r>
    </w:p>
    <w:p>
      <w:pPr>
        <w:pStyle w:val="Heading1"/>
        <w:spacing w:before="360" w:after="160"/>
      </w:pPr>
      <w:r>
        <w:rPr>
          <w:rFonts w:ascii="Calibri" w:cs="Calibri" w:eastAsia="Calibri" w:hAnsi="Calibri"/>
        </w:rPr>
        <w:t xml:space="preserve">5. Part C — the generalized-cost inputs: what exists, what is missing</w:t>
      </w:r>
    </w:p>
    <w:p>
      <w:pPr>
        <w:pStyle w:val="Heading2"/>
        <w:spacing w:before="280" w:after="120"/>
      </w:pPr>
      <w:r>
        <w:rPr>
          <w:rFonts w:ascii="Calibri" w:cs="Calibri" w:eastAsia="Calibri" w:hAnsi="Calibri"/>
        </w:rPr>
        <w:t xml:space="preserve">5.1 The formula and the inventory</w:t>
      </w:r>
    </w:p>
    <w:p>
      <w:pPr>
        <w:spacing w:after="120" w:before="0"/>
      </w:pPr>
      <w:r>
        <w:rPr>
          <w:sz w:val="22"/>
          <w:szCs w:val="22"/>
          <w:rFonts w:ascii="Calibri" w:cs="Calibri" w:eastAsia="Calibri" w:hAnsi="Calibri"/>
        </w:rPr>
        <w:t xml:space="preserve">The capture model planned for the study compares modes on generalized cost in minutes: in-vehicle time, plus twice the walking time, plus twice the waiting time, plus eight minutes per transfer, plus fares and parking converted through a value of time. Every component was inventoried for car, bus and LRT on the 25 V2 areas and given one of four statuses: measured (observed for that cell), derived (computed from data by a stated rule), assumed (a stated default to be replaced), or missing (a placeholder written so that the matrix is complete, and flagged).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30"/>
        <w:gridCol w:w="2520"/>
        <w:gridCol w:w="2520"/>
        <w:gridCol w:w="2430"/>
      </w:tblGrid>
      <w:tr>
        <w:trPr>
          <w:tblHeader/>
        </w:trPr>
        <w:tc>
          <w:tcPr>
            <w:tcW w:type="dxa" w:w="153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Component</w:t>
            </w:r>
          </w:p>
        </w:tc>
        <w:tc>
          <w:tcPr>
            <w:tcW w:type="dxa" w:w="252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Car</w:t>
            </w:r>
          </w:p>
        </w:tc>
        <w:tc>
          <w:tcPr>
            <w:tcW w:type="dxa" w:w="252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Bus</w:t>
            </w:r>
          </w:p>
        </w:tc>
        <w:tc>
          <w:tcPr>
            <w:tcW w:type="dxa" w:w="243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LRT</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In-vehicle time</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survey door-to-door times (2017/18) per area pair, smoothed with a time = 7.0 + 1.85 × km fit where fewer than ten trips were sampled</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lower bound: fastest path on the May 2026 bus-speed network between area centroids — no waiting, no transfer, assumes a service on that path</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on the ten trunk areas from Part B; missing for the other 15</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Walk (access + egress)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Included in the door-to-door time</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Assumed 8 min — to be replaced by GTFS stop locations</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TAZ centroid to nearest station, 3–12 min per area, weighted by residents (access) and jobs (egress)</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Wait</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Assumed: half a 10-minute headway — GTFS headways needed</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Assumed: half the planned 6-minute headway</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Transfers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Missing — GTFS path building needed</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Assumed 0 on the trunk; undefined for the branches</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Fare / operating cost</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Missing (per-km cost; the distance skim exists)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Missing (fare tables)</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Missing (fare policy)</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Parking</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Missing (the survey gives the paid-parking share by destination as a proxy)</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Value of time, weights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Missing: to be taken from נוהל פר"ת; the walk / wait / transfer weights are the plan’s defaults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r>
          </w:p>
        </w:tc>
      </w:tr>
    </w:tbl>
    <w:p>
      <w:pPr>
        <w:spacing w:after="120"/>
      </w:pPr>
    </w:p>
    <w:p>
      <w:pPr>
        <w:pStyle w:val="Heading2"/>
        <w:spacing w:before="280" w:after="120"/>
      </w:pPr>
      <w:r>
        <w:rPr>
          <w:rFonts w:ascii="Calibri" w:cs="Calibri" w:eastAsia="Calibri" w:hAnsi="Calibri"/>
        </w:rPr>
        <w:t xml:space="preserve">5.2 The first fill</w:t>
      </w:r>
    </w:p>
    <w:p>
      <w:pPr>
        <w:spacing w:after="120" w:before="0"/>
      </w:pPr>
      <w:r>
        <w:rPr>
          <w:sz w:val="22"/>
          <w:szCs w:val="22"/>
          <w:rFonts w:ascii="Calibri" w:cs="Calibri" w:eastAsia="Calibri" w:hAnsi="Calibri"/>
        </w:rPr>
        <w:t xml:space="preserve">With what exists, the trip-weighted values on the 90 pairs of trunk areas are: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60"/>
        <w:gridCol w:w="1980"/>
        <w:gridCol w:w="900"/>
        <w:gridCol w:w="810"/>
        <w:gridCol w:w="1440"/>
        <w:gridCol w:w="2610"/>
      </w:tblGrid>
      <w:tr>
        <w:trPr>
          <w:tblHeader/>
        </w:trPr>
        <w:tc>
          <w:tcPr>
            <w:tcW w:type="dxa" w:w="126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Mode</w:t>
            </w:r>
          </w:p>
        </w:tc>
        <w:tc>
          <w:tcPr>
            <w:tcW w:type="dxa" w:w="198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In-vehicle time</w:t>
            </w:r>
          </w:p>
        </w:tc>
        <w:tc>
          <w:tcPr>
            <w:tcW w:type="dxa" w:w="90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Walk</w:t>
            </w:r>
          </w:p>
        </w:tc>
        <w:tc>
          <w:tcPr>
            <w:tcW w:type="dxa" w:w="81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Wait</w:t>
            </w:r>
          </w:p>
        </w:tc>
        <w:tc>
          <w:tcPr>
            <w:tcW w:type="dxa" w:w="144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Partial generalized cost (IVT + 2·walk + 2·wait)</w:t>
            </w:r>
          </w:p>
        </w:tc>
        <w:tc>
          <w:tcPr>
            <w:tcW w:type="dxa" w:w="261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Note</w:t>
            </w:r>
          </w:p>
        </w:tc>
      </w:tr>
      <w:tr>
        <w:tc>
          <w:tcPr>
            <w:tcW w:type="dxa" w:w="12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Car</w:t>
            </w:r>
          </w:p>
        </w:tc>
        <w:tc>
          <w:tcPr>
            <w:tcW w:type="dxa" w:w="19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14.5 min (door to door)</w:t>
            </w:r>
          </w:p>
        </w:tc>
        <w:tc>
          <w:tcPr>
            <w:tcW w:type="dxa" w:w="9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14.5</w:t>
            </w:r>
          </w:p>
        </w:tc>
        <w:tc>
          <w:tcPr>
            <w:tcW w:type="dxa" w:w="26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2017/18 vintage; no 2026 congestion uplift</w:t>
            </w:r>
          </w:p>
        </w:tc>
      </w:tr>
      <w:tr>
        <w:tc>
          <w:tcPr>
            <w:tcW w:type="dxa" w:w="12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Bus</w:t>
            </w:r>
          </w:p>
        </w:tc>
        <w:tc>
          <w:tcPr>
            <w:tcW w:type="dxa" w:w="19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12.5 min (fastest bus-served path)</w:t>
            </w:r>
          </w:p>
        </w:tc>
        <w:tc>
          <w:tcPr>
            <w:tcW w:type="dxa" w:w="9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8 min *</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 min *</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38.5</w:t>
            </w:r>
          </w:p>
        </w:tc>
        <w:tc>
          <w:tcPr>
            <w:tcW w:type="dxa" w:w="26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Bus users in the survey report 27.1 min door to door on the same pairs — 2.3 times the fastest-path time</w:t>
            </w:r>
          </w:p>
        </w:tc>
      </w:tr>
      <w:tr>
        <w:tc>
          <w:tcPr>
            <w:tcW w:type="dxa" w:w="12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LRT, all underground</w:t>
            </w:r>
          </w:p>
        </w:tc>
        <w:tc>
          <w:tcPr>
            <w:tcW w:type="dxa" w:w="19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20.6 min (distance form); 13.3 (section form)</w:t>
            </w:r>
          </w:p>
        </w:tc>
        <w:tc>
          <w:tcPr>
            <w:tcW w:type="dxa" w:w="9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13.6 min</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 min</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53.8</w:t>
            </w:r>
          </w:p>
        </w:tc>
        <w:tc>
          <w:tcPr>
            <w:tcW w:type="dxa" w:w="26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Beats the partial bus cost on 9 % of the pairs</w:t>
            </w:r>
          </w:p>
        </w:tc>
      </w:tr>
      <w:tr>
        <w:tc>
          <w:tcPr>
            <w:tcW w:type="dxa" w:w="12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LRT, all ground</w:t>
            </w:r>
          </w:p>
        </w:tc>
        <w:tc>
          <w:tcPr>
            <w:tcW w:type="dxa" w:w="19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25.1 min (distance form); 16.2 (section form)</w:t>
            </w:r>
          </w:p>
        </w:tc>
        <w:tc>
          <w:tcPr>
            <w:tcW w:type="dxa" w:w="9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13.6 min</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 min</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58.4</w:t>
            </w:r>
          </w:p>
        </w:tc>
        <w:tc>
          <w:tcPr>
            <w:tcW w:type="dxa" w:w="2610"/>
            <w:tcMar>
              <w:top w:type="dxa" w:w="40"/>
              <w:left w:type="dxa" w:w="80"/>
              <w:bottom w:type="dxa" w:w="40"/>
              <w:right w:type="dxa" w:w="80"/>
            </w:tcMar>
          </w:tcPr>
          <w:p>
            <w:pPr>
              <w:spacing w:after="0"/>
            </w:pPr>
            <w:r>
              <w:rPr>
                <w:b w:val="false"/>
                <w:bCs w:val="false"/>
                <w:sz w:val="17"/>
                <w:szCs w:val="17"/>
                <w:rFonts w:ascii="Calibri" w:cs="Calibri" w:eastAsia="Calibri" w:hAnsi="Calibri"/>
              </w:rPr>
            </w:r>
          </w:p>
        </w:tc>
      </w:tr>
    </w:tbl>
    <w:p>
      <w:pPr>
        <w:spacing w:after="200"/>
      </w:pPr>
      <w:r>
        <w:rPr>
          <w:i/>
          <w:iCs/>
          <w:color w:val="52514E"/>
          <w:sz w:val="18"/>
          <w:szCs w:val="18"/>
          <w:rFonts w:ascii="Calibri" w:cs="Calibri" w:eastAsia="Calibri" w:hAnsi="Calibri"/>
        </w:rPr>
        <w:t xml:space="preserve">* placeholders. Money components enter at zero everywhere and are flagged missing.</w:t>
      </w:r>
    </w:p>
    <w:p>
      <w:pPr>
        <w:spacing w:after="120" w:before="0"/>
      </w:pPr>
      <w:r>
        <w:rPr>
          <w:sz w:val="22"/>
          <w:szCs w:val="22"/>
          <w:rFonts w:ascii="Calibri" w:cs="Calibri" w:eastAsia="Calibri" w:hAnsi="Calibri"/>
        </w:rPr>
        <w:t xml:space="preserve">The bus check is worth pausing on. The fastest-path time on the speed network is what a bus could do if one ran non-stop along the quickest streets; what bus users actually report is 2.1–2.3 times that. The difference is walking, waiting, stops and route detours, and it is the amount a GTFS-based skim with real routes and headways will have to reproduce.</w:t>
      </w:r>
    </w:p>
    <w:p>
      <w:pPr>
        <w:spacing w:before="120" w:after="60"/>
        <w:jc w:val="center"/>
      </w:pPr>
      <w:r>
        <w:drawing>
          <wp:inline distT="0" distB="0" distL="0" distR="0">
            <wp:extent cx="581025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2314575"/>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5. The first fill on the ten trunk areas: car door-to-door time, bus fastest-path time and the LRT partial generalized cost (all underground), in minutes.</w:t>
      </w:r>
    </w:p>
    <w:p>
      <w:pPr>
        <w:pStyle w:val="Heading2"/>
        <w:spacing w:before="280" w:after="120"/>
      </w:pPr>
      <w:r>
        <w:rPr>
          <w:rFonts w:ascii="Calibri" w:cs="Calibri" w:eastAsia="Calibri" w:hAnsi="Calibri"/>
        </w:rPr>
        <w:t xml:space="preserve">5.3 What decides the answer</w:t>
      </w:r>
    </w:p>
    <w:p>
      <w:pPr>
        <w:spacing w:after="120" w:before="0"/>
      </w:pPr>
      <w:r>
        <w:rPr>
          <w:sz w:val="22"/>
          <w:szCs w:val="22"/>
          <w:rFonts w:ascii="Calibri" w:cs="Calibri" w:eastAsia="Calibri" w:hAnsi="Calibri"/>
        </w:rPr>
        <w:t xml:space="preserve">It would be natural to expect the missing money components to be the problem. They are not the decisive one. At any plausible value of time, fares and parking move the comparison between modes by a few generalized minutes. The LRT speed on this station spacing moves it by seven to nine minutes of in-vehicle time — a 39 % swing — which is the difference between an LRT that is slower door to door than today’s bus (distance form: about 37 min against 27) and one that is level with it (section form: about 30 min). The first input to obtain is therefore a running-time / dwell decomposition of the calibrated coefficients, or a regime assignment per section; the second is the alignment and stations of the segment beyond Hamifrats and of the three branches, without which 15 of the 25 areas have no LRT time at all. GTFS-based bus level of service and the money components follow.</w:t>
      </w:r>
    </w:p>
    <w:p>
      <w:pPr>
        <w:pStyle w:val="Heading1"/>
        <w:spacing w:before="360" w:after="160"/>
      </w:pPr>
      <w:r>
        <w:rPr>
          <w:rFonts w:ascii="Calibri" w:cs="Calibri" w:eastAsia="Calibri" w:hAnsi="Calibri"/>
        </w:rPr>
        <w:t xml:space="preserve">6. Part D — what each matrix can be used for</w:t>
      </w:r>
    </w:p>
    <w:p>
      <w:pPr>
        <w:spacing w:after="120" w:before="0"/>
      </w:pPr>
      <w:r>
        <w:rPr>
          <w:sz w:val="22"/>
          <w:szCs w:val="22"/>
          <w:rFonts w:ascii="Calibri" w:cs="Calibri" w:eastAsia="Calibri" w:hAnsi="Calibri"/>
        </w:rPr>
        <w:t xml:space="preserve">Every product in the repository is fit for some questions and not for others. The table states, for each, what it is, what it can be used for and what it must not be used for. The general rule that applies to all of them: they support relative questions — ranking routes, segments and branches, sizing the market between line areas, locating demand, and scaling to a design hour — and they do not support passenger loads, capacity or frequency decisions, ridership forecasts or appraisal.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84"/>
        <w:gridCol w:w="2274"/>
        <w:gridCol w:w="2368"/>
        <w:gridCol w:w="2274"/>
      </w:tblGrid>
      <w:tr>
        <w:trPr>
          <w:tblHeader/>
        </w:trPr>
        <w:tc>
          <w:tcPr>
            <w:tcW w:type="dxa" w:w="2084"/>
            <w:shd w:fill="E7EEF7" w:color="auto" w:val="clear"/>
            <w:tcMar>
              <w:top w:type="dxa" w:w="40"/>
              <w:left w:type="dxa" w:w="80"/>
              <w:bottom w:type="dxa" w:w="40"/>
              <w:right w:type="dxa" w:w="80"/>
            </w:tcMar>
          </w:tcPr>
          <w:p>
            <w:pPr>
              <w:spacing w:after="0"/>
            </w:pPr>
            <w:r>
              <w:rPr>
                <w:b/>
                <w:bCs/>
                <w:sz w:val="16"/>
                <w:szCs w:val="16"/>
                <w:rFonts w:ascii="Calibri" w:cs="Calibri" w:eastAsia="Calibri" w:hAnsi="Calibri"/>
              </w:rPr>
              <w:t xml:space="preserve">Product (Output/…)</w:t>
            </w:r>
          </w:p>
        </w:tc>
        <w:tc>
          <w:tcPr>
            <w:tcW w:type="dxa" w:w="2274"/>
            <w:shd w:fill="E7EEF7" w:color="auto" w:val="clear"/>
            <w:tcMar>
              <w:top w:type="dxa" w:w="40"/>
              <w:left w:type="dxa" w:w="80"/>
              <w:bottom w:type="dxa" w:w="40"/>
              <w:right w:type="dxa" w:w="80"/>
            </w:tcMar>
          </w:tcPr>
          <w:p>
            <w:pPr>
              <w:spacing w:after="0"/>
            </w:pPr>
            <w:r>
              <w:rPr>
                <w:b/>
                <w:bCs/>
                <w:sz w:val="16"/>
                <w:szCs w:val="16"/>
                <w:rFonts w:ascii="Calibri" w:cs="Calibri" w:eastAsia="Calibri" w:hAnsi="Calibri"/>
              </w:rPr>
              <w:t xml:space="preserve">What it is</w:t>
            </w:r>
          </w:p>
        </w:tc>
        <w:tc>
          <w:tcPr>
            <w:tcW w:type="dxa" w:w="2368"/>
            <w:shd w:fill="E7EEF7" w:color="auto" w:val="clear"/>
            <w:tcMar>
              <w:top w:type="dxa" w:w="40"/>
              <w:left w:type="dxa" w:w="80"/>
              <w:bottom w:type="dxa" w:w="40"/>
              <w:right w:type="dxa" w:w="80"/>
            </w:tcMar>
          </w:tcPr>
          <w:p>
            <w:pPr>
              <w:spacing w:after="0"/>
            </w:pPr>
            <w:r>
              <w:rPr>
                <w:b/>
                <w:bCs/>
                <w:sz w:val="16"/>
                <w:szCs w:val="16"/>
                <w:rFonts w:ascii="Calibri" w:cs="Calibri" w:eastAsia="Calibri" w:hAnsi="Calibri"/>
              </w:rPr>
              <w:t xml:space="preserve">Fit for</w:t>
            </w:r>
          </w:p>
        </w:tc>
        <w:tc>
          <w:tcPr>
            <w:tcW w:type="dxa" w:w="2274"/>
            <w:shd w:fill="E7EEF7" w:color="auto" w:val="clear"/>
            <w:tcMar>
              <w:top w:type="dxa" w:w="40"/>
              <w:left w:type="dxa" w:w="80"/>
              <w:bottom w:type="dxa" w:w="40"/>
              <w:right w:type="dxa" w:w="80"/>
            </w:tcMar>
          </w:tcPr>
          <w:p>
            <w:pPr>
              <w:spacing w:after="0"/>
            </w:pPr>
            <w:r>
              <w:rPr>
                <w:b/>
                <w:bCs/>
                <w:sz w:val="16"/>
                <w:szCs w:val="16"/>
                <w:rFonts w:ascii="Calibri" w:cs="Calibri" w:eastAsia="Calibri" w:hAnsi="Calibri"/>
              </w:rPr>
              <w:t xml:space="preserve">Not fit for</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final_2022/{car, transit, total}_2022_taz.csv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deliverable 778 × 778 matrices, 2022, 06:00–09:00, residents with both trip ends in the study area; transit = calibrated bus + rail; taxi-type as a variant; long format for SQL</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Any aggregation to superzones or areas; relative comparisons; margins for growth; the base of everything else</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TAZ-level statements about transit (the TAZ detail is a population / employment split, not observed); loads; appraisal</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corridor_v2/{car, bus, taxi, rail, transit, total}_2022_area_v2.csv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same layers summed to the 25 V2 areas</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Market sizing between line areas per route or on the network; the geography of the capture model</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Comparing totals one-to-one with the earlier 28-area products (different TAZ sets); intra-area cells (no within-area treatment yet)</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corridor_v2/corridor_v2_link_flows_long.csv, corridor_v2_network_link_flows.csv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Potential movements per link, route, direction and layer; three-hour and peak-hour</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Ranking links, segments and branches; where demand concentrates; the design-hour scale (1.6–1.8 × an average hour)</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Loads, capacity or frequency; trips with one end off the line; link-crossing hour (the factors are on departure time)</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corridor_v2/peak_hour_factors_v2*.csv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Peak-hour factors per route / network, direction and layer, with ranges</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Car by route and direction (± 0.1 range); bus and taxi-type as study-area factors</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Route-specific bus or taxi-type factors; per-link factors</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corridor_v2/corridor_v2_survey_vs_ticketing*.csv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two transit frames on the V2 routes, link by link and pair by pair</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 range for the transit market: survey (residents, doorstep) to ticketing (all riders, boarding stop) — needed on the Nazareth branch</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Choosing one frame as “the” transit demand; adding the two</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lrt_v2/lrt_station_times_{all_underground, all_ground}.csv and …_section_form.csv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Station-to-station in-vehicle times, 24 stations, two scenarios, two forms</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LRT skims for the ten trunk areas as a bracket (distance form slow, section form fast); the 18 % underground saving</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 single point estimate; any area beyond Hamifrats or on the branches</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gc/gc_components_area_v2_long.csv, gc_area_v2_*.csv, gc_data_inventory.csv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Every generalized-cost component per cell with its status; partial GC per mode; the gap table</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Seeing what exists and what is missing; the structure of the capture model; tracking the gaps as they close</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Running the capture model or calibrating its sensitivity; quoting a mode’s generalized cost as complete</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forecast_taz/dry_run/</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 mechanics test of the 2040 / 2050 growth method on a synthetic case</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Checking the method</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Any 2040 / 2050 number — the scenario runs need the zonal forecast files, which are held in Git LFS</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ths2017/study_taz/hybrid_*, historical/*, transit/*, forecast/*</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survey × cellular hybrids and the 25-area composite</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record of how the work evolved</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Anything current — superseded; the TAZ hybrids do not reproduce their superzone totals</w:t>
            </w:r>
          </w:p>
        </w:tc>
      </w:tr>
    </w:tbl>
    <w:p>
      <w:pPr>
        <w:spacing w:after="120"/>
      </w:pPr>
    </w:p>
    <w:p>
      <w:pPr>
        <w:pStyle w:val="Heading2"/>
        <w:spacing w:before="280" w:after="120"/>
      </w:pPr>
      <w:r>
        <w:rPr>
          <w:rFonts w:ascii="Calibri" w:cs="Calibri" w:eastAsia="Calibri" w:hAnsi="Calibri"/>
        </w:rPr>
        <w:t xml:space="preserve">Practical notes for a user of the matrices</w:t>
      </w:r>
    </w:p>
    <w:p>
      <w:pPr>
        <w:pStyle w:val="ListParagraph"/>
        <w:numPr>
          <w:ilvl w:val="0"/>
          <w:numId w:val="2"/>
        </w:numPr>
        <w:spacing w:after="80"/>
      </w:pPr>
      <w:r>
        <w:rPr>
          <w:sz w:val="22"/>
          <w:szCs w:val="22"/>
          <w:rFonts w:ascii="Calibri" w:cs="Calibri" w:eastAsia="Calibri" w:hAnsi="Calibri"/>
        </w:rPr>
        <w:t xml:space="preserve">Rows are origins, columns destinations, values are expanded trips in the three morning hours; the long-format file final_2022_long.csv.gz carries the same cells as (origin, destination, car, bus, rail, taxi_type, transit, total) for SQL work.</w:t>
      </w:r>
    </w:p>
    <w:p>
      <w:pPr>
        <w:pStyle w:val="ListParagraph"/>
        <w:numPr>
          <w:ilvl w:val="0"/>
          <w:numId w:val="2"/>
        </w:numPr>
        <w:spacing w:after="80"/>
      </w:pPr>
      <w:r>
        <w:rPr>
          <w:sz w:val="22"/>
          <w:szCs w:val="22"/>
          <w:rFonts w:ascii="Calibri" w:cs="Calibri" w:eastAsia="Calibri" w:hAnsi="Calibri"/>
        </w:rPr>
        <w:t xml:space="preserve">The V2 area codes are those of Corridor_TAZ_Agg_V2.xlsx; the TAZ-to-area key has 174 rows and one TAZ (1509, station S13) should be added to it before the next run.</w:t>
      </w:r>
    </w:p>
    <w:p>
      <w:pPr>
        <w:pStyle w:val="ListParagraph"/>
        <w:numPr>
          <w:ilvl w:val="0"/>
          <w:numId w:val="2"/>
        </w:numPr>
        <w:spacing w:after="80"/>
      </w:pPr>
      <w:r>
        <w:rPr>
          <w:sz w:val="22"/>
          <w:szCs w:val="22"/>
          <w:rFonts w:ascii="Calibri" w:cs="Calibri" w:eastAsia="Calibri" w:hAnsi="Calibri"/>
        </w:rPr>
        <w:t xml:space="preserve">Peak-hour values are departure-hour quantities: a trip leaving at 07:30 crosses a link ten to forty minutes later. A link-crossing hour would be later and slightly flatter.</w:t>
      </w:r>
    </w:p>
    <w:p>
      <w:pPr>
        <w:pStyle w:val="ListParagraph"/>
        <w:numPr>
          <w:ilvl w:val="0"/>
          <w:numId w:val="2"/>
        </w:numPr>
        <w:spacing w:after="80"/>
      </w:pPr>
      <w:r>
        <w:rPr>
          <w:sz w:val="22"/>
          <w:szCs w:val="22"/>
          <w:rFonts w:ascii="Calibri" w:cs="Calibri" w:eastAsia="Calibri" w:hAnsi="Calibri"/>
        </w:rPr>
        <w:t xml:space="preserve">Bus in the survey base means public bus and Matronit; the taxi-type layer (special and group taxi) is never inside transit. The ticketing frame counts every rider and every journey that begins with a transfer at a hub.</w:t>
      </w:r>
    </w:p>
    <w:p>
      <w:pPr>
        <w:pStyle w:val="ListParagraph"/>
        <w:numPr>
          <w:ilvl w:val="0"/>
          <w:numId w:val="2"/>
        </w:numPr>
        <w:spacing w:after="80"/>
      </w:pPr>
      <w:r>
        <w:rPr>
          <w:sz w:val="22"/>
          <w:szCs w:val="22"/>
          <w:rFonts w:ascii="Calibri" w:cs="Calibri" w:eastAsia="Calibri" w:hAnsi="Calibri"/>
        </w:rPr>
        <w:t xml:space="preserve">When a number from this report is quoted, its frame should go with it: three-hour or peak-hour; route or network; survey or ticketing; distance or section form.</w:t>
      </w:r>
    </w:p>
    <w:p>
      <w:pPr>
        <w:pStyle w:val="Heading1"/>
        <w:spacing w:before="360" w:after="160"/>
      </w:pPr>
      <w:r>
        <w:rPr>
          <w:rFonts w:ascii="Calibri" w:cs="Calibri" w:eastAsia="Calibri" w:hAnsi="Calibri"/>
        </w:rPr>
        <w:t xml:space="preserve">7. What to keep in mind</w:t>
      </w:r>
    </w:p>
    <w:p>
      <w:pPr>
        <w:pStyle w:val="ListParagraph"/>
        <w:numPr>
          <w:ilvl w:val="0"/>
          <w:numId w:val="3"/>
        </w:numPr>
        <w:spacing w:after="80"/>
      </w:pPr>
      <w:r>
        <w:rPr>
          <w:sz w:val="22"/>
          <w:szCs w:val="22"/>
          <w:rFonts w:ascii="Calibri" w:cs="Calibri" w:eastAsia="Calibri" w:hAnsi="Calibri"/>
        </w:rPr>
        <w:t xml:space="preserve">The base is unvalidated externally. No screenline count has yet been set against the car layer, and the bus total depends on a coverage threshold. The corridor numbers are as good as the base.</w:t>
      </w:r>
    </w:p>
    <w:p>
      <w:pPr>
        <w:pStyle w:val="ListParagraph"/>
        <w:numPr>
          <w:ilvl w:val="0"/>
          <w:numId w:val="3"/>
        </w:numPr>
        <w:spacing w:after="80"/>
      </w:pPr>
      <w:r>
        <w:rPr>
          <w:sz w:val="22"/>
          <w:szCs w:val="22"/>
          <w:rFonts w:ascii="Calibri" w:cs="Calibri" w:eastAsia="Calibri" w:hAnsi="Calibri"/>
        </w:rPr>
        <w:t xml:space="preserve">Below the superzone the survey’s TAZ detail is an allocation by residents and jobs. Area-level results are fair; TAZ-level transit statements are not.</w:t>
      </w:r>
    </w:p>
    <w:p>
      <w:pPr>
        <w:pStyle w:val="ListParagraph"/>
        <w:numPr>
          <w:ilvl w:val="0"/>
          <w:numId w:val="3"/>
        </w:numPr>
        <w:spacing w:after="80"/>
      </w:pPr>
      <w:r>
        <w:rPr>
          <w:sz w:val="22"/>
          <w:szCs w:val="22"/>
          <w:rFonts w:ascii="Calibri" w:cs="Calibri" w:eastAsia="Calibri" w:hAnsi="Calibri"/>
        </w:rPr>
        <w:t xml:space="preserve">The Nazareth branch is where the two transit frames disagree by a factor of two or more towards Haifa. Carry both.</w:t>
      </w:r>
    </w:p>
    <w:p>
      <w:pPr>
        <w:pStyle w:val="ListParagraph"/>
        <w:numPr>
          <w:ilvl w:val="0"/>
          <w:numId w:val="3"/>
        </w:numPr>
        <w:spacing w:after="80"/>
      </w:pPr>
      <w:r>
        <w:rPr>
          <w:sz w:val="22"/>
          <w:szCs w:val="22"/>
          <w:rFonts w:ascii="Calibri" w:cs="Calibri" w:eastAsia="Calibri" w:hAnsi="Calibri"/>
        </w:rPr>
        <w:t xml:space="preserve">The LRT function was calibrated on another operator’s line at 500 m spacing; on 815 m spacing its two readings differ by 39 %. Neither is the answer; the pair is.</w:t>
      </w:r>
    </w:p>
    <w:p>
      <w:pPr>
        <w:pStyle w:val="ListParagraph"/>
        <w:numPr>
          <w:ilvl w:val="0"/>
          <w:numId w:val="3"/>
        </w:numPr>
        <w:spacing w:after="80"/>
      </w:pPr>
      <w:r>
        <w:rPr>
          <w:sz w:val="22"/>
          <w:szCs w:val="22"/>
          <w:rFonts w:ascii="Calibri" w:cs="Calibri" w:eastAsia="Calibri" w:hAnsi="Calibri"/>
        </w:rPr>
        <w:t xml:space="preserve">The bus generalized cost is a floor plus placeholders. Its walk, wait and transfer components need GTFS before the mode comparison means anything.</w:t>
      </w:r>
    </w:p>
    <w:p>
      <w:pPr>
        <w:pStyle w:val="ListParagraph"/>
        <w:numPr>
          <w:ilvl w:val="0"/>
          <w:numId w:val="3"/>
        </w:numPr>
        <w:spacing w:after="80"/>
      </w:pPr>
      <w:r>
        <w:rPr>
          <w:sz w:val="22"/>
          <w:szCs w:val="22"/>
          <w:rFonts w:ascii="Calibri" w:cs="Calibri" w:eastAsia="Calibri" w:hAnsi="Calibri"/>
        </w:rPr>
        <w:t xml:space="preserve">The money components are missing for every mode. They matter less than the LRT speed for the comparison, but an appraisal cannot be run without them.</w:t>
      </w:r>
    </w:p>
    <w:p>
      <w:pPr>
        <w:pStyle w:val="ListParagraph"/>
        <w:numPr>
          <w:ilvl w:val="0"/>
          <w:numId w:val="3"/>
        </w:numPr>
        <w:spacing w:after="80"/>
      </w:pPr>
      <w:r>
        <w:rPr>
          <w:sz w:val="22"/>
          <w:szCs w:val="22"/>
          <w:rFonts w:ascii="Calibri" w:cs="Calibri" w:eastAsia="Calibri" w:hAnsi="Calibri"/>
        </w:rPr>
        <w:t xml:space="preserve">The 2040 / 2050 matrices exist as a method and a dry run only.</w:t>
      </w:r>
    </w:p>
    <w:p>
      <w:pPr>
        <w:pStyle w:val="Heading1"/>
        <w:spacing w:before="360" w:after="160"/>
      </w:pPr>
      <w:r>
        <w:rPr>
          <w:rFonts w:ascii="Calibri" w:cs="Calibri" w:eastAsia="Calibri" w:hAnsi="Calibri"/>
        </w:rPr>
        <w:t xml:space="preserve">8. What is needed next</w:t>
      </w:r>
    </w:p>
    <w:p>
      <w:pPr>
        <w:spacing w:after="120" w:before="0"/>
      </w:pPr>
      <w:r>
        <w:rPr>
          <w:sz w:val="22"/>
          <w:szCs w:val="22"/>
          <w:rFonts w:ascii="Calibri" w:cs="Calibri" w:eastAsia="Calibri" w:hAnsi="Calibri"/>
        </w:rPr>
        <w:t xml:space="preserve">In the order that changes the answer most (task list section E in the repository):</w:t>
      </w:r>
    </w:p>
    <w:p>
      <w:pPr>
        <w:pStyle w:val="ListParagraph"/>
        <w:numPr>
          <w:ilvl w:val="0"/>
          <w:numId w:val="3"/>
        </w:numPr>
        <w:spacing w:after="80"/>
      </w:pPr>
      <w:r>
        <w:rPr>
          <w:b/>
          <w:bCs/>
          <w:sz w:val="22"/>
          <w:szCs w:val="22"/>
          <w:rFonts w:ascii="Calibri" w:cs="Calibri" w:eastAsia="Calibri" w:hAnsi="Calibri"/>
        </w:rPr>
        <w:t xml:space="preserve">LRT speed on this spacing. </w:t>
      </w:r>
      <w:r>
        <w:rPr>
          <w:sz w:val="22"/>
          <w:szCs w:val="22"/>
          <w:rFonts w:ascii="Calibri" w:cs="Calibri" w:eastAsia="Calibri" w:hAnsi="Calibri"/>
        </w:rPr>
        <w:t xml:space="preserve">A running-time / dwell decomposition of the calibrated coefficients, or a regime (underground / ground) assignment per section of the actual design.</w:t>
      </w:r>
    </w:p>
    <w:p>
      <w:pPr>
        <w:pStyle w:val="ListParagraph"/>
        <w:numPr>
          <w:ilvl w:val="0"/>
          <w:numId w:val="3"/>
        </w:numPr>
        <w:spacing w:after="80"/>
      </w:pPr>
      <w:r>
        <w:rPr>
          <w:b/>
          <w:bCs/>
          <w:sz w:val="22"/>
          <w:szCs w:val="22"/>
          <w:rFonts w:ascii="Calibri" w:cs="Calibri" w:eastAsia="Calibri" w:hAnsi="Calibri"/>
        </w:rPr>
        <w:t xml:space="preserve">LRT geometry beyond the trunk. </w:t>
      </w:r>
      <w:r>
        <w:rPr>
          <w:sz w:val="22"/>
          <w:szCs w:val="22"/>
          <w:rFonts w:ascii="Calibri" w:cs="Calibri" w:eastAsia="Calibri" w:hAnsi="Calibri"/>
        </w:rPr>
        <w:t xml:space="preserve">Alignment and stations from Hamifrats to Tsomet Kiryat Ata and for the three branches; the planned headway per branch and the through-running pattern.</w:t>
      </w:r>
    </w:p>
    <w:p>
      <w:pPr>
        <w:pStyle w:val="ListParagraph"/>
        <w:numPr>
          <w:ilvl w:val="0"/>
          <w:numId w:val="3"/>
        </w:numPr>
        <w:spacing w:after="80"/>
      </w:pPr>
      <w:r>
        <w:rPr>
          <w:b/>
          <w:bCs/>
          <w:sz w:val="22"/>
          <w:szCs w:val="22"/>
          <w:rFonts w:ascii="Calibri" w:cs="Calibri" w:eastAsia="Calibri" w:hAnsi="Calibri"/>
        </w:rPr>
        <w:t xml:space="preserve">Bus level of service from GTFS. </w:t>
      </w:r>
      <w:r>
        <w:rPr>
          <w:sz w:val="22"/>
          <w:szCs w:val="22"/>
          <w:rFonts w:ascii="Calibri" w:cs="Calibri" w:eastAsia="Calibri" w:hAnsi="Calibri"/>
        </w:rPr>
        <w:t xml:space="preserve">Route paths, headways, transfers and stop locations per area pair; the speed network stays as the source of running speeds.</w:t>
      </w:r>
    </w:p>
    <w:p>
      <w:pPr>
        <w:pStyle w:val="ListParagraph"/>
        <w:numPr>
          <w:ilvl w:val="0"/>
          <w:numId w:val="3"/>
        </w:numPr>
        <w:spacing w:after="80"/>
      </w:pPr>
      <w:r>
        <w:rPr>
          <w:b/>
          <w:bCs/>
          <w:sz w:val="22"/>
          <w:szCs w:val="22"/>
          <w:rFonts w:ascii="Calibri" w:cs="Calibri" w:eastAsia="Calibri" w:hAnsi="Calibri"/>
        </w:rPr>
        <w:t xml:space="preserve">Money components. </w:t>
      </w:r>
      <w:r>
        <w:rPr>
          <w:sz w:val="22"/>
          <w:szCs w:val="22"/>
          <w:rFonts w:ascii="Calibri" w:cs="Calibri" w:eastAsia="Calibri" w:hAnsi="Calibri"/>
        </w:rPr>
        <w:t xml:space="preserve">Fare tables (bus, LRT, integration), parking tariffs by destination area, car operating cost, and the value of time by purpose from נוהל פר"ת; confirm the walk / wait / transfer weights against the same source.</w:t>
      </w:r>
    </w:p>
    <w:p>
      <w:pPr>
        <w:pStyle w:val="ListParagraph"/>
        <w:numPr>
          <w:ilvl w:val="0"/>
          <w:numId w:val="3"/>
        </w:numPr>
        <w:spacing w:after="80"/>
      </w:pPr>
      <w:r>
        <w:rPr>
          <w:b/>
          <w:bCs/>
          <w:sz w:val="22"/>
          <w:szCs w:val="22"/>
          <w:rFonts w:ascii="Calibri" w:cs="Calibri" w:eastAsia="Calibri" w:hAnsi="Calibri"/>
        </w:rPr>
        <w:t xml:space="preserve">Car skim vintage. </w:t>
      </w:r>
      <w:r>
        <w:rPr>
          <w:sz w:val="22"/>
          <w:szCs w:val="22"/>
          <w:rFonts w:ascii="Calibri" w:cs="Calibri" w:eastAsia="Calibri" w:hAnsi="Calibri"/>
        </w:rPr>
        <w:t xml:space="preserve">A small sample of current travel times (about 40 pairs, Tuesday 07:30) to bring the 2017/18 survey times to 2026.</w:t>
      </w:r>
    </w:p>
    <w:p>
      <w:pPr>
        <w:pStyle w:val="ListParagraph"/>
        <w:numPr>
          <w:ilvl w:val="0"/>
          <w:numId w:val="3"/>
        </w:numPr>
        <w:spacing w:after="80"/>
      </w:pPr>
      <w:r>
        <w:rPr>
          <w:b/>
          <w:bCs/>
          <w:sz w:val="22"/>
          <w:szCs w:val="22"/>
          <w:rFonts w:ascii="Calibri" w:cs="Calibri" w:eastAsia="Calibri" w:hAnsi="Calibri"/>
        </w:rPr>
        <w:t xml:space="preserve">Housekeeping. </w:t>
      </w:r>
      <w:r>
        <w:rPr>
          <w:sz w:val="22"/>
          <w:szCs w:val="22"/>
          <w:rFonts w:ascii="Calibri" w:cs="Calibri" w:eastAsia="Calibri" w:hAnsi="Calibri"/>
        </w:rPr>
        <w:t xml:space="preserve">Add TAZ 1509 to the V2 aggregation; settle the Nazareth allocation (tasks A1, B1c, B2) so the branch market can be quoted as one number.</w:t>
      </w:r>
    </w:p>
    <w:p>
      <w:pPr>
        <w:pStyle w:val="Heading1"/>
        <w:spacing w:before="360" w:after="160"/>
      </w:pPr>
      <w:r>
        <w:rPr>
          <w:rFonts w:ascii="Calibri" w:cs="Calibri" w:eastAsia="Calibri" w:hAnsi="Calibri"/>
        </w:rPr>
        <w:t xml:space="preserve">9. Files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80"/>
        <w:gridCol w:w="7020"/>
      </w:tblGrid>
      <w:tr>
        <w:trPr>
          <w:tblHeader/>
        </w:trPr>
        <w:tc>
          <w:tcPr>
            <w:tcW w:type="dxa" w:w="198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Folder</w:t>
            </w:r>
          </w:p>
        </w:tc>
        <w:tc>
          <w:tcPr>
            <w:tcW w:type="dxa" w:w="70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Contents</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Output/corridor_v2/</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area_legend_v2.csv; the six area matrices; corridor_v2_link_flows_long.csv and _wide.csv; corridor_v2_network_link_flows.csv; corridor_v2_route_summary.csv; corridor_v2_vs_earlier_profile.csv; peak_hour_factors_v2.csv and _applied.csv; corridor_v2_survey_vs_ticketing.csv, _summary.csv, _pairs.csv</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Output/lrt_v2/</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lrt_stations_hf_lrt_3.csv and .geojson; lrt_station_distances_km.csv; lrt_station_times_{all_underground, all_ground}.csv and _section_form.csv; lrt_line_profile.csv; lrt_area_representative_station.csv; lrt_area_ivt_*.csv</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Output/gc/</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car_ivt_survey_area_v2.csv (+ n_sampled, distances); bus_ivt_network_area_v2.csv; bus_path_km_area_v2.csv; bus_survey_vs_network_check.csv; lrt_access_taz_v2.csv, lrt_access_area_v2.csv; gc_components_area_v2_long.csv; gc_area_v2_{car, bus, lrt_all_underground, lrt_all_ground}.csv; gc_cell_status_area_v2.csv; gc_trunk_pairs_comparison.csv; gc_data_inventory.csv</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Output/ths2017/tests/</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pca_car_vs_transit_levels.csv (V2 rows added); pca_car_vs_transit_by_area_v2.csv</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Output/figures/</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corridor_v2_route_profiles_2022.png; corridor_v2_peak_hour_profiles.png; corridor_v2_survey_vs_ticketing.png; lrt_line_profile_hf_lrt_3.png; gc_first_fill_trunk_v2.png</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docs/</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Transit_Travel_Time_Calibration_Report_Operator22.md (the calibrated function); LRT_CAPTURE_PLAN.md and CORRIDOR_DEMAND_TASKS.md (section E) updated</w:t>
            </w: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Fonts w:ascii="Calibri" w:cs="Calibri" w:eastAsia="Calibri" w:hAnsi="Calibri"/>
      </w:rPr>
      <w:t xml:space="preserve">Nofit LRT Extension — V2 corridor, LRT travel times and generalized-cost inputs — 22 September 2026 — page </w:t>
    </w:r>
    <w:r>
      <w:rPr>
        <w:color w:val="52514E"/>
        <w:sz w:val="16"/>
        <w:szCs w:val="16"/>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b/>
      <w:bCs/>
      <w:color w:val="1F3864"/>
      <w:sz w:val="30"/>
      <w:szCs w:val="30"/>
      <w:rFonts w:ascii="Calibri" w:cs="Calibri" w:eastAsia="Calibri" w:hAnsi="Calibri"/>
    </w:rPr>
  </w:style>
  <w:style w:type="paragraph" w:styleId="Heading2">
    <w:name w:val="Heading 2"/>
    <w:basedOn w:val="Normal"/>
    <w:next w:val="Normal"/>
    <w:qFormat/>
    <w:pPr>
      <w:outlineLvl w:val="1"/>
    </w:pPr>
    <w:rPr>
      <w:b/>
      <w:bCs/>
      <w:color w:val="2A78D6"/>
      <w:sz w:val="25"/>
      <w:szCs w:val="25"/>
      <w:rFonts w:ascii="Calibri" w:cs="Calibri" w:eastAsia="Calibri" w:hAnsi="Calibri"/>
    </w:rPr>
  </w:style>
  <w:style w:type="paragraph" w:styleId="Heading3">
    <w:name w:val="Heading 3"/>
    <w:basedOn w:val="Normal"/>
    <w:next w:val="Normal"/>
    <w:qFormat/>
    <w:pPr>
      <w:outlineLvl w:val="2"/>
    </w:pPr>
    <w:rPr>
      <w:b/>
      <w:bCs/>
      <w:sz w:val="22"/>
      <w:szCs w:val="22"/>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irz3oclkoq42u7ytrxnx.png"/><Relationship Id="rId8" Type="http://schemas.openxmlformats.org/officeDocument/2006/relationships/image" Target="media/zggkgfcnf8xemzt4q-he6.png"/><Relationship Id="rId9" Type="http://schemas.openxmlformats.org/officeDocument/2006/relationships/image" Target="media/nwbl0mdoomzusxk5pqumj.png"/><Relationship Id="rId10" Type="http://schemas.openxmlformats.org/officeDocument/2006/relationships/image" Target="media/qepbx83el6g0z2lcav7m7.png"/><Relationship Id="rId11" Type="http://schemas.openxmlformats.org/officeDocument/2006/relationships/image" Target="media/lygmh0ylp_v7ecec4jl5f.png"/><Relationship Id="rIdFont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Corridor on the V2 Aggregation, the LRT Line’s Travel Times and the Generalized-Cost Inputs</dc:title>
  <dc:creator>Nofit LRT Extension study</dc:creator>
  <cp:lastModifiedBy>Un-named</cp:lastModifiedBy>
  <cp:revision>1</cp:revision>
  <dcterms:created xsi:type="dcterms:W3CDTF">2026-09-22T10:03:18.127Z</dcterms:created>
  <dcterms:modified xsi:type="dcterms:W3CDTF">2026-09-22T10:03:18.128Z</dcterms:modified>
</cp:coreProperties>
</file>

<file path=docProps/custom.xml><?xml version="1.0" encoding="utf-8"?>
<Properties xmlns="http://schemas.openxmlformats.org/officeDocument/2006/custom-properties" xmlns:vt="http://schemas.openxmlformats.org/officeDocument/2006/docPropsVTypes"/>
</file>