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Nofit LRT extension — demand study</w:t>
      </w:r>
    </w:p>
    <w:p>
      <w:r>
        <w:t>Comprehensive report: goal, model structure and data, calibration and base scenario, results for the 2040 / 2050 scenarios, conclusions. Produced 5 October 2026 from the repository Nofit_LRT_Extension (notebooks in notebooks/current/, technical record METHODOLOGY.md, plain-language record docs/PLAIN_ENGLISH_METHODOLOGY.md). Every number in this report can be traced to a file under Output/ named in the text.</w:t>
      </w:r>
    </w:p>
    <w:p>
      <w:pPr>
        <w:pStyle w:val="Heading1"/>
      </w:pPr>
      <w:r>
        <w:t>Executive decision summary</w:t>
      </w:r>
    </w:p>
    <w:p>
      <w:r>
        <w:t>The question. The Nofit light-rail main route (Hamifrats – Nazareth) is under construction. Should it be extended through Haifa to Tirat Carmel, and if so, run through as one line or terminate at Hamifrats? This report sizes and locates the demand for the extension, from the observed 2022 travel market grown to 2040 and 2050, and states what that evidence does and does not support.</w:t>
      </w:r>
    </w:p>
    <w:p>
      <w:r>
        <w:rPr>
          <w:b/>
        </w:rPr>
        <w:t>Reference case. 2050 BU is the principal planning year and scenario; 2040 and the high (HS) scenario illustrate growth sensitivity. The through line in the Prioritized regime (priority at the interchanges) is the reference alternative.</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t>Reference case 2050 BU, main route + extension, Prioritized</w:t>
            </w:r>
          </w:p>
        </w:tc>
        <w:tc>
          <w:tcPr>
            <w:tcW w:type="dxa" w:w="4986"/>
          </w:tcPr>
          <w:p>
            <w:r>
              <w:rPr>
                <w:b/>
                <w:sz w:val="16"/>
              </w:rPr>
              <w:t>value</w:t>
            </w:r>
          </w:p>
        </w:tc>
      </w:tr>
      <w:tr>
        <w:tc>
          <w:tcPr>
            <w:tcW w:type="dxa" w:w="4986"/>
          </w:tcPr>
          <w:p>
            <w:r>
              <w:rPr>
                <w:sz w:val="16"/>
              </w:rPr>
              <w:t>LRT riders on the corridor, AM 06:00–09:00 / AM peak hour</w:t>
            </w:r>
          </w:p>
        </w:tc>
        <w:tc>
          <w:tcPr>
            <w:tcW w:type="dxa" w:w="4986"/>
          </w:tcPr>
          <w:p>
            <w:r>
              <w:rPr>
                <w:sz w:val="16"/>
              </w:rPr>
              <w:t>7,433 / 4,378</w:t>
            </w:r>
          </w:p>
        </w:tc>
      </w:tr>
      <w:tr>
        <w:tc>
          <w:tcPr>
            <w:tcW w:type="dxa" w:w="4986"/>
          </w:tcPr>
          <w:p>
            <w:r>
              <w:rPr>
                <w:sz w:val="16"/>
              </w:rPr>
              <w:t>… of which use the extension (S01–S24) / travel only between extension stations</w:t>
            </w:r>
          </w:p>
        </w:tc>
        <w:tc>
          <w:tcPr>
            <w:tcW w:type="dxa" w:w="4986"/>
          </w:tcPr>
          <w:p>
            <w:r>
              <w:rPr>
                <w:sz w:val="16"/>
              </w:rPr>
              <w:t>6,003 (81 %) / 3,851</w:t>
            </w:r>
          </w:p>
        </w:tc>
      </w:tr>
      <w:tr>
        <w:tc>
          <w:tcPr>
            <w:tcW w:type="dxa" w:w="4986"/>
          </w:tcPr>
          <w:p>
            <w:r>
              <w:rPr>
                <w:sz w:val="16"/>
              </w:rPr>
              <w:t>LRT riders, PM 16:00–19:00 / PM peak hour</w:t>
            </w:r>
          </w:p>
        </w:tc>
        <w:tc>
          <w:tcPr>
            <w:tcW w:type="dxa" w:w="4986"/>
          </w:tcPr>
          <w:p>
            <w:r>
              <w:rPr>
                <w:sz w:val="16"/>
              </w:rPr>
              <w:t>6,135 / 2,934</w:t>
            </w:r>
          </w:p>
        </w:tc>
      </w:tr>
      <w:tr>
        <w:tc>
          <w:tcPr>
            <w:tcW w:type="dxa" w:w="4986"/>
          </w:tcPr>
          <w:p>
            <w:r>
              <w:rPr>
                <w:sz w:val="16"/>
              </w:rPr>
              <w:t>Through-running against terminating at Hamifrats: extension riders / total LRT riders</w:t>
            </w:r>
          </w:p>
        </w:tc>
        <w:tc>
          <w:tcPr>
            <w:tcW w:type="dxa" w:w="4986"/>
          </w:tcPr>
          <w:p>
            <w:r>
              <w:rPr>
                <w:sz w:val="16"/>
              </w:rPr>
              <w:t>6,003 vs 5,939 (+1 %) / 7,433 vs 5,939 (+25 %)</w:t>
            </w:r>
          </w:p>
        </w:tc>
      </w:tr>
      <w:tr>
        <w:tc>
          <w:tcPr>
            <w:tcW w:type="dxa" w:w="4986"/>
          </w:tcPr>
          <w:p>
            <w:r>
              <w:rPr>
                <w:sz w:val="16"/>
              </w:rPr>
              <w:t>Where the riders come from (AM 3 h)</w:t>
            </w:r>
          </w:p>
        </w:tc>
        <w:tc>
          <w:tcPr>
            <w:tcW w:type="dxa" w:w="4986"/>
          </w:tcPr>
          <w:p>
            <w:r>
              <w:rPr>
                <w:sz w:val="16"/>
              </w:rPr>
              <w:t>Metronit 3,731 (33 % of its corridor trips), bus 2,881, car 818 (0.9 % of corridor car trips)</w:t>
            </w:r>
          </w:p>
        </w:tc>
      </w:tr>
      <w:tr>
        <w:tc>
          <w:tcPr>
            <w:tcW w:type="dxa" w:w="4986"/>
          </w:tcPr>
          <w:p>
            <w:r>
              <w:rPr>
                <w:sz w:val="16"/>
              </w:rPr>
              <w:t>Peak load, AM peak hour, one direction</w:t>
            </w:r>
          </w:p>
        </w:tc>
        <w:tc>
          <w:tcPr>
            <w:tcW w:type="dxa" w:w="4986"/>
          </w:tcPr>
          <w:p>
            <w:r>
              <w:rPr>
                <w:sz w:val="16"/>
              </w:rPr>
              <w:t>1,071 at the entry into Hamifrats (S24–M02, towards Tirat Carmel); on the extension itself 1,028</w:t>
            </w:r>
          </w:p>
        </w:tc>
      </w:tr>
      <w:tr>
        <w:tc>
          <w:tcPr>
            <w:tcW w:type="dxa" w:w="4986"/>
          </w:tcPr>
          <w:p>
            <w:r>
              <w:rPr>
                <w:sz w:val="16"/>
              </w:rPr>
              <w:t>Transit share of the corridor market, before → after</w:t>
            </w:r>
          </w:p>
        </w:tc>
        <w:tc>
          <w:tcPr>
            <w:tcW w:type="dxa" w:w="4986"/>
          </w:tcPr>
          <w:p>
            <w:r>
              <w:rPr>
                <w:sz w:val="16"/>
              </w:rPr>
              <w:t>19.3 % → 20.6 %; the LRT takes 34 % of transit</w:t>
            </w:r>
          </w:p>
        </w:tc>
      </w:tr>
      <w:tr>
        <w:tc>
          <w:tcPr>
            <w:tcW w:type="dxa" w:w="4986"/>
          </w:tcPr>
          <w:p>
            <w:r>
              <w:rPr>
                <w:sz w:val="16"/>
              </w:rPr>
              <w:t>Largest markets (AM 3 h)</w:t>
            </w:r>
          </w:p>
        </w:tc>
        <w:tc>
          <w:tcPr>
            <w:tcW w:type="dxa" w:w="4986"/>
          </w:tcPr>
          <w:p>
            <w:r>
              <w:rPr>
                <w:sz w:val="16"/>
              </w:rPr>
              <w:t>Haifa internal (both ends Matam – Hamifrats) 1,663 (22 %); Tirat Carmel ↔ Haifa 2,189 (29 %); Krayot ↔ Haifa (Krayot by feeder) 1,665 (22 %); Main route (Kiryat Ata – Nazareth) ↔ Haifa 891 (12 %)</w:t>
            </w:r>
          </w:p>
        </w:tc>
      </w:tr>
      <w:tr>
        <w:tc>
          <w:tcPr>
            <w:tcW w:type="dxa" w:w="4986"/>
          </w:tcPr>
          <w:p>
            <w:r>
              <w:rPr>
                <w:sz w:val="16"/>
              </w:rPr>
              <w:t>Unprioritized extension (at grade through the interchanges)</w:t>
            </w:r>
          </w:p>
        </w:tc>
        <w:tc>
          <w:tcPr>
            <w:tcW w:type="dxa" w:w="4986"/>
          </w:tcPr>
          <w:p>
            <w:r>
              <w:rPr>
                <w:sz w:val="16"/>
              </w:rPr>
              <w:t>5,700 (-23 %)</w:t>
            </w:r>
          </w:p>
        </w:tc>
      </w:tr>
      <w:tr>
        <w:tc>
          <w:tcPr>
            <w:tcW w:type="dxa" w:w="4986"/>
          </w:tcPr>
          <w:p>
            <w:r>
              <w:rPr>
                <w:sz w:val="16"/>
              </w:rPr>
              <w:t>Slower buses in 2050 (× 1.20 in mixed traffic)</w:t>
            </w:r>
          </w:p>
        </w:tc>
        <w:tc>
          <w:tcPr>
            <w:tcW w:type="dxa" w:w="4986"/>
          </w:tcPr>
          <w:p>
            <w:r>
              <w:rPr>
                <w:sz w:val="16"/>
              </w:rPr>
              <w:t>7,804 (+5 %)</w:t>
            </w:r>
          </w:p>
        </w:tc>
      </w:tr>
    </w:tbl>
    <w:p>
      <w:r>
        <w:rPr>
          <w:b/>
        </w:rPr>
        <w:t>Planning range (AM 06:00–09:00 LRT riders, reference case). The range is the cost sensitivity λ at the ends of its carried range (0.05 / 0.02 around the central 0.03), the widest single factor of the uncertainty experiment (step 40); the LRT premium (0 / 10 minutes) gives a narrower band inside it. The regime is a design choice, not an uncertainty, and is shown separately.</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t>case</w:t>
            </w:r>
          </w:p>
        </w:tc>
        <w:tc>
          <w:tcPr>
            <w:tcW w:type="dxa" w:w="3324"/>
          </w:tcPr>
          <w:p>
            <w:r>
              <w:rPr>
                <w:b/>
                <w:sz w:val="16"/>
              </w:rPr>
              <w:t>LRT riders, 3 h</w:t>
            </w:r>
          </w:p>
        </w:tc>
        <w:tc>
          <w:tcPr>
            <w:tcW w:type="dxa" w:w="3324"/>
          </w:tcPr>
          <w:p>
            <w:r>
              <w:rPr>
                <w:b/>
                <w:sz w:val="16"/>
              </w:rPr>
              <w:t>LRT riders, peak hour</w:t>
            </w:r>
          </w:p>
        </w:tc>
      </w:tr>
      <w:tr>
        <w:tc>
          <w:tcPr>
            <w:tcW w:type="dxa" w:w="3324"/>
          </w:tcPr>
          <w:p>
            <w:r>
              <w:rPr>
                <w:sz w:val="16"/>
              </w:rPr>
              <w:t>Central planning case (λ 0.03, premium 5, Prioritized)</w:t>
            </w:r>
          </w:p>
        </w:tc>
        <w:tc>
          <w:tcPr>
            <w:tcW w:type="dxa" w:w="3324"/>
          </w:tcPr>
          <w:p>
            <w:r>
              <w:rPr>
                <w:sz w:val="16"/>
              </w:rPr>
              <w:t>7,433</w:t>
            </w:r>
          </w:p>
        </w:tc>
        <w:tc>
          <w:tcPr>
            <w:tcW w:type="dxa" w:w="3324"/>
          </w:tcPr>
          <w:p>
            <w:r>
              <w:rPr>
                <w:sz w:val="16"/>
              </w:rPr>
              <w:t>4,378</w:t>
            </w:r>
          </w:p>
        </w:tc>
      </w:tr>
      <w:tr>
        <w:tc>
          <w:tcPr>
            <w:tcW w:type="dxa" w:w="3324"/>
          </w:tcPr>
          <w:p>
            <w:r>
              <w:rPr>
                <w:sz w:val="16"/>
              </w:rPr>
              <w:t>Plausible lower case (λ 0.05: travellers least sensitive to cost)</w:t>
            </w:r>
          </w:p>
        </w:tc>
        <w:tc>
          <w:tcPr>
            <w:tcW w:type="dxa" w:w="3324"/>
          </w:tcPr>
          <w:p>
            <w:r>
              <w:rPr>
                <w:sz w:val="16"/>
              </w:rPr>
              <w:t>5,532</w:t>
            </w:r>
          </w:p>
        </w:tc>
        <w:tc>
          <w:tcPr>
            <w:tcW w:type="dxa" w:w="3324"/>
          </w:tcPr>
          <w:p>
            <w:r>
              <w:rPr>
                <w:sz w:val="16"/>
              </w:rPr>
              <w:t>3,258</w:t>
            </w:r>
          </w:p>
        </w:tc>
      </w:tr>
      <w:tr>
        <w:tc>
          <w:tcPr>
            <w:tcW w:type="dxa" w:w="3324"/>
          </w:tcPr>
          <w:p>
            <w:r>
              <w:rPr>
                <w:sz w:val="16"/>
              </w:rPr>
              <w:t>Plausible upper case (λ 0.02: most sensitive)</w:t>
            </w:r>
          </w:p>
        </w:tc>
        <w:tc>
          <w:tcPr>
            <w:tcW w:type="dxa" w:w="3324"/>
          </w:tcPr>
          <w:p>
            <w:r>
              <w:rPr>
                <w:sz w:val="16"/>
              </w:rPr>
              <w:t>10,537</w:t>
            </w:r>
          </w:p>
        </w:tc>
        <w:tc>
          <w:tcPr>
            <w:tcW w:type="dxa" w:w="3324"/>
          </w:tcPr>
          <w:p>
            <w:r>
              <w:rPr>
                <w:sz w:val="16"/>
              </w:rPr>
              <w:t>6,207</w:t>
            </w:r>
          </w:p>
        </w:tc>
      </w:tr>
      <w:tr>
        <w:tc>
          <w:tcPr>
            <w:tcW w:type="dxa" w:w="3324"/>
          </w:tcPr>
          <w:p>
            <w:r>
              <w:rPr>
                <w:sz w:val="16"/>
              </w:rPr>
              <w:t>Design choice: Unprioritized extension, central λ</w:t>
            </w:r>
          </w:p>
        </w:tc>
        <w:tc>
          <w:tcPr>
            <w:tcW w:type="dxa" w:w="3324"/>
          </w:tcPr>
          <w:p>
            <w:r>
              <w:rPr>
                <w:sz w:val="16"/>
              </w:rPr>
              <w:t>5,700</w:t>
            </w:r>
          </w:p>
        </w:tc>
        <w:tc>
          <w:tcPr>
            <w:tcW w:type="dxa" w:w="3324"/>
          </w:tcPr>
          <w:p>
            <w:r>
              <w:rPr>
                <w:sz w:val="16"/>
              </w:rPr>
              <w:t>3,357</w:t>
            </w:r>
          </w:p>
        </w:tc>
      </w:tr>
    </w:tbl>
    <w:p>
      <w:r>
        <w:rPr>
          <w:b/>
        </w:rPr>
        <w:t>What the demand evidence supports:</w:t>
      </w:r>
    </w:p>
    <w:p>
      <w:pPr>
        <w:pStyle w:val="ListBullet"/>
      </w:pPr>
      <w:r>
        <w:t>An extension market of the order of 4,000–9,000 AM three-hour riders in 2050 BU, located on the Carmel coast and the lower city, with Tirat Carmel ↔ Haifa, Haifa internal and the Krayot feeder market as its three legs.</w:t>
      </w:r>
    </w:p>
    <w:p>
      <w:pPr>
        <w:pStyle w:val="ListBullet"/>
      </w:pPr>
      <w:r>
        <w:t>That the extension's riders do not depend on through-running: 6,003 on the through line against 5,939 if it terminates at Hamifrats. Through-running's benefit is the transfer it spares the 2,849 trips (38 %) that cross Hamifrats, which today ride the Metronit through; the +25 % on the line is the main route's own market, carried either way.</w:t>
      </w:r>
    </w:p>
    <w:p>
      <w:pPr>
        <w:pStyle w:val="ListBullet"/>
      </w:pPr>
      <w:r>
        <w:t>Priority at the interchanges: the at-grade regime loses about a quarter of the riders, mostly on the extension, a larger effect than the growth between 2040 and 2050.</w:t>
      </w:r>
    </w:p>
    <w:p>
      <w:pPr>
        <w:pStyle w:val="ListBullet"/>
      </w:pPr>
      <w:r>
        <w:t>A peak load in the low thousands per hour and direction at the Hamifrats entry, which is a light-rail scale of demand, not a metro one.</w:t>
      </w:r>
    </w:p>
    <w:p>
      <w:pPr>
        <w:pStyle w:val="ListBullet"/>
      </w:pPr>
      <w:r>
        <w:t>The ranking of these alternatives and regimes, and the order of magnitude of the draw from the Metronit, the bus and the car.</w:t>
      </w:r>
    </w:p>
    <w:p>
      <w:r>
        <w:rPr>
          <w:b/>
        </w:rPr>
        <w:t>What it does not support:</w:t>
      </w:r>
    </w:p>
    <w:p>
      <w:pPr>
        <w:pStyle w:val="ListBullet"/>
      </w:pPr>
      <w:r>
        <w:t>A ridership forecast for appraisal, fleet or frequency decisions: the loads are unconstrained potential movements on a service plan that keeps every bus and Metronit line as it runs today, from a base validated at corridor level but not at link level, with the cost sensitivity bounded by a range rather than estimated for the car-owning riders the line must win.</w:t>
      </w:r>
    </w:p>
    <w:p>
      <w:pPr>
        <w:pStyle w:val="ListBullet"/>
      </w:pPr>
      <w:r>
        <w:t>Any statement about the car in 2040 / 2050: the car-to-LRT shift is an order of magnitude and does not respond to road conditions in this model.</w:t>
      </w:r>
    </w:p>
    <w:p>
      <w:pPr>
        <w:pStyle w:val="ListBullet"/>
      </w:pPr>
      <w:r>
        <w:t>A new-market claim: most LRT riders are today's Metronit and bus riders on a faster vehicle; the net addition to transit is the car shift, a few hundred to a thousand trips in three hours.</w:t>
      </w:r>
    </w:p>
    <w:p>
      <w:pPr>
        <w:pStyle w:val="ListBullet"/>
      </w:pPr>
      <w:r>
        <w:t>Station-level or TAZ-level numbers as such, or anything about the main route's own operation, which is assumed.</w:t>
      </w:r>
    </w:p>
    <w:p>
      <w:r>
        <w:br w:type="page"/>
      </w:r>
    </w:p>
    <w:p>
      <w:pPr>
        <w:pStyle w:val="Heading1"/>
      </w:pPr>
      <w:r>
        <w:t>1. Goal and objectives</w:t>
      </w:r>
    </w:p>
    <w:p>
      <w:r>
        <w:t>The Nofit light-rail line (Hamifrats – Nazareth, the "main route") is under construction. The study asks what demand an extension of that line from Hamifrats through Haifa to Tirat Carmel (the "extension", 24 stations, 18.7 km along the Haifa seafront and the lower city) would carry, where that demand comes from, and how it depends on how the extension is operated and on how the metropolis grows.</w:t>
      </w:r>
    </w:p>
    <w:p>
      <w:r>
        <w:t>The objectives, in the order the work addressed them:</w:t>
      </w:r>
    </w:p>
    <w:p>
      <w:pPr>
        <w:pStyle w:val="ListBullet"/>
      </w:pPr>
      <w:r>
        <w:t>Build a base-year (2022) picture of the morning-peak travel market on the corridor — car, bus, Metronit BRT, rail — at the level of traffic analysis zones (TAZs), from the household travel survey and the ticketing, timetable and speed data available, and test it against independent counts.</w:t>
      </w:r>
    </w:p>
    <w:p>
      <w:pPr>
        <w:pStyle w:val="ListBullet"/>
      </w:pPr>
      <w:r>
        <w:t>Grow that base to 2040 and 2050 under the two demographic scenarios of the metropolitan forecast (BU, business as usual; HS, high scenario), holding travel behaviour at 2022.</w:t>
      </w:r>
    </w:p>
    <w:p>
      <w:pPr>
        <w:pStyle w:val="ListBullet"/>
      </w:pPr>
      <w:r>
        <w:t>Build the level of service (travel time, access, waiting, transfers) of the car and of every transit alternative — bus, Metronit, train and the planned LRT — on the same geography, from the May 2026 timetable and measured speeds.</w:t>
      </w:r>
    </w:p>
    <w:p>
      <w:pPr>
        <w:pStyle w:val="ListBullet"/>
      </w:pPr>
      <w:r>
        <w:t>Estimate the demand the LRT would capture from bus, Metronit and car when it is added to that service, for the main route + extension run as one line, in two operating regimes of the extension (Prioritized: full priority at interchanges; Unprioritized: at grade), in the AM and PM peaks, by scenario.</w:t>
      </w:r>
    </w:p>
    <w:p>
      <w:pPr>
        <w:pStyle w:val="ListBullet"/>
      </w:pPr>
      <w:r>
        <w:t>Report what the extension itself carries as a part of the through line: trips that use at least one segment between S01 and S24 (Tirat Carmel – Hamifrats).</w:t>
      </w:r>
    </w:p>
    <w:p>
      <w:pPr>
        <w:pStyle w:val="ListBullet"/>
      </w:pPr>
      <w:r>
        <w:t>State what the chain can and cannot be used for, with every caveat found on the way.</w:t>
      </w:r>
    </w:p>
    <w:p>
      <w:r>
        <w:t>What the study is not: it is not a capacity, frequency or fare study, not an economic appraisal, and not a calibrated four-step regional model. It is a corridor demand screening built from observed data with a transparent, documented chain, intended to size and locate the market and to rank alternatives.</w:t>
      </w:r>
    </w:p>
    <w:p>
      <w:pPr>
        <w:pStyle w:val="Heading1"/>
      </w:pPr>
      <w:r>
        <w:t>2. The model — structure, data and approach</w:t>
      </w:r>
    </w:p>
    <w:p>
      <w:pPr>
        <w:pStyle w:val="Heading2"/>
      </w:pPr>
      <w:r>
        <w:t>2.1 Structure</w:t>
      </w:r>
    </w:p>
    <w:p>
      <w:r>
        <w:t>The "model" is a chain of 45 documented, reproducible steps (Jupyter notebooks). It has four blocks:</w:t>
      </w:r>
    </w:p>
    <w:p>
      <w:pPr>
        <w:pStyle w:val="ListBullet"/>
      </w:pPr>
      <w:r>
        <w:t>Base-year matrices (steps 1–22). Person-journey trip matrices for the AM peak 06:00–09:00 (and, in a later wave, PM 16:00–19:00 and midday) by mode on 778 TAZs of the northern district, built from the 2017/18 household travel survey (THS) with household expansion weights, the bus layer calibrated to the May 2022 RavKav (smart-card) linked journeys with the on-board survey's destination pattern, rail from the national ridership series, and all layers moved from 2018 to a 2022 vintage. Product: Output/final_2022/ (car, transit, total TAZ matrices).</w:t>
      </w:r>
    </w:p>
    <w:p>
      <w:pPr>
        <w:pStyle w:val="ListBullet"/>
      </w:pPr>
      <w:r>
        <w:t>Forecast matrices (step 23). The 2022 matrices moved to 2040 and 2050 under BU and HS by population and employment per TAZ (land-use indices fitted on 2022 demand, Furness balancing per layer), trip rates, destination choice and mode split held at 2022. Product: Output/forecast_taz/{BU_2040, BU_2050, HS_2040, HS_2050}/.</w:t>
      </w:r>
    </w:p>
    <w:p>
      <w:pPr>
        <w:pStyle w:val="ListBullet"/>
      </w:pPr>
      <w:r>
        <w:t>Level of service (steps 25–30, 37, 43, 44). Travel-time, access, wait and transfer components for every mode on the 25 corridor areas and on the 781 TAZs: car routed over the May 2026 car-speed network; bus and Metronit from the Ministry of Transport GTFS of 22 May 2026 (services of Tuesday 2 June 2026) with running times taken from the May 2026 measured bus link speeds; the LRT from the calibrated stop-to-stop function (transferred from the Tel Aviv Red Line) on the planned alignment and stations; combined into a generalized cost GC = in-vehicle time + 2 × walk + 2 × wait + 8 min per transfer (the central set of the out-of-vehicle-weights research).</w:t>
      </w:r>
    </w:p>
    <w:p>
      <w:pPr>
        <w:pStyle w:val="ListBullet"/>
      </w:pPr>
      <w:r>
        <w:t>LRT capture (steps 31–33, 39, 40, 45). An incremental-logit pivot on the observed 2022 mode shares per TAZ pair: within the transit nest the LRT path competes with the bus / Metronit path (binary logit, sensitivity λ_T = 0.06 per generalized minute, an LRT premium of 5 generalized minutes over a bus path and 2.5 over a Metronit path); the improvement of the transit nest's composite cost (logsum) shifts trips from the car (λ = 0.03). The shares are Empirical-Bayes smoothed towards the area pair (k = 20) before the pivot. Step 45 runs this per alternative, regime, period and scenario and loads the LRT trips onto the line between the cheapest-access stations at each end.</w:t>
      </w:r>
    </w:p>
    <w:p>
      <w:r>
        <w:drawing>
          <wp:inline xmlns:a="http://schemas.openxmlformats.org/drawingml/2006/main" xmlns:pic="http://schemas.openxmlformats.org/drawingml/2006/picture">
            <wp:extent cx="5400000" cy="3436364"/>
            <wp:docPr id="1" name="Picture 1"/>
            <wp:cNvGraphicFramePr>
              <a:graphicFrameLocks noChangeAspect="1"/>
            </wp:cNvGraphicFramePr>
            <a:graphic>
              <a:graphicData uri="http://schemas.openxmlformats.org/drawingml/2006/picture">
                <pic:pic>
                  <pic:nvPicPr>
                    <pic:cNvPr id="0" name="lrt_alternatives_lines.png"/>
                    <pic:cNvPicPr/>
                  </pic:nvPicPr>
                  <pic:blipFill>
                    <a:blip r:embed="rId9"/>
                    <a:stretch>
                      <a:fillRect/>
                    </a:stretch>
                  </pic:blipFill>
                  <pic:spPr>
                    <a:xfrm>
                      <a:off x="0" y="0"/>
                      <a:ext cx="5400000" cy="3436364"/>
                    </a:xfrm>
                    <a:prstGeom prst="rect"/>
                  </pic:spPr>
                </pic:pic>
              </a:graphicData>
            </a:graphic>
          </wp:inline>
        </w:drawing>
      </w:r>
    </w:p>
    <w:p>
      <w:r>
        <w:rPr>
          <w:i/>
          <w:sz w:val="16"/>
        </w:rPr>
        <w:t>Figure 2.1 — The main route (M01–M20, under construction) and the extension (S01–S24) with the corridor areas. Source: Output/figures/lrt_alternatives_lines.png (step 45).</w:t>
      </w:r>
    </w:p>
    <w:p>
      <w:pPr>
        <w:pStyle w:val="Heading2"/>
      </w:pPr>
      <w:r>
        <w:t>2.2 Data inputs and their dates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4"/>
              </w:rPr>
              <w:t>Input</w:t>
            </w:r>
          </w:p>
        </w:tc>
        <w:tc>
          <w:tcPr>
            <w:tcW w:type="dxa" w:w="2493"/>
          </w:tcPr>
          <w:p>
            <w:r>
              <w:rPr>
                <w:b/>
                <w:sz w:val="14"/>
              </w:rPr>
              <w:t>Date / vintage</w:t>
            </w:r>
          </w:p>
        </w:tc>
        <w:tc>
          <w:tcPr>
            <w:tcW w:type="dxa" w:w="2493"/>
          </w:tcPr>
          <w:p>
            <w:r>
              <w:rPr>
                <w:b/>
                <w:sz w:val="14"/>
              </w:rPr>
              <w:t>Where</w:t>
            </w:r>
          </w:p>
        </w:tc>
        <w:tc>
          <w:tcPr>
            <w:tcW w:type="dxa" w:w="2493"/>
          </w:tcPr>
          <w:p>
            <w:r>
              <w:rPr>
                <w:b/>
                <w:sz w:val="14"/>
              </w:rPr>
              <w:t>Used for</w:t>
            </w:r>
          </w:p>
        </w:tc>
      </w:tr>
      <w:tr>
        <w:tc>
          <w:tcPr>
            <w:tcW w:type="dxa" w:w="2493"/>
          </w:tcPr>
          <w:p>
            <w:r>
              <w:rPr>
                <w:sz w:val="14"/>
              </w:rPr>
              <w:t>Household travel survey (THS) 2017/18 — trips file, persons, households, activity diary</w:t>
            </w:r>
          </w:p>
        </w:tc>
        <w:tc>
          <w:tcPr>
            <w:tcW w:type="dxa" w:w="2493"/>
          </w:tcPr>
          <w:p>
            <w:r>
              <w:rPr>
                <w:sz w:val="14"/>
              </w:rPr>
              <w:t>2017–2018 (survey years)</w:t>
            </w:r>
          </w:p>
        </w:tc>
        <w:tc>
          <w:tcPr>
            <w:tcW w:type="dxa" w:w="2493"/>
          </w:tcPr>
          <w:p>
            <w:r>
              <w:rPr>
                <w:sz w:val="14"/>
              </w:rPr>
              <w:t>Input/THS_2017-2018/</w:t>
            </w:r>
          </w:p>
        </w:tc>
        <w:tc>
          <w:tcPr>
            <w:tcW w:type="dxa" w:w="2493"/>
          </w:tcPr>
          <w:p>
            <w:r>
              <w:rPr>
                <w:sz w:val="14"/>
              </w:rPr>
              <w:t>Base matrices by mode, trip rates, person-level λ (steps 1–22, 33)</w:t>
            </w:r>
          </w:p>
        </w:tc>
      </w:tr>
      <w:tr>
        <w:tc>
          <w:tcPr>
            <w:tcW w:type="dxa" w:w="2493"/>
          </w:tcPr>
          <w:p>
            <w:r>
              <w:rPr>
                <w:sz w:val="14"/>
              </w:rPr>
              <w:t>Cellular OD, average weekday, hourly, national 1270 zones</w:t>
            </w:r>
          </w:p>
        </w:tc>
        <w:tc>
          <w:tcPr>
            <w:tcW w:type="dxa" w:w="2493"/>
          </w:tcPr>
          <w:p>
            <w:r>
              <w:rPr>
                <w:sz w:val="14"/>
              </w:rPr>
              <w:t>2018–2019</w:t>
            </w:r>
          </w:p>
        </w:tc>
        <w:tc>
          <w:tcPr>
            <w:tcW w:type="dxa" w:w="2493"/>
          </w:tcPr>
          <w:p>
            <w:r>
              <w:rPr>
                <w:sz w:val="14"/>
              </w:rPr>
              <w:t>Input/Matrices/AvgDayHourlyTrips201819_…</w:t>
            </w:r>
          </w:p>
        </w:tc>
        <w:tc>
          <w:tcPr>
            <w:tcW w:type="dxa" w:w="2493"/>
          </w:tcPr>
          <w:p>
            <w:r>
              <w:rPr>
                <w:sz w:val="14"/>
              </w:rPr>
              <w:t>Validation of the survey matrices (step 1b, MoT T5)</w:t>
            </w:r>
          </w:p>
        </w:tc>
      </w:tr>
      <w:tr>
        <w:tc>
          <w:tcPr>
            <w:tcW w:type="dxa" w:w="2493"/>
          </w:tcPr>
          <w:p>
            <w:r>
              <w:rPr>
                <w:sz w:val="14"/>
              </w:rPr>
              <w:t>RavKav linked journeys (bus), May 2022</w:t>
            </w:r>
          </w:p>
        </w:tc>
        <w:tc>
          <w:tcPr>
            <w:tcW w:type="dxa" w:w="2493"/>
          </w:tcPr>
          <w:p>
            <w:r>
              <w:rPr>
                <w:sz w:val="14"/>
              </w:rPr>
              <w:t>May 2022</w:t>
            </w:r>
          </w:p>
        </w:tc>
        <w:tc>
          <w:tcPr>
            <w:tcW w:type="dxa" w:w="2493"/>
          </w:tcPr>
          <w:p>
            <w:r>
              <w:rPr>
                <w:sz w:val="14"/>
              </w:rPr>
              <w:t>Input/BusRavKav/May_2022/</w:t>
            </w:r>
          </w:p>
        </w:tc>
        <w:tc>
          <w:tcPr>
            <w:tcW w:type="dxa" w:w="2493"/>
          </w:tcPr>
          <w:p>
            <w:r>
              <w:rPr>
                <w:sz w:val="14"/>
              </w:rPr>
              <w:t>Bus calibration and the destination pattern (steps 8–9, 15)</w:t>
            </w:r>
          </w:p>
        </w:tc>
      </w:tr>
      <w:tr>
        <w:tc>
          <w:tcPr>
            <w:tcW w:type="dxa" w:w="2493"/>
          </w:tcPr>
          <w:p>
            <w:r>
              <w:rPr>
                <w:sz w:val="14"/>
              </w:rPr>
              <w:t>RavKav 2025 boarding taps — Metronit, rail, national bus</w:t>
            </w:r>
          </w:p>
        </w:tc>
        <w:tc>
          <w:tcPr>
            <w:tcW w:type="dxa" w:w="2493"/>
          </w:tcPr>
          <w:p>
            <w:r>
              <w:rPr>
                <w:sz w:val="14"/>
              </w:rPr>
              <w:t>51–52 Tuesdays of 2025, 06:00–09:00</w:t>
            </w:r>
          </w:p>
        </w:tc>
        <w:tc>
          <w:tcPr>
            <w:tcW w:type="dxa" w:w="2493"/>
          </w:tcPr>
          <w:p>
            <w:r>
              <w:rPr>
                <w:sz w:val="14"/>
              </w:rPr>
              <w:t>Input/BusRavKav/2025/</w:t>
            </w:r>
          </w:p>
        </w:tc>
        <w:tc>
          <w:tcPr>
            <w:tcW w:type="dxa" w:w="2493"/>
          </w:tcPr>
          <w:p>
            <w:r>
              <w:rPr>
                <w:sz w:val="14"/>
              </w:rPr>
              <w:t>Boardings by stop and TAZ, Metronit and rail OD (steps 34, 41; MoT T7, T14)</w:t>
            </w:r>
          </w:p>
        </w:tc>
      </w:tr>
      <w:tr>
        <w:tc>
          <w:tcPr>
            <w:tcW w:type="dxa" w:w="2493"/>
          </w:tcPr>
          <w:p>
            <w:r>
              <w:rPr>
                <w:sz w:val="14"/>
              </w:rPr>
              <w:t>On-board bus survey destination probabilities by TAZ</w:t>
            </w:r>
          </w:p>
        </w:tc>
        <w:tc>
          <w:tcPr>
            <w:tcW w:type="dxa" w:w="2493"/>
          </w:tcPr>
          <w:p>
            <w:r>
              <w:rPr>
                <w:sz w:val="14"/>
              </w:rPr>
              <w:t>2022 (delivered with the RavKav 2022 work)</w:t>
            </w:r>
          </w:p>
        </w:tc>
        <w:tc>
          <w:tcPr>
            <w:tcW w:type="dxa" w:w="2493"/>
          </w:tcPr>
          <w:p>
            <w:r>
              <w:rPr>
                <w:sz w:val="14"/>
              </w:rPr>
              <w:t>Input/6_9_BusProbability_ByTAZ.xlsx</w:t>
            </w:r>
          </w:p>
        </w:tc>
        <w:tc>
          <w:tcPr>
            <w:tcW w:type="dxa" w:w="2493"/>
          </w:tcPr>
          <w:p>
            <w:r>
              <w:rPr>
                <w:sz w:val="14"/>
              </w:rPr>
              <w:t>Destination pattern below super-zone level (step 9)</w:t>
            </w:r>
          </w:p>
        </w:tc>
      </w:tr>
      <w:tr>
        <w:tc>
          <w:tcPr>
            <w:tcW w:type="dxa" w:w="2493"/>
          </w:tcPr>
          <w:p>
            <w:r>
              <w:rPr>
                <w:sz w:val="14"/>
              </w:rPr>
              <w:t>Zonal population and employment 2020, BU 2025; forecast files BU / HS 2040, 2050</w:t>
            </w:r>
          </w:p>
        </w:tc>
        <w:tc>
          <w:tcPr>
            <w:tcW w:type="dxa" w:w="2493"/>
          </w:tcPr>
          <w:p>
            <w:r>
              <w:rPr>
                <w:sz w:val="14"/>
              </w:rPr>
              <w:t>2020 base; forecast vintage of the metropolitan model</w:t>
            </w:r>
          </w:p>
        </w:tc>
        <w:tc>
          <w:tcPr>
            <w:tcW w:type="dxa" w:w="2493"/>
          </w:tcPr>
          <w:p>
            <w:r>
              <w:rPr>
                <w:sz w:val="14"/>
              </w:rPr>
              <w:t>Input/Zonal_2020.csv, Input/Demographic_Forecast/</w:t>
            </w:r>
          </w:p>
        </w:tc>
        <w:tc>
          <w:tcPr>
            <w:tcW w:type="dxa" w:w="2493"/>
          </w:tcPr>
          <w:p>
            <w:r>
              <w:rPr>
                <w:sz w:val="14"/>
              </w:rPr>
              <w:t>Vintage alignment to 2022 and the 2040 / 2050 growth (steps 11, 23)</w:t>
            </w:r>
          </w:p>
        </w:tc>
      </w:tr>
      <w:tr>
        <w:tc>
          <w:tcPr>
            <w:tcW w:type="dxa" w:w="2493"/>
          </w:tcPr>
          <w:p>
            <w:r>
              <w:rPr>
                <w:sz w:val="14"/>
              </w:rPr>
              <w:t>National rail ridership series</w:t>
            </w:r>
          </w:p>
        </w:tc>
        <w:tc>
          <w:tcPr>
            <w:tcW w:type="dxa" w:w="2493"/>
          </w:tcPr>
          <w:p>
            <w:r>
              <w:rPr>
                <w:sz w:val="14"/>
              </w:rPr>
              <w:t>to 2022</w:t>
            </w:r>
          </w:p>
        </w:tc>
        <w:tc>
          <w:tcPr>
            <w:tcW w:type="dxa" w:w="2493"/>
          </w:tcPr>
          <w:p>
            <w:r>
              <w:rPr>
                <w:sz w:val="14"/>
              </w:rPr>
              <w:t>public series (step 10)</w:t>
            </w:r>
          </w:p>
        </w:tc>
        <w:tc>
          <w:tcPr>
            <w:tcW w:type="dxa" w:w="2493"/>
          </w:tcPr>
          <w:p>
            <w:r>
              <w:rPr>
                <w:sz w:val="14"/>
              </w:rPr>
              <w:t>Rail growth 2018 → 2022</w:t>
            </w:r>
          </w:p>
        </w:tc>
      </w:tr>
      <w:tr>
        <w:tc>
          <w:tcPr>
            <w:tcW w:type="dxa" w:w="2493"/>
          </w:tcPr>
          <w:p>
            <w:r>
              <w:rPr>
                <w:sz w:val="14"/>
              </w:rPr>
              <w:t>Emme highway network of the north with hourly traffic counts</w:t>
            </w:r>
          </w:p>
        </w:tc>
        <w:tc>
          <w:tcPr>
            <w:tcW w:type="dxa" w:w="2493"/>
          </w:tcPr>
          <w:p>
            <w:r>
              <w:rPr>
                <w:sz w:val="14"/>
              </w:rPr>
              <w:t>counts 2017–2023 (station dates in the file; network of 23 Sep 2026)</w:t>
            </w:r>
          </w:p>
        </w:tc>
        <w:tc>
          <w:tcPr>
            <w:tcW w:type="dxa" w:w="2493"/>
          </w:tcPr>
          <w:p>
            <w:r>
              <w:rPr>
                <w:sz w:val="14"/>
              </w:rPr>
              <w:t>Input/Network_with_Counts/</w:t>
            </w:r>
          </w:p>
        </w:tc>
        <w:tc>
          <w:tcPr>
            <w:tcW w:type="dxa" w:w="2493"/>
          </w:tcPr>
          <w:p>
            <w:r>
              <w:rPr>
                <w:sz w:val="14"/>
              </w:rPr>
              <w:t>Car layer against road counts, all-or-nothing assignment (steps 36, 42; MoT T8, T11, T12)</w:t>
            </w:r>
          </w:p>
        </w:tc>
      </w:tr>
      <w:tr>
        <w:tc>
          <w:tcPr>
            <w:tcW w:type="dxa" w:w="2493"/>
          </w:tcPr>
          <w:p>
            <w:r>
              <w:rPr>
                <w:sz w:val="14"/>
              </w:rPr>
              <w:t>Ministry of Transport national GTFS feed</w:t>
            </w:r>
          </w:p>
        </w:tc>
        <w:tc>
          <w:tcPr>
            <w:tcW w:type="dxa" w:w="2493"/>
          </w:tcPr>
          <w:p>
            <w:r>
              <w:rPr>
                <w:sz w:val="14"/>
              </w:rPr>
              <w:t>feed of 22 May 2026; services of Tuesday 2 June 2026</w:t>
            </w:r>
          </w:p>
        </w:tc>
        <w:tc>
          <w:tcPr>
            <w:tcW w:type="dxa" w:w="2493"/>
          </w:tcPr>
          <w:p>
            <w:r>
              <w:rPr>
                <w:sz w:val="14"/>
              </w:rPr>
              <w:t>Input/GTFS/israel-public-transportation.zip</w:t>
            </w:r>
          </w:p>
        </w:tc>
        <w:tc>
          <w:tcPr>
            <w:tcW w:type="dxa" w:w="2493"/>
          </w:tcPr>
          <w:p>
            <w:r>
              <w:rPr>
                <w:sz w:val="14"/>
              </w:rPr>
              <w:t>Bus, Metronit and train level of service, time on route (steps 29, 30, 44, 45)</w:t>
            </w:r>
          </w:p>
        </w:tc>
      </w:tr>
      <w:tr>
        <w:tc>
          <w:tcPr>
            <w:tcW w:type="dxa" w:w="2493"/>
          </w:tcPr>
          <w:p>
            <w:r>
              <w:rPr>
                <w:sz w:val="14"/>
              </w:rPr>
              <w:t>Bus link speeds on the street network (operator data)</w:t>
            </w:r>
          </w:p>
        </w:tc>
        <w:tc>
          <w:tcPr>
            <w:tcW w:type="dxa" w:w="2493"/>
          </w:tcPr>
          <w:p>
            <w:r>
              <w:rPr>
                <w:sz w:val="14"/>
              </w:rPr>
              <w:t>May 2026, by weekday and hour</w:t>
            </w:r>
          </w:p>
        </w:tc>
        <w:tc>
          <w:tcPr>
            <w:tcW w:type="dxa" w:w="2493"/>
          </w:tcPr>
          <w:p>
            <w:r>
              <w:rPr>
                <w:sz w:val="14"/>
              </w:rPr>
              <w:t>Input/BusSpeedData/ (Streets.shp, std_202605.csv)</w:t>
            </w:r>
          </w:p>
        </w:tc>
        <w:tc>
          <w:tcPr>
            <w:tcW w:type="dxa" w:w="2493"/>
          </w:tcPr>
          <w:p>
            <w:r>
              <w:rPr>
                <w:sz w:val="14"/>
              </w:rPr>
              <w:t>Observed bus running times; the routing topology (steps 30, 37, 43)</w:t>
            </w:r>
          </w:p>
        </w:tc>
      </w:tr>
      <w:tr>
        <w:tc>
          <w:tcPr>
            <w:tcW w:type="dxa" w:w="2493"/>
          </w:tcPr>
          <w:p>
            <w:r>
              <w:rPr>
                <w:sz w:val="14"/>
              </w:rPr>
              <w:t>Car link speeds, whole country (GoogleSpeed)</w:t>
            </w:r>
          </w:p>
        </w:tc>
        <w:tc>
          <w:tcPr>
            <w:tcW w:type="dxa" w:w="2493"/>
          </w:tcPr>
          <w:p>
            <w:r>
              <w:rPr>
                <w:sz w:val="14"/>
              </w:rPr>
              <w:t>May 2026, by hour (no weekday dimension)</w:t>
            </w:r>
          </w:p>
        </w:tc>
        <w:tc>
          <w:tcPr>
            <w:tcW w:type="dxa" w:w="2493"/>
          </w:tcPr>
          <w:p>
            <w:r>
              <w:rPr>
                <w:sz w:val="14"/>
              </w:rPr>
              <w:t>Input/CarSpeedData/GoogleSpeed_202605/</w:t>
            </w:r>
          </w:p>
        </w:tc>
        <w:tc>
          <w:tcPr>
            <w:tcW w:type="dxa" w:w="2493"/>
          </w:tcPr>
          <w:p>
            <w:r>
              <w:rPr>
                <w:sz w:val="14"/>
              </w:rPr>
              <w:t>Car skims by TAZ and area (steps 43, 37, 44)</w:t>
            </w:r>
          </w:p>
        </w:tc>
      </w:tr>
      <w:tr>
        <w:tc>
          <w:tcPr>
            <w:tcW w:type="dxa" w:w="2493"/>
          </w:tcPr>
          <w:p>
            <w:r>
              <w:rPr>
                <w:sz w:val="14"/>
              </w:rPr>
              <w:t>Planned LRT extension alignment and platforms (hf_lrt_3)</w:t>
            </w:r>
          </w:p>
        </w:tc>
        <w:tc>
          <w:tcPr>
            <w:tcW w:type="dxa" w:w="2493"/>
          </w:tcPr>
          <w:p>
            <w:r>
              <w:rPr>
                <w:sz w:val="14"/>
              </w:rPr>
              <w:t>delivered 22 Sep 2026</w:t>
            </w:r>
          </w:p>
        </w:tc>
        <w:tc>
          <w:tcPr>
            <w:tcW w:type="dxa" w:w="2493"/>
          </w:tcPr>
          <w:p>
            <w:r>
              <w:rPr>
                <w:sz w:val="14"/>
              </w:rPr>
              <w:t>Input/GeneralHalufa/</w:t>
            </w:r>
          </w:p>
        </w:tc>
        <w:tc>
          <w:tcPr>
            <w:tcW w:type="dxa" w:w="2493"/>
          </w:tcPr>
          <w:p>
            <w:r>
              <w:rPr>
                <w:sz w:val="14"/>
              </w:rPr>
              <w:t>24 stations, station-to-station times (step 25)</w:t>
            </w:r>
          </w:p>
        </w:tc>
      </w:tr>
      <w:tr>
        <w:tc>
          <w:tcPr>
            <w:tcW w:type="dxa" w:w="2493"/>
          </w:tcPr>
          <w:p>
            <w:r>
              <w:rPr>
                <w:sz w:val="14"/>
              </w:rPr>
              <w:t>Main Nofit route (under construction) and its 20 stop nodes</w:t>
            </w:r>
          </w:p>
        </w:tc>
        <w:tc>
          <w:tcPr>
            <w:tcW w:type="dxa" w:w="2493"/>
          </w:tcPr>
          <w:p>
            <w:r>
              <w:rPr>
                <w:sz w:val="14"/>
              </w:rPr>
              <w:t>delivered 5 Oct 2026</w:t>
            </w:r>
          </w:p>
        </w:tc>
        <w:tc>
          <w:tcPr>
            <w:tcW w:type="dxa" w:w="2493"/>
          </w:tcPr>
          <w:p>
            <w:r>
              <w:rPr>
                <w:sz w:val="14"/>
              </w:rPr>
              <w:t>Input/Main_Nofit/</w:t>
            </w:r>
          </w:p>
        </w:tc>
        <w:tc>
          <w:tcPr>
            <w:tcW w:type="dxa" w:w="2493"/>
          </w:tcPr>
          <w:p>
            <w:r>
              <w:rPr>
                <w:sz w:val="14"/>
              </w:rPr>
              <w:t>Main-route stations and running time at 80 km/h (step 45)</w:t>
            </w:r>
          </w:p>
        </w:tc>
      </w:tr>
      <w:tr>
        <w:tc>
          <w:tcPr>
            <w:tcW w:type="dxa" w:w="2493"/>
          </w:tcPr>
          <w:p>
            <w:r>
              <w:rPr>
                <w:sz w:val="14"/>
              </w:rPr>
              <w:t>Corridor aggregation V2 — 25 areas, 174 TAZs, three route orders</w:t>
            </w:r>
          </w:p>
        </w:tc>
        <w:tc>
          <w:tcPr>
            <w:tcW w:type="dxa" w:w="2493"/>
          </w:tcPr>
          <w:p>
            <w:r>
              <w:rPr>
                <w:sz w:val="14"/>
              </w:rPr>
              <w:t>delivered 22 Sep 2026</w:t>
            </w:r>
          </w:p>
        </w:tc>
        <w:tc>
          <w:tcPr>
            <w:tcW w:type="dxa" w:w="2493"/>
          </w:tcPr>
          <w:p>
            <w:r>
              <w:rPr>
                <w:sz w:val="14"/>
              </w:rPr>
              <w:t>Input/Corridor_TAZ_Agg_V2.xlsx</w:t>
            </w:r>
          </w:p>
        </w:tc>
        <w:tc>
          <w:tcPr>
            <w:tcW w:type="dxa" w:w="2493"/>
          </w:tcPr>
          <w:p>
            <w:r>
              <w:rPr>
                <w:sz w:val="14"/>
              </w:rPr>
              <w:t>Reporting geography, area skims, EB smoothing (steps 24–45)</w:t>
            </w:r>
          </w:p>
        </w:tc>
      </w:tr>
      <w:tr>
        <w:tc>
          <w:tcPr>
            <w:tcW w:type="dxa" w:w="2493"/>
          </w:tcPr>
          <w:p>
            <w:r>
              <w:rPr>
                <w:sz w:val="14"/>
              </w:rPr>
              <w:t>Transit travel-time calibration (Tel Aviv Red Line, operator 22)</w:t>
            </w:r>
          </w:p>
        </w:tc>
        <w:tc>
          <w:tcPr>
            <w:tcW w:type="dxa" w:w="2493"/>
          </w:tcPr>
          <w:p>
            <w:r>
              <w:rPr>
                <w:sz w:val="14"/>
              </w:rPr>
              <w:t>2024–2025 operating data (calibration report)</w:t>
            </w:r>
          </w:p>
        </w:tc>
        <w:tc>
          <w:tcPr>
            <w:tcW w:type="dxa" w:w="2493"/>
          </w:tcPr>
          <w:p>
            <w:r>
              <w:rPr>
                <w:sz w:val="14"/>
              </w:rPr>
              <w:t>docs/Transit_Travel_Time_Calibration_Report_Operator22.md</w:t>
            </w:r>
          </w:p>
        </w:tc>
        <w:tc>
          <w:tcPr>
            <w:tcW w:type="dxa" w:w="2493"/>
          </w:tcPr>
          <w:p>
            <w:r>
              <w:rPr>
                <w:sz w:val="14"/>
              </w:rPr>
              <w:t>Stop-to-stop LRT running-time function, underground / ground (step 25)</w:t>
            </w:r>
          </w:p>
        </w:tc>
      </w:tr>
      <w:tr>
        <w:tc>
          <w:tcPr>
            <w:tcW w:type="dxa" w:w="2493"/>
          </w:tcPr>
          <w:p>
            <w:r>
              <w:rPr>
                <w:sz w:val="14"/>
              </w:rPr>
              <w:t>Out-of-vehicle weights research (literature and the calibrated Israeli models)</w:t>
            </w:r>
          </w:p>
        </w:tc>
        <w:tc>
          <w:tcPr>
            <w:tcW w:type="dxa" w:w="2493"/>
          </w:tcPr>
          <w:p>
            <w:r>
              <w:rPr>
                <w:sz w:val="14"/>
              </w:rPr>
              <w:t>executed 4 Oct 2026</w:t>
            </w:r>
          </w:p>
        </w:tc>
        <w:tc>
          <w:tcPr>
            <w:tcW w:type="dxa" w:w="2493"/>
          </w:tcPr>
          <w:p>
            <w:r>
              <w:rPr>
                <w:sz w:val="14"/>
              </w:rPr>
              <w:t>docs/OVT_WEIGHTS_PARAMETER_MEMO.md</w:t>
            </w:r>
          </w:p>
        </w:tc>
        <w:tc>
          <w:tcPr>
            <w:tcW w:type="dxa" w:w="2493"/>
          </w:tcPr>
          <w:p>
            <w:r>
              <w:rPr>
                <w:sz w:val="14"/>
              </w:rPr>
              <w:t>Walk / wait weights, transfer penalties, LRT premium (steps 44, 45)</w:t>
            </w:r>
          </w:p>
        </w:tc>
      </w:tr>
    </w:tbl>
    <w:p>
      <w:pPr>
        <w:pStyle w:val="Heading2"/>
      </w:pPr>
      <w:r>
        <w:t>2.3 Approach</w:t>
      </w:r>
    </w:p>
    <w:p>
      <w:pPr>
        <w:pStyle w:val="ListBullet"/>
      </w:pPr>
      <w:r>
        <w:t>Trips, not vehicles. Every matrix is person journeys of residents of the study area with both ends inside it, in the three-hour peak. Car occupancy (1.33 AM) and PCE factors enter only where the car layer is compared with counts.</w:t>
      </w:r>
    </w:p>
    <w:p>
      <w:pPr>
        <w:pStyle w:val="ListBullet"/>
      </w:pPr>
      <w:r>
        <w:t>Two geographies. TAZs (781) for routing, access and the pivot; the 25 corridor areas for reporting, for the Empirical-Bayes prior and for the line profiles. The corridor market is the 174 TAZs of the V2 aggregation; demand is counted on pairs of TAZs in different areas.</w:t>
      </w:r>
    </w:p>
    <w:p>
      <w:pPr>
        <w:pStyle w:val="ListBullet"/>
      </w:pPr>
      <w:r>
        <w:t>Level of service from measured data. Car and bus times are the May 2026 observed speeds (07:00 for AM, 17:00 for PM), not modelled congestion; the transit service is the actual timetable with wait = half the combined headway (capped at 10 min), access by walking at 4 km/h × 1.3 detour within 1 km, transfers within 300 m.</w:t>
      </w:r>
    </w:p>
    <w:p>
      <w:pPr>
        <w:pStyle w:val="ListBullet"/>
      </w:pPr>
      <w:r>
        <w:t>Level of service held at May 2026 in every scenario-year. The 2040 / 2050 runs use today's car and bus times while the corridor demand grows by 30–60 %: the regional model's future network is not available, and degrading today's network with tomorrow's demand while leaving out every planned road and transit scheme would be the worse assumption. What slower buses would do is tested in section 4.9 (+2 % of LRT trips in 2040, +4–5 % in 2050); a slower car cannot register in the pivot at all (see below).</w:t>
      </w:r>
    </w:p>
    <w:p>
      <w:pPr>
        <w:pStyle w:val="ListBullet"/>
      </w:pPr>
      <w:r>
        <w:t>The LRT as a new path inside the transit nest. For each TAZ pair the LRT path is the cheapest-access station at each end (gateway rule), its running time, a 2.5-min wait (5-min headway), 0.5 min station access per end, and a feeder leg by bus (8-min penalty) or Metronit (4-min penalty) where the stations are beyond walking distance. The LRT premium of 5 generalized minutes over a bus path and 2.5 over a Metronit path comes from the in-vehicle-time multipliers of the calibrated Israeli models (LRT 0.80–0.85 against BRT 0.90–0.95).</w:t>
      </w:r>
    </w:p>
    <w:p>
      <w:pPr>
        <w:pStyle w:val="ListBullet"/>
      </w:pPr>
      <w:r>
        <w:t>Pivot, not re-estimation. The observed 2022 shares per TAZ pair are the anchor; the LRT changes them through P(LRT | transit) and the logsum change. The car's absolute cost cancels in the pivot (caveat 25), so the car-to-LRT shift rests on λ and the transit-side costs alone.</w:t>
      </w:r>
    </w:p>
    <w:p>
      <w:pPr>
        <w:pStyle w:val="ListBullet"/>
      </w:pPr>
      <w:r>
        <w:t>Forecasts as demographic references. The 2040 / 2050 sets move the 2022 pattern with the people and jobs; they carry no service change, no change in car ownership, fares or telework. The PM forecast sets are the PM 2022 base grown at the AM growth per TAZ pair (caveat 28).</w:t>
      </w:r>
    </w:p>
    <w:p>
      <w:pPr>
        <w:pStyle w:val="ListBullet"/>
      </w:pPr>
      <w:r>
        <w:t>Every step is a notebook with its inputs, outputs and checks recorded in METHODOLOGY.md; every result is reproducible from the repository (METHODOLOGY §9).</w:t>
      </w:r>
    </w:p>
    <w:p>
      <w:pPr>
        <w:pStyle w:val="Heading2"/>
      </w:pPr>
      <w:r>
        <w:t>2.4 The generalized cost, in plain terms</w:t>
      </w:r>
    </w:p>
    <w:p>
      <w:r>
        <w:t>The generalized cost is "how long the trip feels", in minutes. Standing at a stop, walking to it and changing vehicles are more irksome than sitting in a moving vehicle, so those minutes count more than once. The result is one number per trip that puts a bus trip, a Metronit trip, an LRT trip and a car trip on the same scale:</w:t>
      </w:r>
    </w:p>
    <w:p>
      <w:r>
        <w:t>GC = in-vehicle time + 2 × walking time + 2 × waiting time + 8 min per transfer (4 min between Metronit and LRT) − LRT premium (5 min over a bus path, 2.5 over a Metronit path)</w:t>
      </w:r>
    </w:p>
    <w:p>
      <w:r>
        <w:t>Waiting is half the headway, capped at 10 minutes. Walking is at 4 km/h on the straight line × 1.3 for the street detour. The transfer penalty is a flat charge for the uncertainty and the hassle of changing vehicles, on top of the actual time; the first boarding is not a transfer. The LRT premium reflects the preference for rail-like vehicles over buses found in the calibrated Israeli models. The car is the drive time on the measured speeds plus 3 minutes for parking and the walk at the ends. Money is out of every mode by decision: the fare is flat and integrated, and no parking-cost data exist for the area.</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t>component (example: Kiryat Haim → Bat Galim)</w:t>
            </w:r>
          </w:p>
        </w:tc>
        <w:tc>
          <w:tcPr>
            <w:tcW w:type="dxa" w:w="3324"/>
          </w:tcPr>
          <w:p>
            <w:r>
              <w:rPr>
                <w:b/>
                <w:sz w:val="16"/>
              </w:rPr>
              <w:t>by bus</w:t>
            </w:r>
          </w:p>
        </w:tc>
        <w:tc>
          <w:tcPr>
            <w:tcW w:type="dxa" w:w="3324"/>
          </w:tcPr>
          <w:p>
            <w:r>
              <w:rPr>
                <w:b/>
                <w:sz w:val="16"/>
              </w:rPr>
              <w:t>by LRT</w:t>
            </w:r>
          </w:p>
        </w:tc>
      </w:tr>
      <w:tr>
        <w:tc>
          <w:tcPr>
            <w:tcW w:type="dxa" w:w="3324"/>
          </w:tcPr>
          <w:p>
            <w:r>
              <w:rPr>
                <w:sz w:val="16"/>
              </w:rPr>
              <w:t>walk to the stop / station</w:t>
            </w:r>
          </w:p>
        </w:tc>
        <w:tc>
          <w:tcPr>
            <w:tcW w:type="dxa" w:w="3324"/>
          </w:tcPr>
          <w:p>
            <w:r>
              <w:rPr>
                <w:sz w:val="16"/>
              </w:rPr>
              <w:t>6 min × 2 = 12</w:t>
            </w:r>
          </w:p>
        </w:tc>
        <w:tc>
          <w:tcPr>
            <w:tcW w:type="dxa" w:w="3324"/>
          </w:tcPr>
          <w:p>
            <w:r>
              <w:rPr>
                <w:sz w:val="16"/>
              </w:rPr>
              <w:t>9 min × 2 = 18</w:t>
            </w:r>
          </w:p>
        </w:tc>
      </w:tr>
      <w:tr>
        <w:tc>
          <w:tcPr>
            <w:tcW w:type="dxa" w:w="3324"/>
          </w:tcPr>
          <w:p>
            <w:r>
              <w:rPr>
                <w:sz w:val="16"/>
              </w:rPr>
              <w:t>wait: 10-min headway → 5 / 5-min headway → 2.5</w:t>
            </w:r>
          </w:p>
        </w:tc>
        <w:tc>
          <w:tcPr>
            <w:tcW w:type="dxa" w:w="3324"/>
          </w:tcPr>
          <w:p>
            <w:r>
              <w:rPr>
                <w:sz w:val="16"/>
              </w:rPr>
              <w:t>5 × 2 = 10</w:t>
            </w:r>
          </w:p>
        </w:tc>
        <w:tc>
          <w:tcPr>
            <w:tcW w:type="dxa" w:w="3324"/>
          </w:tcPr>
          <w:p>
            <w:r>
              <w:rPr>
                <w:sz w:val="16"/>
              </w:rPr>
              <w:t>2.5 × 2 = 5</w:t>
            </w:r>
          </w:p>
        </w:tc>
      </w:tr>
      <w:tr>
        <w:tc>
          <w:tcPr>
            <w:tcW w:type="dxa" w:w="3324"/>
          </w:tcPr>
          <w:p>
            <w:r>
              <w:rPr>
                <w:sz w:val="16"/>
              </w:rPr>
              <w:t>in-vehicle time</w:t>
            </w:r>
          </w:p>
        </w:tc>
        <w:tc>
          <w:tcPr>
            <w:tcW w:type="dxa" w:w="3324"/>
          </w:tcPr>
          <w:p>
            <w:r>
              <w:rPr>
                <w:sz w:val="16"/>
              </w:rPr>
              <w:t>28</w:t>
            </w:r>
          </w:p>
        </w:tc>
        <w:tc>
          <w:tcPr>
            <w:tcW w:type="dxa" w:w="3324"/>
          </w:tcPr>
          <w:p>
            <w:r>
              <w:rPr>
                <w:sz w:val="16"/>
              </w:rPr>
              <w:t>20</w:t>
            </w:r>
          </w:p>
        </w:tc>
      </w:tr>
      <w:tr>
        <w:tc>
          <w:tcPr>
            <w:tcW w:type="dxa" w:w="3324"/>
          </w:tcPr>
          <w:p>
            <w:r>
              <w:rPr>
                <w:sz w:val="16"/>
              </w:rPr>
              <w:t>transfers</w:t>
            </w:r>
          </w:p>
        </w:tc>
        <w:tc>
          <w:tcPr>
            <w:tcW w:type="dxa" w:w="3324"/>
          </w:tcPr>
          <w:p>
            <w:r>
              <w:rPr>
                <w:sz w:val="16"/>
              </w:rPr>
              <w:t>0</w:t>
            </w:r>
          </w:p>
        </w:tc>
        <w:tc>
          <w:tcPr>
            <w:tcW w:type="dxa" w:w="3324"/>
          </w:tcPr>
          <w:p>
            <w:r>
              <w:rPr>
                <w:sz w:val="16"/>
              </w:rPr>
              <w:t>0</w:t>
            </w:r>
          </w:p>
        </w:tc>
      </w:tr>
      <w:tr>
        <w:tc>
          <w:tcPr>
            <w:tcW w:type="dxa" w:w="3324"/>
          </w:tcPr>
          <w:p>
            <w:r>
              <w:rPr>
                <w:sz w:val="16"/>
              </w:rPr>
              <w:t>walk at the end</w:t>
            </w:r>
          </w:p>
        </w:tc>
        <w:tc>
          <w:tcPr>
            <w:tcW w:type="dxa" w:w="3324"/>
          </w:tcPr>
          <w:p>
            <w:r>
              <w:rPr>
                <w:sz w:val="16"/>
              </w:rPr>
              <w:t>4 min × 2 = 8</w:t>
            </w:r>
          </w:p>
        </w:tc>
        <w:tc>
          <w:tcPr>
            <w:tcW w:type="dxa" w:w="3324"/>
          </w:tcPr>
          <w:p>
            <w:r>
              <w:rPr>
                <w:sz w:val="16"/>
              </w:rPr>
              <w:t>5 min × 2 = 10</w:t>
            </w:r>
          </w:p>
        </w:tc>
      </w:tr>
      <w:tr>
        <w:tc>
          <w:tcPr>
            <w:tcW w:type="dxa" w:w="3324"/>
          </w:tcPr>
          <w:p>
            <w:r>
              <w:rPr>
                <w:sz w:val="16"/>
              </w:rPr>
              <w:t>LRT premium</w:t>
            </w:r>
          </w:p>
        </w:tc>
        <w:tc>
          <w:tcPr>
            <w:tcW w:type="dxa" w:w="3324"/>
          </w:tcPr>
          <w:p>
            <w:r>
              <w:rPr>
                <w:sz w:val="16"/>
              </w:rPr>
              <w:t>0</w:t>
            </w:r>
          </w:p>
        </w:tc>
        <w:tc>
          <w:tcPr>
            <w:tcW w:type="dxa" w:w="3324"/>
          </w:tcPr>
          <w:p>
            <w:r>
              <w:rPr>
                <w:sz w:val="16"/>
              </w:rPr>
              <w:t>−5</w:t>
            </w:r>
          </w:p>
        </w:tc>
      </w:tr>
      <w:tr>
        <w:tc>
          <w:tcPr>
            <w:tcW w:type="dxa" w:w="3324"/>
          </w:tcPr>
          <w:p>
            <w:r>
              <w:rPr>
                <w:sz w:val="16"/>
              </w:rPr>
              <w:t>generalized cost</w:t>
            </w:r>
          </w:p>
        </w:tc>
        <w:tc>
          <w:tcPr>
            <w:tcW w:type="dxa" w:w="3324"/>
          </w:tcPr>
          <w:p>
            <w:r>
              <w:rPr>
                <w:sz w:val="16"/>
              </w:rPr>
              <w:t>58</w:t>
            </w:r>
          </w:p>
        </w:tc>
        <w:tc>
          <w:tcPr>
            <w:tcW w:type="dxa" w:w="3324"/>
          </w:tcPr>
          <w:p>
            <w:r>
              <w:rPr>
                <w:sz w:val="16"/>
              </w:rPr>
              <w:t>48</w:t>
            </w:r>
          </w:p>
        </w:tc>
      </w:tr>
    </w:tbl>
    <w:p>
      <w:r>
        <w:rPr>
          <w:sz w:val="16"/>
        </w:rPr>
        <w:t>Table 2.2 — A worked example. The LRT trip is ten felt minutes cheaper although its walking is longer, because it is faster and comes more often.</w:t>
      </w:r>
    </w:p>
    <w:p>
      <w:r>
        <w:t>The model never uses the cost alone; it uses the difference between two options and a sensitivity λ that turns felt minutes into a probability. Within the transit nest (λ_T = 0.06 per generalized minute) a ten-minute advantage gives the LRT about 65 % of a pair's transit riders, twenty minutes about 77 %, equal cost 50 %. The shift from the car works on the improvement of the whole transit bundle with λ = 0.03, half as sensitive, and starts from the pair's observed 2022 transit share: where the car is dominant that share is small and the shift is small. The car's own cost never enters the pivot, only the observed balance it produced in 2022 (caveat 25); a car that worsens by 2040 would therefore have to be modelled as a change of the no-build shares first (handover item D-11).</w:t>
      </w:r>
    </w:p>
    <w:p>
      <w:r>
        <w:t>Three things follow for reading the results. The weights are assumptions from the literature and the calibrated models, not estimates on this corridor (the out-of-vehicle research memo lists the alternatives and the chain was rerun on seven sets). At TAZ level the bus cost on the trunk is about 45 felt minutes, not the 30 an area-level skim suggested, because an area skim pools every line's headway and the nearest stop's walk, which no single traveller gets (caveat 26). And the LRT's remaining disadvantage against the Metronit on the trunk is station access and the feeder transfer, not the ride, so anything that shortens the walk or removes a transfer moves the capture more than a faster vehicle does.</w:t>
      </w:r>
    </w:p>
    <w:p>
      <w:pPr>
        <w:pStyle w:val="Heading2"/>
      </w:pPr>
      <w:r>
        <w:t>2.5 The cost sensitivity λ: what it is, why it is needed, how it was estimated</w:t>
      </w:r>
    </w:p>
    <w:p>
      <w:r>
        <w:t>What it is. λ is the number that turns a difference in felt minutes into a difference in choices. In the logit model the odds of choosing transit over the car change by a factor exp(−λ × ΔGC) when the transit cost changes by ΔGC generalized minutes. With λ = 0.03 one generalized minute moves the odds by 3 %, ten minutes by about 35 %; with λ_T = 0.06 inside the transit nest, ten minutes of advantage give the LRT about 65 % of a pair's transit riders. A large λ means travellers react strongly to small cost differences; a small λ means habit, availability and things outside the cost dominate.</w:t>
      </w:r>
    </w:p>
    <w:p>
      <w:r>
        <w:t>Why it is needed. The whole capture rests on it. The LRT's advantage over the bus on a pair is a cost difference in felt minutes; λ_T decides how many of that pair's transit riders move, and λ how many car trips the improved transit bundle attracts. Halving λ roughly halves the car shift and raises the LRT's share of transit towards an even split; doubling it does the reverse. The λ range alone spans −25 % to +40 % of the 2022 capture (step 40), more than the regime or the premium.</w:t>
      </w:r>
    </w:p>
    <w:p>
      <w:r>
        <w:t>Why it could not be read off the matrices. The obvious estimate, a logit of each area pair's 2022 transit share on the bus-minus-car cost difference (597 pairs, 70,000 trips), returns λ with the wrong sign (−0.010) and no fit; with constants per distance band, +0.008 and still nothing. The reason is composition: the pairs with cheap transit are the pairs whose residents own few cars, so the share is driven by who lives there, not by the minutes. A pair-level fit cannot separate the two.</w:t>
      </w:r>
    </w:p>
    <w:p>
      <w:r>
        <w:t>How it was estimated (step 33). At the person level, on the survey's AM trips within the 25 corridor areas (2,310 trips, 543 households), a binary logit of car against transit with the cost difference ΔGC as the explanatory variable and car availability (no car in the household, no licence, more licences than cars, a car available), purpose, age, gender, sector, student status and a distance band held constant. Weighted by the survey's expansion weights, standard errors clustered by household. Holding car availability constant is what makes λ identifiable: within a group of people with the same access to a car, those facing a smaller transit cost choose transit more often.</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4"/>
              </w:rPr>
              <w:t>model (step 33, survey car skim)</w:t>
            </w:r>
          </w:p>
        </w:tc>
        <w:tc>
          <w:tcPr>
            <w:tcW w:type="dxa" w:w="1662"/>
          </w:tcPr>
          <w:p>
            <w:r>
              <w:rPr>
                <w:b/>
                <w:sz w:val="14"/>
              </w:rPr>
              <w:t>λ per generalized minute</w:t>
            </w:r>
          </w:p>
        </w:tc>
        <w:tc>
          <w:tcPr>
            <w:tcW w:type="dxa" w:w="1662"/>
          </w:tcPr>
          <w:p>
            <w:r>
              <w:rPr>
                <w:b/>
                <w:sz w:val="14"/>
              </w:rPr>
              <w:t>95 % low</w:t>
            </w:r>
          </w:p>
        </w:tc>
        <w:tc>
          <w:tcPr>
            <w:tcW w:type="dxa" w:w="1662"/>
          </w:tcPr>
          <w:p>
            <w:r>
              <w:rPr>
                <w:b/>
                <w:sz w:val="14"/>
              </w:rPr>
              <w:t>95 % high</w:t>
            </w:r>
          </w:p>
        </w:tc>
        <w:tc>
          <w:tcPr>
            <w:tcW w:type="dxa" w:w="1662"/>
          </w:tcPr>
          <w:p>
            <w:r>
              <w:rPr>
                <w:b/>
                <w:sz w:val="14"/>
              </w:rPr>
              <w:t>trips</w:t>
            </w:r>
          </w:p>
        </w:tc>
        <w:tc>
          <w:tcPr>
            <w:tcW w:type="dxa" w:w="1662"/>
          </w:tcPr>
          <w:p>
            <w:r>
              <w:rPr>
                <w:b/>
                <w:sz w:val="14"/>
              </w:rPr>
              <w:t>households</w:t>
            </w:r>
          </w:p>
        </w:tc>
      </w:tr>
      <w:tr>
        <w:tc>
          <w:tcPr>
            <w:tcW w:type="dxa" w:w="1662"/>
          </w:tcPr>
          <w:p>
            <w:r>
              <w:rPr>
                <w:sz w:val="14"/>
              </w:rPr>
              <w:t>M1: dGC + car availability, purpose, person, distance band</w:t>
            </w:r>
          </w:p>
        </w:tc>
        <w:tc>
          <w:tcPr>
            <w:tcW w:type="dxa" w:w="1662"/>
          </w:tcPr>
          <w:p>
            <w:r>
              <w:rPr>
                <w:sz w:val="14"/>
              </w:rPr>
              <w:t>0.035</w:t>
            </w:r>
          </w:p>
        </w:tc>
        <w:tc>
          <w:tcPr>
            <w:tcW w:type="dxa" w:w="1662"/>
          </w:tcPr>
          <w:p>
            <w:r>
              <w:rPr>
                <w:sz w:val="14"/>
              </w:rPr>
              <w:t>0.002</w:t>
            </w:r>
          </w:p>
        </w:tc>
        <w:tc>
          <w:tcPr>
            <w:tcW w:type="dxa" w:w="1662"/>
          </w:tcPr>
          <w:p>
            <w:r>
              <w:rPr>
                <w:sz w:val="14"/>
              </w:rPr>
              <w:t>0.068</w:t>
            </w:r>
          </w:p>
        </w:tc>
        <w:tc>
          <w:tcPr>
            <w:tcW w:type="dxa" w:w="1662"/>
          </w:tcPr>
          <w:p>
            <w:r>
              <w:rPr>
                <w:sz w:val="14"/>
              </w:rPr>
              <w:t>2,310</w:t>
            </w:r>
          </w:p>
        </w:tc>
        <w:tc>
          <w:tcPr>
            <w:tcW w:type="dxa" w:w="1662"/>
          </w:tcPr>
          <w:p>
            <w:r>
              <w:rPr>
                <w:sz w:val="14"/>
              </w:rPr>
              <w:t>543</w:t>
            </w:r>
          </w:p>
        </w:tc>
      </w:tr>
      <w:tr>
        <w:tc>
          <w:tcPr>
            <w:tcW w:type="dxa" w:w="1662"/>
          </w:tcPr>
          <w:p>
            <w:r>
              <w:rPr>
                <w:sz w:val="14"/>
              </w:rPr>
              <w:t>M1b: M1 with the cheaper of bus and Metronit</w:t>
            </w:r>
          </w:p>
        </w:tc>
        <w:tc>
          <w:tcPr>
            <w:tcW w:type="dxa" w:w="1662"/>
          </w:tcPr>
          <w:p>
            <w:r>
              <w:rPr>
                <w:sz w:val="14"/>
              </w:rPr>
              <w:t>0.041</w:t>
            </w:r>
          </w:p>
        </w:tc>
        <w:tc>
          <w:tcPr>
            <w:tcW w:type="dxa" w:w="1662"/>
          </w:tcPr>
          <w:p>
            <w:r>
              <w:rPr>
                <w:sz w:val="14"/>
              </w:rPr>
              <w:t>0.010</w:t>
            </w:r>
          </w:p>
        </w:tc>
        <w:tc>
          <w:tcPr>
            <w:tcW w:type="dxa" w:w="1662"/>
          </w:tcPr>
          <w:p>
            <w:r>
              <w:rPr>
                <w:sz w:val="14"/>
              </w:rPr>
              <w:t>0.071</w:t>
            </w:r>
          </w:p>
        </w:tc>
        <w:tc>
          <w:tcPr>
            <w:tcW w:type="dxa" w:w="1662"/>
          </w:tcPr>
          <w:p>
            <w:r>
              <w:rPr>
                <w:sz w:val="14"/>
              </w:rPr>
              <w:t>2,310</w:t>
            </w:r>
          </w:p>
        </w:tc>
        <w:tc>
          <w:tcPr>
            <w:tcW w:type="dxa" w:w="1662"/>
          </w:tcPr>
          <w:p>
            <w:r>
              <w:rPr>
                <w:sz w:val="14"/>
              </w:rPr>
              <w:t>543</w:t>
            </w:r>
          </w:p>
        </w:tc>
      </w:tr>
      <w:tr>
        <w:tc>
          <w:tcPr>
            <w:tcW w:type="dxa" w:w="1662"/>
          </w:tcPr>
          <w:p>
            <w:r>
              <w:rPr>
                <w:sz w:val="14"/>
              </w:rPr>
              <w:t>M3: M1 + origin and destination area fixed effects</w:t>
            </w:r>
          </w:p>
        </w:tc>
        <w:tc>
          <w:tcPr>
            <w:tcW w:type="dxa" w:w="1662"/>
          </w:tcPr>
          <w:p>
            <w:r>
              <w:rPr>
                <w:sz w:val="14"/>
              </w:rPr>
              <w:t>0.053</w:t>
            </w:r>
          </w:p>
        </w:tc>
        <w:tc>
          <w:tcPr>
            <w:tcW w:type="dxa" w:w="1662"/>
          </w:tcPr>
          <w:p>
            <w:r>
              <w:rPr>
                <w:sz w:val="14"/>
              </w:rPr>
              <w:t>0.012</w:t>
            </w:r>
          </w:p>
        </w:tc>
        <w:tc>
          <w:tcPr>
            <w:tcW w:type="dxa" w:w="1662"/>
          </w:tcPr>
          <w:p>
            <w:r>
              <w:rPr>
                <w:sz w:val="14"/>
              </w:rPr>
              <w:t>0.093</w:t>
            </w:r>
          </w:p>
        </w:tc>
        <w:tc>
          <w:tcPr>
            <w:tcW w:type="dxa" w:w="1662"/>
          </w:tcPr>
          <w:p>
            <w:r>
              <w:rPr>
                <w:sz w:val="14"/>
              </w:rPr>
              <w:t>2,310</w:t>
            </w:r>
          </w:p>
        </w:tc>
        <w:tc>
          <w:tcPr>
            <w:tcW w:type="dxa" w:w="1662"/>
          </w:tcPr>
          <w:p>
            <w:r>
              <w:rPr>
                <w:sz w:val="14"/>
              </w:rPr>
              <w:t>543</w:t>
            </w:r>
          </w:p>
        </w:tc>
      </w:tr>
      <w:tr>
        <w:tc>
          <w:tcPr>
            <w:tcW w:type="dxa" w:w="1662"/>
          </w:tcPr>
          <w:p>
            <w:r>
              <w:rPr>
                <w:sz w:val="14"/>
              </w:rPr>
              <w:t>M4: licence holders in car-owning households only (the segment the LRT would draw from the car)</w:t>
            </w:r>
          </w:p>
        </w:tc>
        <w:tc>
          <w:tcPr>
            <w:tcW w:type="dxa" w:w="1662"/>
          </w:tcPr>
          <w:p>
            <w:r>
              <w:rPr>
                <w:sz w:val="14"/>
              </w:rPr>
              <w:t>0.008</w:t>
            </w:r>
          </w:p>
        </w:tc>
        <w:tc>
          <w:tcPr>
            <w:tcW w:type="dxa" w:w="1662"/>
          </w:tcPr>
          <w:p>
            <w:r>
              <w:rPr>
                <w:sz w:val="14"/>
              </w:rPr>
              <w:t>-0.025</w:t>
            </w:r>
          </w:p>
        </w:tc>
        <w:tc>
          <w:tcPr>
            <w:tcW w:type="dxa" w:w="1662"/>
          </w:tcPr>
          <w:p>
            <w:r>
              <w:rPr>
                <w:sz w:val="14"/>
              </w:rPr>
              <w:t>0.041</w:t>
            </w:r>
          </w:p>
        </w:tc>
        <w:tc>
          <w:tcPr>
            <w:tcW w:type="dxa" w:w="1662"/>
          </w:tcPr>
          <w:p>
            <w:r>
              <w:rPr>
                <w:sz w:val="14"/>
              </w:rPr>
              <w:t>1,443</w:t>
            </w:r>
          </w:p>
        </w:tc>
        <w:tc>
          <w:tcPr>
            <w:tcW w:type="dxa" w:w="1662"/>
          </w:tcPr>
          <w:p>
            <w:r>
              <w:rPr>
                <w:sz w:val="14"/>
              </w:rPr>
              <w:t>424</w:t>
            </w:r>
          </w:p>
        </w:tc>
      </w:tr>
      <w:tr>
        <w:tc>
          <w:tcPr>
            <w:tcW w:type="dxa" w:w="1662"/>
          </w:tcPr>
          <w:p>
            <w:r>
              <w:rPr>
                <w:sz w:val="14"/>
              </w:rPr>
              <w:t>M1u: M1 unweighted</w:t>
            </w:r>
          </w:p>
        </w:tc>
        <w:tc>
          <w:tcPr>
            <w:tcW w:type="dxa" w:w="1662"/>
          </w:tcPr>
          <w:p>
            <w:r>
              <w:rPr>
                <w:sz w:val="14"/>
              </w:rPr>
              <w:t>0.042</w:t>
            </w:r>
          </w:p>
        </w:tc>
        <w:tc>
          <w:tcPr>
            <w:tcW w:type="dxa" w:w="1662"/>
          </w:tcPr>
          <w:p>
            <w:r>
              <w:rPr>
                <w:sz w:val="14"/>
              </w:rPr>
              <w:t>0.018</w:t>
            </w:r>
          </w:p>
        </w:tc>
        <w:tc>
          <w:tcPr>
            <w:tcW w:type="dxa" w:w="1662"/>
          </w:tcPr>
          <w:p>
            <w:r>
              <w:rPr>
                <w:sz w:val="14"/>
              </w:rPr>
              <w:t>0.066</w:t>
            </w:r>
          </w:p>
        </w:tc>
        <w:tc>
          <w:tcPr>
            <w:tcW w:type="dxa" w:w="1662"/>
          </w:tcPr>
          <w:p>
            <w:r>
              <w:rPr>
                <w:sz w:val="14"/>
              </w:rPr>
              <w:t>2,310</w:t>
            </w:r>
          </w:p>
        </w:tc>
        <w:tc>
          <w:tcPr>
            <w:tcW w:type="dxa" w:w="1662"/>
          </w:tcPr>
          <w:p>
            <w:r>
              <w:rPr>
                <w:sz w:val="14"/>
              </w:rPr>
              <w:t>543</w:t>
            </w:r>
          </w:p>
        </w:tc>
      </w:tr>
      <w:tr>
        <w:tc>
          <w:tcPr>
            <w:tcW w:type="dxa" w:w="1662"/>
          </w:tcPr>
          <w:p>
            <w:r>
              <w:rPr>
                <w:sz w:val="14"/>
              </w:rPr>
              <w:t>M1 on the May 2026 car network skim (step 37)</w:t>
            </w:r>
          </w:p>
        </w:tc>
        <w:tc>
          <w:tcPr>
            <w:tcW w:type="dxa" w:w="1662"/>
          </w:tcPr>
          <w:p>
            <w:r>
              <w:rPr>
                <w:sz w:val="14"/>
              </w:rPr>
              <w:t>0.040</w:t>
            </w:r>
          </w:p>
        </w:tc>
        <w:tc>
          <w:tcPr>
            <w:tcW w:type="dxa" w:w="1662"/>
          </w:tcPr>
          <w:p>
            <w:r>
              <w:rPr>
                <w:sz w:val="14"/>
              </w:rPr>
              <w:t>0.008</w:t>
            </w:r>
          </w:p>
        </w:tc>
        <w:tc>
          <w:tcPr>
            <w:tcW w:type="dxa" w:w="1662"/>
          </w:tcPr>
          <w:p>
            <w:r>
              <w:rPr>
                <w:sz w:val="14"/>
              </w:rPr>
              <w:t>0.073</w:t>
            </w:r>
          </w:p>
        </w:tc>
        <w:tc>
          <w:tcPr>
            <w:tcW w:type="dxa" w:w="1662"/>
          </w:tcPr>
          <w:p>
            <w:r>
              <w:rPr>
                <w:sz w:val="14"/>
              </w:rPr>
              <w:t>2,310</w:t>
            </w:r>
          </w:p>
        </w:tc>
        <w:tc>
          <w:tcPr>
            <w:tcW w:type="dxa" w:w="1662"/>
          </w:tcPr>
          <w:p>
            <w:r>
              <w:rPr>
                <w:sz w:val="14"/>
              </w:rPr>
              <w:t>543</w:t>
            </w:r>
          </w:p>
        </w:tc>
      </w:tr>
      <w:tr>
        <w:tc>
          <w:tcPr>
            <w:tcW w:type="dxa" w:w="1662"/>
          </w:tcPr>
          <w:p>
            <w:r>
              <w:rPr>
                <w:sz w:val="14"/>
              </w:rPr>
              <w:t>assumed in the chain (step 31): λ, range 0.02–0.05; λ_T = 2λ = 0.06</w:t>
            </w:r>
          </w:p>
        </w:tc>
        <w:tc>
          <w:tcPr>
            <w:tcW w:type="dxa" w:w="1662"/>
          </w:tcPr>
          <w:p>
            <w:r>
              <w:rPr>
                <w:sz w:val="14"/>
              </w:rPr>
              <w:t>0.030</w:t>
            </w:r>
          </w:p>
        </w:tc>
        <w:tc>
          <w:tcPr>
            <w:tcW w:type="dxa" w:w="1662"/>
          </w:tcPr>
          <w:p>
            <w:r>
              <w:rPr>
                <w:sz w:val="14"/>
              </w:rPr>
              <w:t>0.020</w:t>
            </w:r>
          </w:p>
        </w:tc>
        <w:tc>
          <w:tcPr>
            <w:tcW w:type="dxa" w:w="1662"/>
          </w:tcPr>
          <w:p>
            <w:r>
              <w:rPr>
                <w:sz w:val="14"/>
              </w:rPr>
              <w:t>0.050</w:t>
            </w:r>
          </w:p>
        </w:tc>
        <w:tc>
          <w:tcPr>
            <w:tcW w:type="dxa" w:w="1662"/>
          </w:tcPr>
          <w:p>
            <w:r>
              <w:rPr>
                <w:sz w:val="14"/>
              </w:rPr>
            </w:r>
          </w:p>
        </w:tc>
        <w:tc>
          <w:tcPr>
            <w:tcW w:type="dxa" w:w="1662"/>
          </w:tcPr>
          <w:p>
            <w:r>
              <w:rPr>
                <w:sz w:val="14"/>
              </w:rPr>
            </w:r>
          </w:p>
        </w:tc>
      </w:tr>
    </w:tbl>
    <w:p>
      <w:r>
        <w:rPr>
          <w:sz w:val="16"/>
        </w:rPr>
        <w:t>Table 2.3 — λ estimates (Output/mode_choice/lambda_summary.csv). M1 is the central specification; M1b uses the cheaper of the bus and the Metronit as the transit cost; M3 adds origin and destination area effects; M4 restricts the sample to licence holders in car-owning households; M1u is unweighted.</w:t>
      </w:r>
    </w:p>
    <w:p>
      <w:r>
        <w:t>What came out. The pooled λ is 0.035 (0.002–0.068), the right sign, ρ² 0.43, and 0.040 on the 2026 car skim. By car-availability segment it is 0.083 for people in households without a car (significant), 0.027 for people without a licence and 0.053 for people with a car available (both weak), and −0.006 where licences outnumber cars. For licence holders in car-owning households alone, the segment the LRT would have to win from the car, λ is 0.008 ± 0.017: not different from zero. The survey has too few such people choosing transit on comparable pairs to pin it down (Figure 3.6).</w:t>
      </w:r>
    </w:p>
    <w:p>
      <w:r>
        <w:t>What the chain does with it. It keeps the assumed λ = 0.03 of step 31, inside the pooled estimate's interval and on its cautious side, carries the range 0.02–0.05 through every capture run, and sets λ_T = 2λ within the transit nest: the choice between two transit paths is more cost-sensitive than the choice between car and transit, and the ratio 0.5 is a standard nesting value, assumed rather than estimated. The honest reading is that the transit-side λ_T is supported by the data and the car-side λ is a judgement bounded by its range; that is why the bus and Metronit shifts are the firmer part of every result and the car shift an order of magnitude.</w:t>
      </w:r>
    </w:p>
    <w:p>
      <w:pPr>
        <w:pStyle w:val="Heading1"/>
      </w:pPr>
      <w:r>
        <w:t>3. Calibration and the base scenario</w:t>
      </w:r>
    </w:p>
    <w:p>
      <w:pPr>
        <w:pStyle w:val="Heading2"/>
      </w:pPr>
      <w:r>
        <w:t>3.1 Building the 2022 base</w:t>
      </w:r>
    </w:p>
    <w:p>
      <w:r>
        <w:t>The base-year matrices come from the 2017/18 household travel survey (16,401 persons, 5,108 households, two survey days), weighted with the revised household weights, with the AM peak defined by the departure hour 06:00–08:59. The bus layer was calibrated to the May 2022 RavKav linked journeys under a segmented coverage rule: where the ticketing covers a super-zone pair well it sets the volume, elsewhere the survey keeps it, with the on-board survey's destination probabilities placing the trips below super-zone level. The rail layer is the survey's rail trips grown by the national ridership series. All layers were then moved from 2018 to 2022 by TAZ population and employment (geometric interpolation between the 2020 and BU-2025 zonal files).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2022, AM 06:00–09:00</w:t>
            </w:r>
          </w:p>
        </w:tc>
        <w:tc>
          <w:tcPr>
            <w:tcW w:type="dxa" w:w="1994"/>
          </w:tcPr>
          <w:p>
            <w:r>
              <w:rPr>
                <w:b/>
                <w:sz w:val="16"/>
              </w:rPr>
              <w:t>car</w:t>
            </w:r>
          </w:p>
        </w:tc>
        <w:tc>
          <w:tcPr>
            <w:tcW w:type="dxa" w:w="1994"/>
          </w:tcPr>
          <w:p>
            <w:r>
              <w:rPr>
                <w:b/>
                <w:sz w:val="16"/>
              </w:rPr>
              <w:t>bus (+ Metronit)</w:t>
            </w:r>
          </w:p>
        </w:tc>
        <w:tc>
          <w:tcPr>
            <w:tcW w:type="dxa" w:w="1994"/>
          </w:tcPr>
          <w:p>
            <w:r>
              <w:rPr>
                <w:b/>
                <w:sz w:val="16"/>
              </w:rPr>
              <w:t>taxi-type</w:t>
            </w:r>
          </w:p>
        </w:tc>
        <w:tc>
          <w:tcPr>
            <w:tcW w:type="dxa" w:w="1994"/>
          </w:tcPr>
          <w:p>
            <w:r>
              <w:rPr>
                <w:b/>
                <w:sz w:val="16"/>
              </w:rPr>
              <w:t>rail</w:t>
            </w:r>
          </w:p>
        </w:tc>
      </w:tr>
      <w:tr>
        <w:tc>
          <w:tcPr>
            <w:tcW w:type="dxa" w:w="1994"/>
          </w:tcPr>
          <w:p>
            <w:r>
              <w:rPr>
                <w:sz w:val="16"/>
              </w:rPr>
              <w:t>corridor → corridor</w:t>
            </w:r>
          </w:p>
        </w:tc>
        <w:tc>
          <w:tcPr>
            <w:tcW w:type="dxa" w:w="1994"/>
          </w:tcPr>
          <w:p>
            <w:r>
              <w:rPr>
                <w:sz w:val="16"/>
              </w:rPr>
              <w:t>72,331</w:t>
            </w:r>
          </w:p>
        </w:tc>
        <w:tc>
          <w:tcPr>
            <w:tcW w:type="dxa" w:w="1994"/>
          </w:tcPr>
          <w:p>
            <w:r>
              <w:rPr>
                <w:sz w:val="16"/>
              </w:rPr>
              <w:t>10,255</w:t>
            </w:r>
          </w:p>
        </w:tc>
        <w:tc>
          <w:tcPr>
            <w:tcW w:type="dxa" w:w="1994"/>
          </w:tcPr>
          <w:p>
            <w:r>
              <w:rPr>
                <w:sz w:val="16"/>
              </w:rPr>
              <w:t>313</w:t>
            </w:r>
          </w:p>
        </w:tc>
        <w:tc>
          <w:tcPr>
            <w:tcW w:type="dxa" w:w="1994"/>
          </w:tcPr>
          <w:p>
            <w:r>
              <w:rPr>
                <w:sz w:val="16"/>
              </w:rPr>
              <w:t>0</w:t>
            </w:r>
          </w:p>
        </w:tc>
      </w:tr>
      <w:tr>
        <w:tc>
          <w:tcPr>
            <w:tcW w:type="dxa" w:w="1994"/>
          </w:tcPr>
          <w:p>
            <w:r>
              <w:rPr>
                <w:sz w:val="16"/>
              </w:rPr>
              <w:t>corridor → outside</w:t>
            </w:r>
          </w:p>
        </w:tc>
        <w:tc>
          <w:tcPr>
            <w:tcW w:type="dxa" w:w="1994"/>
          </w:tcPr>
          <w:p>
            <w:r>
              <w:rPr>
                <w:sz w:val="16"/>
              </w:rPr>
              <w:t>47,011</w:t>
            </w:r>
          </w:p>
        </w:tc>
        <w:tc>
          <w:tcPr>
            <w:tcW w:type="dxa" w:w="1994"/>
          </w:tcPr>
          <w:p>
            <w:r>
              <w:rPr>
                <w:sz w:val="16"/>
              </w:rPr>
              <w:t>8,947</w:t>
            </w:r>
          </w:p>
        </w:tc>
        <w:tc>
          <w:tcPr>
            <w:tcW w:type="dxa" w:w="1994"/>
          </w:tcPr>
          <w:p>
            <w:r>
              <w:rPr>
                <w:sz w:val="16"/>
              </w:rPr>
              <w:t>573</w:t>
            </w:r>
          </w:p>
        </w:tc>
        <w:tc>
          <w:tcPr>
            <w:tcW w:type="dxa" w:w="1994"/>
          </w:tcPr>
          <w:p>
            <w:r>
              <w:rPr>
                <w:sz w:val="16"/>
              </w:rPr>
              <w:t>292</w:t>
            </w:r>
          </w:p>
        </w:tc>
      </w:tr>
      <w:tr>
        <w:tc>
          <w:tcPr>
            <w:tcW w:type="dxa" w:w="1994"/>
          </w:tcPr>
          <w:p>
            <w:r>
              <w:rPr>
                <w:sz w:val="16"/>
              </w:rPr>
              <w:t>outside → corridor</w:t>
            </w:r>
          </w:p>
        </w:tc>
        <w:tc>
          <w:tcPr>
            <w:tcW w:type="dxa" w:w="1994"/>
          </w:tcPr>
          <w:p>
            <w:r>
              <w:rPr>
                <w:sz w:val="16"/>
              </w:rPr>
              <w:t>89,181</w:t>
            </w:r>
          </w:p>
        </w:tc>
        <w:tc>
          <w:tcPr>
            <w:tcW w:type="dxa" w:w="1994"/>
          </w:tcPr>
          <w:p>
            <w:r>
              <w:rPr>
                <w:sz w:val="16"/>
              </w:rPr>
              <w:t>19,144</w:t>
            </w:r>
          </w:p>
        </w:tc>
        <w:tc>
          <w:tcPr>
            <w:tcW w:type="dxa" w:w="1994"/>
          </w:tcPr>
          <w:p>
            <w:r>
              <w:rPr>
                <w:sz w:val="16"/>
              </w:rPr>
              <w:t>1,020</w:t>
            </w:r>
          </w:p>
        </w:tc>
        <w:tc>
          <w:tcPr>
            <w:tcW w:type="dxa" w:w="1994"/>
          </w:tcPr>
          <w:p>
            <w:r>
              <w:rPr>
                <w:sz w:val="16"/>
              </w:rPr>
              <w:t>2,618</w:t>
            </w:r>
          </w:p>
        </w:tc>
      </w:tr>
      <w:tr>
        <w:tc>
          <w:tcPr>
            <w:tcW w:type="dxa" w:w="1994"/>
          </w:tcPr>
          <w:p>
            <w:r>
              <w:rPr>
                <w:sz w:val="16"/>
              </w:rPr>
              <w:t>outside → outside</w:t>
            </w:r>
          </w:p>
        </w:tc>
        <w:tc>
          <w:tcPr>
            <w:tcW w:type="dxa" w:w="1994"/>
          </w:tcPr>
          <w:p>
            <w:r>
              <w:rPr>
                <w:sz w:val="16"/>
              </w:rPr>
              <w:t>1,145,275</w:t>
            </w:r>
          </w:p>
        </w:tc>
        <w:tc>
          <w:tcPr>
            <w:tcW w:type="dxa" w:w="1994"/>
          </w:tcPr>
          <w:p>
            <w:r>
              <w:rPr>
                <w:sz w:val="16"/>
              </w:rPr>
              <w:t>79,615</w:t>
            </w:r>
          </w:p>
        </w:tc>
        <w:tc>
          <w:tcPr>
            <w:tcW w:type="dxa" w:w="1994"/>
          </w:tcPr>
          <w:p>
            <w:r>
              <w:rPr>
                <w:sz w:val="16"/>
              </w:rPr>
              <w:t>7,545</w:t>
            </w:r>
          </w:p>
        </w:tc>
        <w:tc>
          <w:tcPr>
            <w:tcW w:type="dxa" w:w="1994"/>
          </w:tcPr>
          <w:p>
            <w:r>
              <w:rPr>
                <w:sz w:val="16"/>
              </w:rPr>
              <w:t>1,141</w:t>
            </w:r>
          </w:p>
        </w:tc>
      </w:tr>
      <w:tr>
        <w:tc>
          <w:tcPr>
            <w:tcW w:type="dxa" w:w="1994"/>
          </w:tcPr>
          <w:p>
            <w:r>
              <w:rPr>
                <w:sz w:val="16"/>
              </w:rPr>
              <w:t>all study area</w:t>
            </w:r>
          </w:p>
        </w:tc>
        <w:tc>
          <w:tcPr>
            <w:tcW w:type="dxa" w:w="1994"/>
          </w:tcPr>
          <w:p>
            <w:r>
              <w:rPr>
                <w:sz w:val="16"/>
              </w:rPr>
              <w:t>1,353,798</w:t>
            </w:r>
          </w:p>
        </w:tc>
        <w:tc>
          <w:tcPr>
            <w:tcW w:type="dxa" w:w="1994"/>
          </w:tcPr>
          <w:p>
            <w:r>
              <w:rPr>
                <w:sz w:val="16"/>
              </w:rPr>
              <w:t>117,961</w:t>
            </w:r>
          </w:p>
        </w:tc>
        <w:tc>
          <w:tcPr>
            <w:tcW w:type="dxa" w:w="1994"/>
          </w:tcPr>
          <w:p>
            <w:r>
              <w:rPr>
                <w:sz w:val="16"/>
              </w:rPr>
              <w:t>9,451</w:t>
            </w:r>
          </w:p>
        </w:tc>
        <w:tc>
          <w:tcPr>
            <w:tcW w:type="dxa" w:w="1994"/>
          </w:tcPr>
          <w:p>
            <w:r>
              <w:rPr>
                <w:sz w:val="16"/>
              </w:rPr>
              <w:t>4,050</w:t>
            </w:r>
          </w:p>
        </w:tc>
      </w:tr>
    </w:tbl>
    <w:p>
      <w:r>
        <w:rPr>
          <w:sz w:val="16"/>
        </w:rPr>
        <w:t>Table 3.1 — The 2022 base by corridor class (Output/ths2017/three_mode_2022/summary_2018_2022.csv). The corridor is the 28-sub-area definition of step 17; on the V2 corridor (25 areas, 174 TAZs) the off-diagonal market is 56,445 car / 14,133 transit / 720 taxi-type trips, transit share 0.20.</w:t>
      </w:r>
    </w:p>
    <w:p>
      <w:r>
        <w:drawing>
          <wp:inline xmlns:a="http://schemas.openxmlformats.org/drawingml/2006/main" xmlns:pic="http://schemas.openxmlformats.org/drawingml/2006/picture">
            <wp:extent cx="5400000" cy="1850875"/>
            <wp:docPr id="2" name="Picture 2"/>
            <wp:cNvGraphicFramePr>
              <a:graphicFrameLocks noChangeAspect="1"/>
            </wp:cNvGraphicFramePr>
            <a:graphic>
              <a:graphicData uri="http://schemas.openxmlformats.org/drawingml/2006/picture">
                <pic:pic>
                  <pic:nvPicPr>
                    <pic:cNvPr id="0" name="three_mode_2022.png"/>
                    <pic:cNvPicPr/>
                  </pic:nvPicPr>
                  <pic:blipFill>
                    <a:blip r:embed="rId10"/>
                    <a:stretch>
                      <a:fillRect/>
                    </a:stretch>
                  </pic:blipFill>
                  <pic:spPr>
                    <a:xfrm>
                      <a:off x="0" y="0"/>
                      <a:ext cx="5400000" cy="1850875"/>
                    </a:xfrm>
                    <a:prstGeom prst="rect"/>
                  </pic:spPr>
                </pic:pic>
              </a:graphicData>
            </a:graphic>
          </wp:inline>
        </w:drawing>
      </w:r>
    </w:p>
    <w:p>
      <w:r>
        <w:rPr>
          <w:i/>
          <w:sz w:val="16"/>
        </w:rPr>
        <w:t>Figure 3.1 — The 2022 layers: car, bus, taxi-type and rail by super-zone (step 16).</w:t>
      </w:r>
    </w:p>
    <w:p>
      <w:pPr>
        <w:pStyle w:val="Heading2"/>
      </w:pPr>
      <w:r>
        <w:t>3.2 Tests against independent data</w:t>
      </w:r>
    </w:p>
    <w:p>
      <w:r>
        <w:t>The base was tested against four independent sources. The outcome in one line each:</w:t>
      </w:r>
    </w:p>
    <w:p>
      <w:pPr>
        <w:pStyle w:val="ListBullet"/>
      </w:pPr>
      <w:r>
        <w:t>Bus against the RavKav ticketing on the corridor (step 28): on the Haifa trunk the calibrated survey profile is within 1–4 % of the ticketing profile in the direction towards Nazareth (1.01–1.04) and within −14 % / +12 % in the other direction; beyond Hamifrats the two frames differ by up to 1.5 × in one direction (Figure 3.2).</w:t>
      </w:r>
    </w:p>
    <w:p>
      <w:pPr>
        <w:pStyle w:val="ListBullet"/>
      </w:pPr>
      <w:r>
        <w:t>Bus coverage by time of day (wave-1b diagnostic filed under guideline §5.2; the guideline's own T14, the 2022 bus layer against RavKav origins by super-zone, gives 1.28): RavKav May 2022 journeys / raw 2017/18 survey bus trips 0.74 in the AM, 0.96 in the PM, 0.92 at midday. Education trips are 40 % of the survey's AM bus trips against 13–19 % in the other windows, and without them the ratio is 1.22 / 1.10 / 1.13; they may be under-recorded in the card data, to be confirmed with the data provider.</w:t>
      </w:r>
    </w:p>
    <w:p>
      <w:pPr>
        <w:pStyle w:val="ListBullet"/>
      </w:pPr>
      <w:r>
        <w:t>Car against road counts on closed cordons (step 36, Figure 3.3): survey car vehicles ÷ counted vehicles 0.58–0.90 on the outer cordons and 0.61–0.62 on the metropolitan core, the expected order for a residents' personal-trip layer against all traffic (through, commercial and non-resident traffic are not in the survey). The survey's departure-time profile is peakier than the road's: 62 % of the three hours in the peak hour against 38–43 % on the counted links (caveat 18).</w:t>
      </w:r>
    </w:p>
    <w:p>
      <w:pPr>
        <w:pStyle w:val="ListBullet"/>
      </w:pPr>
      <w:r>
        <w:t>Car assignment against link counts (step 42, MoT T11): all-or-nothing on the Emme network reproduces the counted volumes in total (assigned ÷ counted 0.93 on the 1,346 links counted 2021–2023) but not their pattern (R² 0.47 and RMSE 113 % against the guideline's 0.85 and 35 %) — a person-trip layer without commercial traffic or route choice does not pass a link-level test (caveat 23).</w:t>
      </w:r>
    </w:p>
    <w:p>
      <w:pPr>
        <w:pStyle w:val="ListBullet"/>
      </w:pPr>
      <w:r>
        <w:t>Survey against cellular OD (step 1b, MoT T5): the super-zone matrices agree in structure; the one systematic divergence is intra-zone travel, which the survey holds above the cellular frame in every super-zone.</w:t>
      </w:r>
    </w:p>
    <w:p>
      <w:pPr>
        <w:pStyle w:val="ListBullet"/>
      </w:pPr>
      <w:r>
        <w:t>Ministry of Transport validation guideline (2024 draft, tests T1–T19 on 226 items): 75 pass, 123 miss with a documented explanation, 10 findings, the rest not applicable or not run. The misses are concentrated in the tests written for a four-step assignment model (link volumes, trip-length distributions at TAZ level, intra-zonal shares); the trip rates (T3: 17 of 24 pass), mode split (T9: 15 of 21) and the car profile against counts (T8: 20 of 21) pass.</w:t>
      </w:r>
    </w:p>
    <w:p>
      <w:r>
        <w:drawing>
          <wp:inline xmlns:a="http://schemas.openxmlformats.org/drawingml/2006/main" xmlns:pic="http://schemas.openxmlformats.org/drawingml/2006/picture">
            <wp:extent cx="5760000" cy="6845976"/>
            <wp:docPr id="3" name="Picture 3"/>
            <wp:cNvGraphicFramePr>
              <a:graphicFrameLocks noChangeAspect="1"/>
            </wp:cNvGraphicFramePr>
            <a:graphic>
              <a:graphicData uri="http://schemas.openxmlformats.org/drawingml/2006/picture">
                <pic:pic>
                  <pic:nvPicPr>
                    <pic:cNvPr id="0" name="corridor_v2_survey_vs_ticketing.png"/>
                    <pic:cNvPicPr/>
                  </pic:nvPicPr>
                  <pic:blipFill>
                    <a:blip r:embed="rId11"/>
                    <a:stretch>
                      <a:fillRect/>
                    </a:stretch>
                  </pic:blipFill>
                  <pic:spPr>
                    <a:xfrm>
                      <a:off x="0" y="0"/>
                      <a:ext cx="5760000" cy="6845976"/>
                    </a:xfrm>
                    <a:prstGeom prst="rect"/>
                  </pic:spPr>
                </pic:pic>
              </a:graphicData>
            </a:graphic>
          </wp:inline>
        </w:drawing>
      </w:r>
    </w:p>
    <w:p>
      <w:r>
        <w:rPr>
          <w:i/>
          <w:sz w:val="16"/>
        </w:rPr>
        <w:t>Figure 3.2 — Transit profile on the corridor: calibrated survey against the RavKav ticketing, by route and direction (step 28).</w:t>
      </w:r>
    </w:p>
    <w:p>
      <w:r>
        <w:drawing>
          <wp:inline xmlns:a="http://schemas.openxmlformats.org/drawingml/2006/main" xmlns:pic="http://schemas.openxmlformats.org/drawingml/2006/picture">
            <wp:extent cx="5760000" cy="2592000"/>
            <wp:docPr id="4" name="Picture 4"/>
            <wp:cNvGraphicFramePr>
              <a:graphicFrameLocks noChangeAspect="1"/>
            </wp:cNvGraphicFramePr>
            <a:graphic>
              <a:graphicData uri="http://schemas.openxmlformats.org/drawingml/2006/picture">
                <pic:pic>
                  <pic:nvPicPr>
                    <pic:cNvPr id="0" name="car_cordon_counts.png"/>
                    <pic:cNvPicPr/>
                  </pic:nvPicPr>
                  <pic:blipFill>
                    <a:blip r:embed="rId12"/>
                    <a:stretch>
                      <a:fillRect/>
                    </a:stretch>
                  </pic:blipFill>
                  <pic:spPr>
                    <a:xfrm>
                      <a:off x="0" y="0"/>
                      <a:ext cx="5760000" cy="2592000"/>
                    </a:xfrm>
                    <a:prstGeom prst="rect"/>
                  </pic:spPr>
                </pic:pic>
              </a:graphicData>
            </a:graphic>
          </wp:inline>
        </w:drawing>
      </w:r>
    </w:p>
    <w:p>
      <w:r>
        <w:rPr>
          <w:i/>
          <w:sz w:val="16"/>
        </w:rPr>
        <w:t>Figure 3.3 — Car layer against the road counts on closed cordons (step 36).</w:t>
      </w:r>
    </w:p>
    <w:p>
      <w:r>
        <w:drawing>
          <wp:inline xmlns:a="http://schemas.openxmlformats.org/drawingml/2006/main" xmlns:pic="http://schemas.openxmlformats.org/drawingml/2006/picture">
            <wp:extent cx="5400000" cy="2511538"/>
            <wp:docPr id="5" name="Picture 5"/>
            <wp:cNvGraphicFramePr>
              <a:graphicFrameLocks noChangeAspect="1"/>
            </wp:cNvGraphicFramePr>
            <a:graphic>
              <a:graphicData uri="http://schemas.openxmlformats.org/drawingml/2006/picture">
                <pic:pic>
                  <pic:nvPicPr>
                    <pic:cNvPr id="0" name="mot_T9_modesplit.png"/>
                    <pic:cNvPicPr/>
                  </pic:nvPicPr>
                  <pic:blipFill>
                    <a:blip r:embed="rId13"/>
                    <a:stretch>
                      <a:fillRect/>
                    </a:stretch>
                  </pic:blipFill>
                  <pic:spPr>
                    <a:xfrm>
                      <a:off x="0" y="0"/>
                      <a:ext cx="5400000" cy="2511538"/>
                    </a:xfrm>
                    <a:prstGeom prst="rect"/>
                  </pic:spPr>
                </pic:pic>
              </a:graphicData>
            </a:graphic>
          </wp:inline>
        </w:drawing>
      </w:r>
    </w:p>
    <w:p>
      <w:r>
        <w:rPr>
          <w:i/>
          <w:sz w:val="16"/>
        </w:rPr>
        <w:t>Figure 3.4 — Mode split by super-zone against the guideline bands (MoT T9).</w:t>
      </w:r>
    </w:p>
    <w:p>
      <w:pPr>
        <w:pStyle w:val="Heading2"/>
      </w:pPr>
      <w:r>
        <w:t>3.3 Level of service and the cost sensitivity</w:t>
      </w:r>
    </w:p>
    <w:p>
      <w:r>
        <w:t>The transit level of service was built from the timetable with the measured May 2026 running times: observed ÷ scheduled is 1.09 per bus trip (Metronit 0.87), 1.00 on hops under 500 m and 1.42 on hops over 2 km (Figure 3.5). The car times on the May 2026 network are 0.90 × the survey's reported door-to-door times on the trunk pairs and 0.95 × over all pairs, so there is no 2026 uplift of the car time (step 37). The May 2026 car speeds hardly move by hour (median 2.3 km/h across the day; caveat 24), so the "07:00" car skim is in effect an all-day May 2026 speed.</w:t>
      </w:r>
    </w:p>
    <w:p>
      <w:r>
        <w:drawing>
          <wp:inline xmlns:a="http://schemas.openxmlformats.org/drawingml/2006/main" xmlns:pic="http://schemas.openxmlformats.org/drawingml/2006/picture">
            <wp:extent cx="5040000" cy="2352170"/>
            <wp:docPr id="6" name="Picture 6"/>
            <wp:cNvGraphicFramePr>
              <a:graphicFrameLocks noChangeAspect="1"/>
            </wp:cNvGraphicFramePr>
            <a:graphic>
              <a:graphicData uri="http://schemas.openxmlformats.org/drawingml/2006/picture">
                <pic:pic>
                  <pic:nvPicPr>
                    <pic:cNvPr id="0" name="gtfs_bus_observed_vs_scheduled.png"/>
                    <pic:cNvPicPr/>
                  </pic:nvPicPr>
                  <pic:blipFill>
                    <a:blip r:embed="rId14"/>
                    <a:stretch>
                      <a:fillRect/>
                    </a:stretch>
                  </pic:blipFill>
                  <pic:spPr>
                    <a:xfrm>
                      <a:off x="0" y="0"/>
                      <a:ext cx="5040000" cy="2352170"/>
                    </a:xfrm>
                    <a:prstGeom prst="rect"/>
                  </pic:spPr>
                </pic:pic>
              </a:graphicData>
            </a:graphic>
          </wp:inline>
        </w:drawing>
      </w:r>
    </w:p>
    <w:p>
      <w:r>
        <w:rPr>
          <w:i/>
          <w:sz w:val="16"/>
        </w:rPr>
        <w:t>Figure 3.5 — Observed against scheduled bus running times, May 2026 (step 30).</w:t>
      </w:r>
    </w:p>
    <w:p>
      <w:r>
        <w:t>Generalized cost on the trunk pairs (trip-weighted, AM, generalized minutes; Output/alternatives/skims_summary.csv): car 13.8; bus / Metronit 44.8 at TAZ level (the area-level skim of step 31 had 27–30 because it pooled every direct line's headway and the nearest stop's walk — caveat 26); LRT through line 48.7 Prioritized / 57.2 Unprioritized including the 5-minute premium. The LRT's in-vehicle time on the trunk is below the bus's; its remaining disadvantage is station access and the transfer where a feeder is needed.</w:t>
      </w:r>
    </w:p>
    <w:p>
      <w:r>
        <w:t>The cost sensitivity λ could not be identified from the 2022 cross-section of pair shares (wrong sign, ρ² 0.002): the composition of the market by car availability hides it. At the person level (step 33, binary logit on the survey's AM trips within the corridor, car availability, purpose, person and distance held constant) λ = 0.035 per generalized minute (95 % interval 0.002–0.068; 0.040 on the 2026 car skim; 0.053 with area fixed effects), but it is 0.083 for no-car households, not significant for licence holders in car-owning households (0.008 ± 0.017) — the segment the LRT would draw from the car. The chain therefore uses an assumed λ = 0.03 (range 0.02–0.05) and λ_T = 2λ, and reports the range (Figure 3.6).</w:t>
      </w:r>
    </w:p>
    <w:p>
      <w:r>
        <w:drawing>
          <wp:inline xmlns:a="http://schemas.openxmlformats.org/drawingml/2006/main" xmlns:pic="http://schemas.openxmlformats.org/drawingml/2006/picture">
            <wp:extent cx="5040000" cy="2243111"/>
            <wp:docPr id="7" name="Picture 7"/>
            <wp:cNvGraphicFramePr>
              <a:graphicFrameLocks noChangeAspect="1"/>
            </wp:cNvGraphicFramePr>
            <a:graphic>
              <a:graphicData uri="http://schemas.openxmlformats.org/drawingml/2006/picture">
                <pic:pic>
                  <pic:nvPicPr>
                    <pic:cNvPr id="0" name="mode_choice_person_level_by_segment.png"/>
                    <pic:cNvPicPr/>
                  </pic:nvPicPr>
                  <pic:blipFill>
                    <a:blip r:embed="rId15"/>
                    <a:stretch>
                      <a:fillRect/>
                    </a:stretch>
                  </pic:blipFill>
                  <pic:spPr>
                    <a:xfrm>
                      <a:off x="0" y="0"/>
                      <a:ext cx="5040000" cy="2243111"/>
                    </a:xfrm>
                    <a:prstGeom prst="rect"/>
                  </pic:spPr>
                </pic:pic>
              </a:graphicData>
            </a:graphic>
          </wp:inline>
        </w:drawing>
      </w:r>
    </w:p>
    <w:p>
      <w:r>
        <w:rPr>
          <w:i/>
          <w:sz w:val="16"/>
        </w:rPr>
        <w:t>Figure 3.6 — λ by car-availability segment, person-level estimation (step 33).</w:t>
      </w:r>
    </w:p>
    <w:p>
      <w:pPr>
        <w:pStyle w:val="Heading2"/>
      </w:pPr>
      <w:r>
        <w:t>3.4 The base scenario with the LRT (2022)</w:t>
      </w:r>
    </w:p>
    <w:p>
      <w:r>
        <w:t>With the main route + extension added to the 2022 service, the AM three-hour LRT demand on the corridor market is 5,193 trips Prioritized (4,209 Unprioritized), 4,004 of them using the extension; 295 come from the car and 4,898 from bus and Metronit. The transit share of the corridor market moves from 20.0 % to 20.8 %. The PM figure is 4,101 (79 % of the AM). In the peak hour: 3,059 AM and 1,961 PM (factors 0.59 / 0.48).</w:t>
      </w:r>
    </w:p>
    <w:p>
      <w:r>
        <w:t>The uncertainty experiment (step 40) and the λ / premium ranges of step 31 put the 2022 capture between about 0.75 × and 1.4 × the central value: λ 0.02 → +40 %, λ 0.05 → −25 %; premium 0 → −20 %, premium 10 → +25 %. The regime (running time) is worth about −20 % (Unprioritized against Prioritized), of the same order as the λ range.</w:t>
      </w:r>
    </w:p>
    <w:p>
      <w:r>
        <w:drawing>
          <wp:inline xmlns:a="http://schemas.openxmlformats.org/drawingml/2006/main" xmlns:pic="http://schemas.openxmlformats.org/drawingml/2006/picture">
            <wp:extent cx="5040000" cy="2520000"/>
            <wp:docPr id="8" name="Picture 8"/>
            <wp:cNvGraphicFramePr>
              <a:graphicFrameLocks noChangeAspect="1"/>
            </wp:cNvGraphicFramePr>
            <a:graphic>
              <a:graphicData uri="http://schemas.openxmlformats.org/drawingml/2006/picture">
                <pic:pic>
                  <pic:nvPicPr>
                    <pic:cNvPr id="0" name="lrt_capture_tornado.png"/>
                    <pic:cNvPicPr/>
                  </pic:nvPicPr>
                  <pic:blipFill>
                    <a:blip r:embed="rId16"/>
                    <a:stretch>
                      <a:fillRect/>
                    </a:stretch>
                  </pic:blipFill>
                  <pic:spPr>
                    <a:xfrm>
                      <a:off x="0" y="0"/>
                      <a:ext cx="5040000" cy="2520000"/>
                    </a:xfrm>
                    <a:prstGeom prst="rect"/>
                  </pic:spPr>
                </pic:pic>
              </a:graphicData>
            </a:graphic>
          </wp:inline>
        </w:drawing>
      </w:r>
    </w:p>
    <w:p>
      <w:r>
        <w:rPr>
          <w:i/>
          <w:sz w:val="16"/>
        </w:rPr>
        <w:t>Figure 3.7 — Sensitivity of the 2022 LRT capture to the assumed factors (step 40).</w:t>
      </w:r>
    </w:p>
    <w:p>
      <w:r>
        <w:drawing>
          <wp:inline xmlns:a="http://schemas.openxmlformats.org/drawingml/2006/main" xmlns:pic="http://schemas.openxmlformats.org/drawingml/2006/picture">
            <wp:extent cx="5400000" cy="3010084"/>
            <wp:docPr id="9" name="Picture 9"/>
            <wp:cNvGraphicFramePr>
              <a:graphicFrameLocks noChangeAspect="1"/>
            </wp:cNvGraphicFramePr>
            <a:graphic>
              <a:graphicData uri="http://schemas.openxmlformats.org/drawingml/2006/picture">
                <pic:pic>
                  <pic:nvPicPr>
                    <pic:cNvPr id="0" name="map_line_loads_AM_2022.png"/>
                    <pic:cNvPicPr/>
                  </pic:nvPicPr>
                  <pic:blipFill>
                    <a:blip r:embed="rId17"/>
                    <a:stretch>
                      <a:fillRect/>
                    </a:stretch>
                  </pic:blipFill>
                  <pic:spPr>
                    <a:xfrm>
                      <a:off x="0" y="0"/>
                      <a:ext cx="5400000" cy="3010084"/>
                    </a:xfrm>
                    <a:prstGeom prst="rect"/>
                  </pic:spPr>
                </pic:pic>
              </a:graphicData>
            </a:graphic>
          </wp:inline>
        </w:drawing>
      </w:r>
    </w:p>
    <w:p>
      <w:r>
        <w:rPr>
          <w:i/>
          <w:sz w:val="16"/>
        </w:rPr>
        <w:t>Figure 3.8 — LRT line loads and station boardings in the peak hour, 2022 AM, main route + extension, Prioritized (step 45); the width scale is the one shared by every line-load map of this report.</w:t>
      </w:r>
    </w:p>
    <w:p>
      <w:r>
        <w:drawing>
          <wp:inline xmlns:a="http://schemas.openxmlformats.org/drawingml/2006/main" xmlns:pic="http://schemas.openxmlformats.org/drawingml/2006/picture">
            <wp:extent cx="4320000" cy="4836798"/>
            <wp:docPr id="10" name="Picture 10"/>
            <wp:cNvGraphicFramePr>
              <a:graphicFrameLocks noChangeAspect="1"/>
            </wp:cNvGraphicFramePr>
            <a:graphic>
              <a:graphicData uri="http://schemas.openxmlformats.org/drawingml/2006/picture">
                <pic:pic>
                  <pic:nvPicPr>
                    <pic:cNvPr id="0" name="map_line_loads_AM_2022_zoom.png"/>
                    <pic:cNvPicPr/>
                  </pic:nvPicPr>
                  <pic:blipFill>
                    <a:blip r:embed="rId18"/>
                    <a:stretch>
                      <a:fillRect/>
                    </a:stretch>
                  </pic:blipFill>
                  <pic:spPr>
                    <a:xfrm>
                      <a:off x="0" y="0"/>
                      <a:ext cx="4320000" cy="4836798"/>
                    </a:xfrm>
                    <a:prstGeom prst="rect"/>
                  </pic:spPr>
                </pic:pic>
              </a:graphicData>
            </a:graphic>
          </wp:inline>
        </w:drawing>
      </w:r>
    </w:p>
    <w:p>
      <w:r>
        <w:rPr>
          <w:i/>
          <w:sz w:val="16"/>
        </w:rPr>
        <w:t>Figure 3.8z — The same, zoomed on the extension (Tirat Carmel – Hamifrats).</w:t>
      </w:r>
    </w:p>
    <w:p>
      <w:pPr>
        <w:pStyle w:val="Heading2"/>
      </w:pPr>
      <w:r>
        <w:t>3.5 What the model is good for, and what it should not be used for</w:t>
      </w:r>
    </w:p>
    <w:p>
      <w:r>
        <w:t>Good for:</w:t>
      </w:r>
    </w:p>
    <w:p>
      <w:pPr>
        <w:pStyle w:val="ListBullet"/>
      </w:pPr>
      <w:r>
        <w:t>Sizing the corridor market by mode and locating it (which areas and TAZs, which stations), at the three-hour peak and at the design-hour scale (≈ 1.8 × an average hour).</w:t>
      </w:r>
    </w:p>
    <w:p>
      <w:pPr>
        <w:pStyle w:val="ListBullet"/>
      </w:pPr>
      <w:r>
        <w:t>Ranking alternatives and regimes against each other — through line against extension only, Prioritized against Unprioritized — and reading the order of magnitude of the LRT's draw from bus, Metronit and car.</w:t>
      </w:r>
    </w:p>
    <w:p>
      <w:pPr>
        <w:pStyle w:val="ListBullet"/>
      </w:pPr>
      <w:r>
        <w:t>Showing how that market grows under the BU and HS demographics, with behaviour held constant.</w:t>
      </w:r>
    </w:p>
    <w:p>
      <w:pPr>
        <w:pStyle w:val="ListBullet"/>
      </w:pPr>
      <w:r>
        <w:t>Relative statements about the line profile: where the load peaks, how the two directions differ, how much of the line's demand uses the extension.</w:t>
      </w:r>
    </w:p>
    <w:p>
      <w:r>
        <w:t>Not to be used for:</w:t>
      </w:r>
    </w:p>
    <w:p>
      <w:pPr>
        <w:pStyle w:val="ListBullet"/>
      </w:pPr>
      <w:r>
        <w:t>Passenger loads for capacity, fleet or frequency decisions, or for appraisal. The volumes are unvalidated externally at the link level; the loads are three-hour potential movements between the cheapest-access stations with no capacity constraint or crowding.</w:t>
      </w:r>
    </w:p>
    <w:p>
      <w:pPr>
        <w:pStyle w:val="ListBullet"/>
      </w:pPr>
      <w:r>
        <w:t>Any statement that depends on the car's absolute travel time or on congestion in 2040 / 2050: the pivot cancels the car cost (caveat 25), the skims are May 2026 observed speeds in every year, and the forecast carries no road, service or car-ownership change. The slower-bus sensitivity of 4.9 bounds the transit side of this (+2–5 % of LRT trips); the car side is unbounded in this model.</w:t>
      </w:r>
    </w:p>
    <w:p>
      <w:pPr>
        <w:pStyle w:val="ListBullet"/>
      </w:pPr>
      <w:r>
        <w:t>The exact split between "from car" and "from transit": the induced car trips depend on the aggregation level the pivot is run at (TAZ gives 130 where the area level gives 414; caveat 27), and λ for choice riders is not identified (caveat 15).</w:t>
      </w:r>
    </w:p>
    <w:p>
      <w:pPr>
        <w:pStyle w:val="ListBullet"/>
      </w:pPr>
      <w:r>
        <w:t>TAZ-level detail as such: below the area level the matrices are allocations of survey trips by weights, not observations; a single TAZ's number is not reliable.</w:t>
      </w:r>
    </w:p>
    <w:p>
      <w:pPr>
        <w:pStyle w:val="ListBullet"/>
      </w:pPr>
      <w:r>
        <w:t>Operations of the main route: its stations, the 80 km/h at-grade running, the 5-minute headway and the through-running at Hamifrats without a transfer are assumptions (caveat 28); the PM forecast sets are grown at the AM rates.</w:t>
      </w:r>
    </w:p>
    <w:p>
      <w:r>
        <w:t>The full list of caveats (METHODOLOGY §8, rewritten 20 October 2026 for the survey-only chain: 34 numbered items, 29 current and 5 retired in §8.2; the numbers never change) in brief, in the order of §8.1:</w:t>
      </w:r>
    </w:p>
    <w:tbl>
      <w:tblPr>
        <w:tblStyle w:val="LightGrid-Accent1"/>
        <w:tblW w:type="auto" w:w="0"/>
        <w:tblLook w:firstColumn="1" w:firstRow="1" w:lastColumn="0" w:lastRow="0" w:noHBand="0" w:noVBand="1" w:val="04A0"/>
      </w:tblPr>
      <w:tblGrid>
        <w:gridCol w:w="4986"/>
        <w:gridCol w:w="4986"/>
      </w:tblGrid>
      <w:tr>
        <w:tc>
          <w:tcPr>
            <w:tcW w:type="dxa" w:w="4986"/>
          </w:tcPr>
          <w:p>
            <w:r>
              <w:rPr>
                <w:b/>
                <w:sz w:val="14"/>
              </w:rPr>
              <w:t>Caveat</w:t>
            </w:r>
          </w:p>
        </w:tc>
        <w:tc>
          <w:tcPr>
            <w:tcW w:type="dxa" w:w="4986"/>
          </w:tcPr>
          <w:p>
            <w:r>
              <w:rPr>
                <w:b/>
                <w:sz w:val="14"/>
              </w:rPr>
              <w:t>In brief</w:t>
            </w:r>
          </w:p>
        </w:tc>
      </w:tr>
      <w:tr>
        <w:tc>
          <w:tcPr>
            <w:tcW w:type="dxa" w:w="4986"/>
          </w:tcPr>
          <w:p>
            <w:r>
              <w:rPr>
                <w:sz w:val="14"/>
              </w:rPr>
              <w:t>3</w:t>
            </w:r>
          </w:p>
        </w:tc>
        <w:tc>
          <w:tcPr>
            <w:tcW w:type="dxa" w:w="4986"/>
          </w:tcPr>
          <w:p>
            <w:r>
              <w:rPr>
                <w:sz w:val="14"/>
              </w:rPr>
              <w:t>No independent source for the volume of short and intra-zonal trips: the survey carries 3.6 × the cellular volume at super-zone level and the TAZ matrices keep 20.6 % of the AM trips on the diagonal (guideline limit 5 %); the capture between areas is not affected, any reading below the area level is.</w:t>
            </w:r>
          </w:p>
        </w:tc>
      </w:tr>
      <w:tr>
        <w:tc>
          <w:tcPr>
            <w:tcW w:type="dxa" w:w="4986"/>
          </w:tcPr>
          <w:p>
            <w:r>
              <w:rPr>
                <w:sz w:val="14"/>
              </w:rPr>
              <w:t>4</w:t>
            </w:r>
          </w:p>
        </w:tc>
        <w:tc>
          <w:tcPr>
            <w:tcW w:type="dxa" w:w="4986"/>
          </w:tcPr>
          <w:p>
            <w:r>
              <w:rPr>
                <w:sz w:val="14"/>
              </w:rPr>
              <w:t>Both survey days are the same households: day-to-day agreement is a repeatability reference, not a measure of accuracy.</w:t>
            </w:r>
          </w:p>
        </w:tc>
      </w:tr>
      <w:tr>
        <w:tc>
          <w:tcPr>
            <w:tcW w:type="dxa" w:w="4986"/>
          </w:tcPr>
          <w:p>
            <w:r>
              <w:rPr>
                <w:sz w:val="14"/>
              </w:rPr>
              <w:t>5</w:t>
            </w:r>
          </w:p>
        </w:tc>
        <w:tc>
          <w:tcPr>
            <w:tcW w:type="dxa" w:w="4986"/>
          </w:tcPr>
          <w:p>
            <w:r>
              <w:rPr>
                <w:sz w:val="14"/>
              </w:rPr>
              <w:t>TAZ detail is an allocation of the survey's 1250-zones by population and employment, not an observation; area totals are solid, the number of a single TAZ is not (caveat 27 inherits this).</w:t>
            </w:r>
          </w:p>
        </w:tc>
      </w:tr>
      <w:tr>
        <w:tc>
          <w:tcPr>
            <w:tcW w:type="dxa" w:w="4986"/>
          </w:tcPr>
          <w:p>
            <w:r>
              <w:rPr>
                <w:sz w:val="14"/>
              </w:rPr>
              <w:t>19</w:t>
            </w:r>
          </w:p>
        </w:tc>
        <w:tc>
          <w:tcPr>
            <w:tcW w:type="dxa" w:w="4986"/>
          </w:tcPr>
          <w:p>
            <w:r>
              <w:rPr>
                <w:sz w:val="14"/>
              </w:rPr>
              <w:t>Two super-zone keys disagree on 142 TAZs; the keys table the chain uses is authoritative (decision of 4 October 2026).</w:t>
            </w:r>
          </w:p>
        </w:tc>
      </w:tr>
      <w:tr>
        <w:tc>
          <w:tcPr>
            <w:tcW w:type="dxa" w:w="4986"/>
          </w:tcPr>
          <w:p>
            <w:r>
              <w:rPr>
                <w:sz w:val="14"/>
              </w:rPr>
              <w:t>22</w:t>
            </w:r>
          </w:p>
        </w:tc>
        <w:tc>
          <w:tcPr>
            <w:tcW w:type="dxa" w:w="4986"/>
          </w:tcPr>
          <w:p>
            <w:r>
              <w:rPr>
                <w:sz w:val="14"/>
              </w:rPr>
              <w:t>The survey population is 5 % above the zonal population and its households are larger; the 2022 layers carry this into the trip rates per resident.</w:t>
            </w:r>
          </w:p>
        </w:tc>
      </w:tr>
      <w:tr>
        <w:tc>
          <w:tcPr>
            <w:tcW w:type="dxa" w:w="4986"/>
          </w:tcPr>
          <w:p>
            <w:r>
              <w:rPr>
                <w:sz w:val="14"/>
              </w:rPr>
              <w:t>7</w:t>
            </w:r>
          </w:p>
        </w:tc>
        <w:tc>
          <w:tcPr>
            <w:tcW w:type="dxa" w:w="4986"/>
          </w:tcPr>
          <w:p>
            <w:r>
              <w:rPr>
                <w:sz w:val="14"/>
              </w:rPr>
              <w:t>Units of the transit sources are not fully reconciled: survey door-to-door journeys, RavKav linked journeys, station-to-station rail, the OnBoard P(alight | board).</w:t>
            </w:r>
          </w:p>
        </w:tc>
      </w:tr>
      <w:tr>
        <w:tc>
          <w:tcPr>
            <w:tcW w:type="dxa" w:w="4986"/>
          </w:tcPr>
          <w:p>
            <w:r>
              <w:rPr>
                <w:sz w:val="14"/>
              </w:rPr>
              <w:t>8</w:t>
            </w:r>
          </w:p>
        </w:tc>
        <w:tc>
          <w:tcPr>
            <w:tcW w:type="dxa" w:w="4986"/>
          </w:tcPr>
          <w:p>
            <w:r>
              <w:rPr>
                <w:sz w:val="14"/>
              </w:rPr>
              <w:t>The segmented coverage rule is an assumption with a threshold: the bus base moves from 96,000 to 129,500 as the threshold goes from 0.3 to 0.7 (115,430 at 0.5, the base).</w:t>
            </w:r>
          </w:p>
        </w:tc>
      </w:tr>
      <w:tr>
        <w:tc>
          <w:tcPr>
            <w:tcW w:type="dxa" w:w="4986"/>
          </w:tcPr>
          <w:p>
            <w:r>
              <w:rPr>
                <w:sz w:val="14"/>
              </w:rPr>
              <w:t>16</w:t>
            </w:r>
          </w:p>
        </w:tc>
        <w:tc>
          <w:tcPr>
            <w:tcW w:type="dxa" w:w="4986"/>
          </w:tcPr>
          <w:p>
            <w:r>
              <w:rPr>
                <w:sz w:val="14"/>
              </w:rPr>
              <w:t>The RavKav 2025 extracts are boardings whose transfer tag is not the 2022 journey linking, with stop codes that collide across operators; the chain is not re-anchored on them.</w:t>
            </w:r>
          </w:p>
        </w:tc>
      </w:tr>
      <w:tr>
        <w:tc>
          <w:tcPr>
            <w:tcW w:type="dxa" w:w="4986"/>
          </w:tcPr>
          <w:p>
            <w:r>
              <w:rPr>
                <w:sz w:val="14"/>
              </w:rPr>
              <w:t>17</w:t>
            </w:r>
          </w:p>
        </w:tc>
        <w:tc>
          <w:tcPr>
            <w:tcW w:type="dxa" w:w="4986"/>
          </w:tcPr>
          <w:p>
            <w:r>
              <w:rPr>
                <w:sz w:val="14"/>
              </w:rPr>
              <w:t>The OnBoard destination pattern is what separated the ticketing products from the survey; step 15 now uses RavKav's own alightings, and the Nazareth-branch market stays a range.</w:t>
            </w:r>
          </w:p>
        </w:tc>
      </w:tr>
      <w:tr>
        <w:tc>
          <w:tcPr>
            <w:tcW w:type="dxa" w:w="4986"/>
          </w:tcPr>
          <w:p>
            <w:r>
              <w:rPr>
                <w:sz w:val="14"/>
              </w:rPr>
              <w:t>20</w:t>
            </w:r>
          </w:p>
        </w:tc>
        <w:tc>
          <w:tcPr>
            <w:tcW w:type="dxa" w:w="4986"/>
          </w:tcPr>
          <w:p>
            <w:r>
              <w:rPr>
                <w:sz w:val="14"/>
              </w:rPr>
              <w:t>The RavKav shortfall against the survey is an AM, education-heavy phenomenon (0.74 AM, 0.96 PM, 0.93 midday).</w:t>
            </w:r>
          </w:p>
        </w:tc>
      </w:tr>
      <w:tr>
        <w:tc>
          <w:tcPr>
            <w:tcW w:type="dxa" w:w="4986"/>
          </w:tcPr>
          <w:p>
            <w:r>
              <w:rPr>
                <w:sz w:val="14"/>
              </w:rPr>
              <w:t>11</w:t>
            </w:r>
          </w:p>
        </w:tc>
        <w:tc>
          <w:tcPr>
            <w:tcW w:type="dxa" w:w="4986"/>
          </w:tcPr>
          <w:p>
            <w:r>
              <w:rPr>
                <w:sz w:val="14"/>
              </w:rPr>
              <w:t>The vintages are mixed (survey 2017/18 grown to 2022, RavKav May 2022, counts 2017–2023, GTFS and speeds 2026) and aligned by assumption.</w:t>
            </w:r>
          </w:p>
        </w:tc>
      </w:tr>
      <w:tr>
        <w:tc>
          <w:tcPr>
            <w:tcW w:type="dxa" w:w="4986"/>
          </w:tcPr>
          <w:p>
            <w:r>
              <w:rPr>
                <w:sz w:val="14"/>
              </w:rPr>
              <w:t>10</w:t>
            </w:r>
          </w:p>
        </w:tc>
        <w:tc>
          <w:tcPr>
            <w:tcW w:type="dxa" w:w="4986"/>
          </w:tcPr>
          <w:p>
            <w:r>
              <w:rPr>
                <w:sz w:val="14"/>
              </w:rPr>
              <w:t>The 2040 / 2050 matrices are a demographic reference, not a behavioural forecast: mode split, trip rates and destination choice stay at 2022, the forecast sets seed trips into TAZ pairs empty in 2022 (caveat 29), and the May 2026 skims serve every year.</w:t>
            </w:r>
          </w:p>
        </w:tc>
      </w:tr>
      <w:tr>
        <w:tc>
          <w:tcPr>
            <w:tcW w:type="dxa" w:w="4986"/>
          </w:tcPr>
          <w:p>
            <w:r>
              <w:rPr>
                <w:sz w:val="14"/>
              </w:rPr>
              <w:t>31</w:t>
            </w:r>
          </w:p>
        </w:tc>
        <w:tc>
          <w:tcPr>
            <w:tcW w:type="dxa" w:w="4986"/>
          </w:tcPr>
          <w:p>
            <w:r>
              <w:rPr>
                <w:sz w:val="14"/>
              </w:rPr>
              <w:t>Time frame: one representative weekday (two survey days, four May 2022 Tuesdays, one June 2026 GTFS day, May 2026 speeds); no seasonality, and the PM forecast sets are grown at the AM rates.</w:t>
            </w:r>
          </w:p>
        </w:tc>
      </w:tr>
      <w:tr>
        <w:tc>
          <w:tcPr>
            <w:tcW w:type="dxa" w:w="4986"/>
          </w:tcPr>
          <w:p>
            <w:r>
              <w:rPr>
                <w:sz w:val="14"/>
              </w:rPr>
              <w:t>12</w:t>
            </w:r>
          </w:p>
        </w:tc>
        <w:tc>
          <w:tcPr>
            <w:tcW w:type="dxa" w:w="4986"/>
          </w:tcPr>
          <w:p>
            <w:r>
              <w:rPr>
                <w:sz w:val="14"/>
              </w:rPr>
              <w:t>Corridor profiles are potential movements between areas, not passenger loads or upper bounds on LRT demand.</w:t>
            </w:r>
          </w:p>
        </w:tc>
      </w:tr>
      <w:tr>
        <w:tc>
          <w:tcPr>
            <w:tcW w:type="dxa" w:w="4986"/>
          </w:tcPr>
          <w:p>
            <w:r>
              <w:rPr>
                <w:sz w:val="14"/>
              </w:rPr>
              <w:t>13</w:t>
            </w:r>
          </w:p>
        </w:tc>
        <w:tc>
          <w:tcPr>
            <w:tcW w:type="dxa" w:w="4986"/>
          </w:tcPr>
          <w:p>
            <w:r>
              <w:rPr>
                <w:sz w:val="14"/>
              </w:rPr>
              <w:t>Similarity tests are diagnostics, not validation; external evidence exists for the car and for the bus against RavKav, not for the Haifa-segment bus loads or the transfers at Hamifrats.</w:t>
            </w:r>
          </w:p>
        </w:tc>
      </w:tr>
      <w:tr>
        <w:tc>
          <w:tcPr>
            <w:tcW w:type="dxa" w:w="4986"/>
          </w:tcPr>
          <w:p>
            <w:r>
              <w:rPr>
                <w:sz w:val="14"/>
              </w:rPr>
              <w:t>18</w:t>
            </w:r>
          </w:p>
        </w:tc>
        <w:tc>
          <w:tcPr>
            <w:tcW w:type="dxa" w:w="4986"/>
          </w:tcPr>
          <w:p>
            <w:r>
              <w:rPr>
                <w:sz w:val="14"/>
              </w:rPr>
              <w:t>The survey's departure-time profile is peakier than the road counts and the fare gates (0.62 vs 0.38–0.48 of the three hours in the peak hour); the peak-hour factors are an upper bound.</w:t>
            </w:r>
          </w:p>
        </w:tc>
      </w:tr>
      <w:tr>
        <w:tc>
          <w:tcPr>
            <w:tcW w:type="dxa" w:w="4986"/>
          </w:tcPr>
          <w:p>
            <w:r>
              <w:rPr>
                <w:sz w:val="14"/>
              </w:rPr>
              <w:t>21</w:t>
            </w:r>
          </w:p>
        </w:tc>
        <w:tc>
          <w:tcPr>
            <w:tcW w:type="dxa" w:w="4986"/>
          </w:tcPr>
          <w:p>
            <w:r>
              <w:rPr>
                <w:sz w:val="14"/>
              </w:rPr>
              <w:t>The car occupancy of step 36 was computed with the wrong hour (1.33; right hour AM 1.52, PM 1.52, midday 1.33); only the vehicle conversion of the count comparisons is affected.</w:t>
            </w:r>
          </w:p>
        </w:tc>
      </w:tr>
      <w:tr>
        <w:tc>
          <w:tcPr>
            <w:tcW w:type="dxa" w:w="4986"/>
          </w:tcPr>
          <w:p>
            <w:r>
              <w:rPr>
                <w:sz w:val="14"/>
              </w:rPr>
              <w:t>23</w:t>
            </w:r>
          </w:p>
        </w:tc>
        <w:tc>
          <w:tcPr>
            <w:tcW w:type="dxa" w:w="4986"/>
          </w:tcPr>
          <w:p>
            <w:r>
              <w:rPr>
                <w:sz w:val="14"/>
              </w:rPr>
              <w:t>The car layer does not reproduce the link counts' pattern (all-or-nothing on free-flow speeds, R² 0.47, no commercial or external traffic): not an assignment matrix for link forecasts.</w:t>
            </w:r>
          </w:p>
        </w:tc>
      </w:tr>
      <w:tr>
        <w:tc>
          <w:tcPr>
            <w:tcW w:type="dxa" w:w="4986"/>
          </w:tcPr>
          <w:p>
            <w:r>
              <w:rPr>
                <w:sz w:val="14"/>
              </w:rPr>
              <w:t>30</w:t>
            </w:r>
          </w:p>
        </w:tc>
        <w:tc>
          <w:tcPr>
            <w:tcW w:type="dxa" w:w="4986"/>
          </w:tcPr>
          <w:p>
            <w:r>
              <w:rPr>
                <w:sz w:val="14"/>
              </w:rPr>
              <w:t>Who is in the demand: residents with both trip ends inside the study area, AM 06:00–09:00; no visitors, through traffic or trucks; the capture is computed on the corridor market only (TAZ pairs in different V2 areas), not the line's total ridership.</w:t>
            </w:r>
          </w:p>
        </w:tc>
      </w:tr>
      <w:tr>
        <w:tc>
          <w:tcPr>
            <w:tcW w:type="dxa" w:w="4986"/>
          </w:tcPr>
          <w:p>
            <w:r>
              <w:rPr>
                <w:sz w:val="14"/>
              </w:rPr>
              <w:t>34</w:t>
            </w:r>
          </w:p>
        </w:tc>
        <w:tc>
          <w:tcPr>
            <w:tcW w:type="dxa" w:w="4986"/>
          </w:tcPr>
          <w:p>
            <w:r>
              <w:rPr>
                <w:sz w:val="14"/>
              </w:rPr>
              <w:t>Bus level of service is a timetable routed over the measured May 2026 speeds (78 % of links measured, 2.1 % of trip-segments fall back to the schedule); observed times are 1.09 × the scheduled.</w:t>
            </w:r>
          </w:p>
        </w:tc>
      </w:tr>
      <w:tr>
        <w:tc>
          <w:tcPr>
            <w:tcW w:type="dxa" w:w="4986"/>
          </w:tcPr>
          <w:p>
            <w:r>
              <w:rPr>
                <w:sz w:val="14"/>
              </w:rPr>
              <w:t>24</w:t>
            </w:r>
          </w:p>
        </w:tc>
        <w:tc>
          <w:tcPr>
            <w:tcW w:type="dxa" w:w="4986"/>
          </w:tcPr>
          <w:p>
            <w:r>
              <w:rPr>
                <w:sz w:val="14"/>
              </w:rPr>
              <w:t>The May 2026 car speeds are nearly the same in every hour — an all-day speed, not a peak one.</w:t>
            </w:r>
          </w:p>
        </w:tc>
      </w:tr>
      <w:tr>
        <w:tc>
          <w:tcPr>
            <w:tcW w:type="dxa" w:w="4986"/>
          </w:tcPr>
          <w:p>
            <w:r>
              <w:rPr>
                <w:sz w:val="14"/>
              </w:rPr>
              <w:t>32</w:t>
            </w:r>
          </w:p>
        </w:tc>
        <w:tc>
          <w:tcPr>
            <w:tcW w:type="dxa" w:w="4986"/>
          </w:tcPr>
          <w:p>
            <w:r>
              <w:rPr>
                <w:sz w:val="14"/>
              </w:rPr>
              <w:t>The LRT line and what is assumed about it: the client's alignment in two running regimes without signal simulation, the main route with its 20 delivered stops, nearest-station access, the premium, the free Metronit transfer and the 5-minute headway; no capacity, fare, park-and-ride or bus-network response.</w:t>
            </w:r>
          </w:p>
        </w:tc>
      </w:tr>
      <w:tr>
        <w:tc>
          <w:tcPr>
            <w:tcW w:type="dxa" w:w="4986"/>
          </w:tcPr>
          <w:p>
            <w:r>
              <w:rPr>
                <w:sz w:val="14"/>
              </w:rPr>
              <w:t>33</w:t>
            </w:r>
          </w:p>
        </w:tc>
        <w:tc>
          <w:tcPr>
            <w:tcW w:type="dxa" w:w="4986"/>
          </w:tcPr>
          <w:p>
            <w:r>
              <w:rPr>
                <w:sz w:val="14"/>
              </w:rPr>
              <w:t>The out-of-vehicle weights (walk, wait, transfer) are not confirmed: seven literature sets give an area-level capture of 1,456–4,935 around the central 4,254.</w:t>
            </w:r>
          </w:p>
        </w:tc>
      </w:tr>
      <w:tr>
        <w:tc>
          <w:tcPr>
            <w:tcW w:type="dxa" w:w="4986"/>
          </w:tcPr>
          <w:p>
            <w:r>
              <w:rPr>
                <w:sz w:val="14"/>
              </w:rPr>
              <w:t>15</w:t>
            </w:r>
          </w:p>
        </w:tc>
        <w:tc>
          <w:tcPr>
            <w:tcW w:type="dxa" w:w="4986"/>
          </w:tcPr>
          <w:p>
            <w:r>
              <w:rPr>
                <w:sz w:val="14"/>
              </w:rPr>
              <w:t>λ is estimated at the person level (0.035) but not identified for choice riders; the assumed 0.03 (0.02–0.05) is carried with its range.</w:t>
            </w:r>
          </w:p>
        </w:tc>
      </w:tr>
      <w:tr>
        <w:tc>
          <w:tcPr>
            <w:tcW w:type="dxa" w:w="4986"/>
          </w:tcPr>
          <w:p>
            <w:r>
              <w:rPr>
                <w:sz w:val="14"/>
              </w:rPr>
              <w:t>25</w:t>
            </w:r>
          </w:p>
        </w:tc>
        <w:tc>
          <w:tcPr>
            <w:tcW w:type="dxa" w:w="4986"/>
          </w:tcPr>
          <w:p>
            <w:r>
              <w:rPr>
                <w:sz w:val="14"/>
              </w:rPr>
              <w:t>The car skim's level does not reach the capture (the pivot cancels it): any statement about car-to-LRT diversion rests on λ and the transit-side costs alone.</w:t>
            </w:r>
          </w:p>
        </w:tc>
      </w:tr>
      <w:tr>
        <w:tc>
          <w:tcPr>
            <w:tcW w:type="dxa" w:w="4986"/>
          </w:tcPr>
          <w:p>
            <w:r>
              <w:rPr>
                <w:sz w:val="14"/>
              </w:rPr>
              <w:t>26</w:t>
            </w:r>
          </w:p>
        </w:tc>
        <w:tc>
          <w:tcPr>
            <w:tcW w:type="dxa" w:w="4986"/>
          </w:tcPr>
          <w:p>
            <w:r>
              <w:rPr>
                <w:sz w:val="14"/>
              </w:rPr>
              <w:t>The area-level transit skim understates the TAZ traveller's cost by 1.5 ×; the bus-versus-LRT comparison within the transit nest is sensitive to the asymmetry.</w:t>
            </w:r>
          </w:p>
        </w:tc>
      </w:tr>
      <w:tr>
        <w:tc>
          <w:tcPr>
            <w:tcW w:type="dxa" w:w="4986"/>
          </w:tcPr>
          <w:p>
            <w:r>
              <w:rPr>
                <w:sz w:val="14"/>
              </w:rPr>
              <w:t>27</w:t>
            </w:r>
          </w:p>
        </w:tc>
        <w:tc>
          <w:tcPr>
            <w:tcW w:type="dxa" w:w="4986"/>
          </w:tcPr>
          <w:p>
            <w:r>
              <w:rPr>
                <w:sz w:val="14"/>
              </w:rPr>
              <w:t>The trips induced from the car depend on the aggregation level of the pivot (414 at area level, 130 of them at TAZ level).</w:t>
            </w:r>
          </w:p>
        </w:tc>
      </w:tr>
      <w:tr>
        <w:tc>
          <w:tcPr>
            <w:tcW w:type="dxa" w:w="4986"/>
          </w:tcPr>
          <w:p>
            <w:r>
              <w:rPr>
                <w:sz w:val="14"/>
              </w:rPr>
              <w:t>28</w:t>
            </w:r>
          </w:p>
        </w:tc>
        <w:tc>
          <w:tcPr>
            <w:tcW w:type="dxa" w:w="4986"/>
          </w:tcPr>
          <w:p>
            <w:r>
              <w:rPr>
                <w:sz w:val="14"/>
              </w:rPr>
              <w:t>The main route's operation is assumed (20 delivered stops, 80 km/h at grade, 5-minute headway, through-running at Hamifrats); PM forecast sets grown at AM rates.</w:t>
            </w:r>
          </w:p>
        </w:tc>
      </w:tr>
      <w:tr>
        <w:tc>
          <w:tcPr>
            <w:tcW w:type="dxa" w:w="4986"/>
          </w:tcPr>
          <w:p>
            <w:r>
              <w:rPr>
                <w:sz w:val="14"/>
              </w:rPr>
              <w:t>29</w:t>
            </w:r>
          </w:p>
        </w:tc>
        <w:tc>
          <w:tcPr>
            <w:tcW w:type="dxa" w:w="4986"/>
          </w:tcPr>
          <w:p>
            <w:r>
              <w:rPr>
                <w:sz w:val="14"/>
              </w:rPr>
              <w:t>The car shift is not comparable between the AM forecast scenarios: the seeding of TAZ pairs empty in 2022 doubles the car → transit shift on a 4–16 % market growth.</w:t>
            </w:r>
          </w:p>
        </w:tc>
      </w:tr>
      <w:tr>
        <w:tc>
          <w:tcPr>
            <w:tcW w:type="dxa" w:w="4986"/>
          </w:tcPr>
          <w:p>
            <w:r>
              <w:rPr>
                <w:sz w:val="14"/>
              </w:rPr>
              <w:t>1, 2, 6, 9, 14 — retired (§8.2)</w:t>
            </w:r>
          </w:p>
        </w:tc>
        <w:tc>
          <w:tcPr>
            <w:tcW w:type="dxa" w:w="4986"/>
          </w:tcPr>
          <w:p>
            <w:r>
              <w:rPr>
                <w:sz w:val="14"/>
              </w:rPr>
              <w:t>Written for the survey × cellular hybrids of steps 1–4 and 6, which nothing current reads, or since resolved (the taxi-type codes, the swapped mode codes 4 / 5 and the rerun of 23 September 2026); kept with their numbers so that older references can be traced.</w:t>
            </w:r>
          </w:p>
        </w:tc>
      </w:tr>
    </w:tbl>
    <w:p>
      <w:pPr>
        <w:pStyle w:val="Heading1"/>
      </w:pPr>
      <w:r>
        <w:t>4. Results — the 2040 and 2050 scenarios</w:t>
      </w:r>
    </w:p>
    <w:p>
      <w:r>
        <w:rPr>
          <w:b/>
        </w:rPr>
        <w:t>2050 BU is the principal reference case: the planning year 2050 with the business-as-usual demographics; 2040 and the high scenario (HS) are shown as growth sensitivities. The HS sets also move the market's composition (section 4.3), so the reference case is the one to plan on and the HS figures the upper growth reading.</w:t>
      </w:r>
    </w:p>
    <w:p>
      <w:r>
        <w:t>All results in this section are for the main route + extension run as one through line (Tirat Carmel – Hamifrats – Nazareth) in the Prioritized regime of the extension, on the corridor market (TAZ pairs of the 174 corridor TAZs in different areas), three-hour periods. The extension part is reported within that run: trips that ride at least one segment between S01 and S24, and trips with both ends at extension stations. The Unprioritized regime is given as a sensitivity in 4.8. The 2022 row is the base with the LRT added to today's service. Source: Output/alternatives/demand_summary.csv and the per-run folders Output/alternatives/{AM,PM}/{scenario}/main_ext_prioritized/.</w:t>
      </w:r>
    </w:p>
    <w:p>
      <w:r>
        <w:t>Periods and the peak hour. The matrices are three-hour periods (AM 06:00–09:00, PM 16:00–19:00); the tables give the three-hour totals with the peak-hour values beside them, and every chart and map is drawn for the peak hour. The peak-hour factors are the share of the three hours in the busiest sliding 60-minute window of the survey's departures (step 27's method, run on both windows; Output/alternatives/peak_hour_factors.csv): line loads use the network bus factor of the direction (the chain's convention for LRT loads since step 31, the LRT and total transit alike); totals use the study-area factor of the layer. The observed design-hour factors are lower (RavKav boardings 0.43–0.48, road counts 0.38–0.43 in the AM; caveat 18), so the peak-hour values here are the survey's, the upper reading.</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4"/>
              </w:rPr>
              <w:t>period</w:t>
            </w:r>
          </w:p>
        </w:tc>
        <w:tc>
          <w:tcPr>
            <w:tcW w:type="dxa" w:w="1662"/>
          </w:tcPr>
          <w:p>
            <w:r>
              <w:rPr>
                <w:b/>
                <w:sz w:val="14"/>
              </w:rPr>
              <w:t>layer</w:t>
            </w:r>
          </w:p>
        </w:tc>
        <w:tc>
          <w:tcPr>
            <w:tcW w:type="dxa" w:w="1662"/>
          </w:tcPr>
          <w:p>
            <w:r>
              <w:rPr>
                <w:b/>
                <w:sz w:val="14"/>
              </w:rPr>
              <w:t>direction</w:t>
            </w:r>
          </w:p>
        </w:tc>
        <w:tc>
          <w:tcPr>
            <w:tcW w:type="dxa" w:w="1662"/>
          </w:tcPr>
          <w:p>
            <w:r>
              <w:rPr>
                <w:b/>
                <w:sz w:val="14"/>
              </w:rPr>
              <w:t>PHF3h</w:t>
            </w:r>
          </w:p>
        </w:tc>
        <w:tc>
          <w:tcPr>
            <w:tcW w:type="dxa" w:w="1662"/>
          </w:tcPr>
          <w:p>
            <w:r>
              <w:rPr>
                <w:b/>
                <w:sz w:val="14"/>
              </w:rPr>
              <w:t>peak hour</w:t>
            </w:r>
          </w:p>
        </w:tc>
        <w:tc>
          <w:tcPr>
            <w:tcW w:type="dxa" w:w="1662"/>
          </w:tcPr>
          <w:p>
            <w:r>
              <w:rPr>
                <w:b/>
                <w:sz w:val="14"/>
              </w:rPr>
              <w:t>basis</w:t>
            </w:r>
          </w:p>
        </w:tc>
      </w:tr>
      <w:tr>
        <w:tc>
          <w:tcPr>
            <w:tcW w:type="dxa" w:w="1662"/>
          </w:tcPr>
          <w:p>
            <w:r>
              <w:rPr>
                <w:sz w:val="14"/>
              </w:rPr>
              <w:t>AM</w:t>
            </w:r>
          </w:p>
        </w:tc>
        <w:tc>
          <w:tcPr>
            <w:tcW w:type="dxa" w:w="1662"/>
          </w:tcPr>
          <w:p>
            <w:r>
              <w:rPr>
                <w:sz w:val="14"/>
              </w:rPr>
              <w:t>car</w:t>
            </w:r>
          </w:p>
        </w:tc>
        <w:tc>
          <w:tcPr>
            <w:tcW w:type="dxa" w:w="1662"/>
          </w:tcPr>
          <w:p>
            <w:r>
              <w:rPr>
                <w:sz w:val="14"/>
              </w:rPr>
              <w:t>up</w:t>
            </w:r>
          </w:p>
        </w:tc>
        <w:tc>
          <w:tcPr>
            <w:tcW w:type="dxa" w:w="1662"/>
          </w:tcPr>
          <w:p>
            <w:r>
              <w:rPr>
                <w:sz w:val="14"/>
              </w:rPr>
              <w:t>0.556</w:t>
            </w:r>
          </w:p>
        </w:tc>
        <w:tc>
          <w:tcPr>
            <w:tcW w:type="dxa" w:w="1662"/>
          </w:tcPr>
          <w:p>
            <w:r>
              <w:rPr>
                <w:sz w:val="14"/>
              </w:rPr>
              <w:t>07:15–08:15</w:t>
            </w:r>
          </w:p>
        </w:tc>
        <w:tc>
          <w:tcPr>
            <w:tcW w:type="dxa" w:w="1662"/>
          </w:tcPr>
          <w:p>
            <w:r>
              <w:rPr>
                <w:sz w:val="14"/>
              </w:rPr>
              <w:t>step 27's method, network scope, CAR trips crossing links in this direction</w:t>
            </w:r>
          </w:p>
        </w:tc>
      </w:tr>
      <w:tr>
        <w:tc>
          <w:tcPr>
            <w:tcW w:type="dxa" w:w="1662"/>
          </w:tcPr>
          <w:p>
            <w:r>
              <w:rPr>
                <w:sz w:val="14"/>
              </w:rPr>
              <w:t>AM</w:t>
            </w:r>
          </w:p>
        </w:tc>
        <w:tc>
          <w:tcPr>
            <w:tcW w:type="dxa" w:w="1662"/>
          </w:tcPr>
          <w:p>
            <w:r>
              <w:rPr>
                <w:sz w:val="14"/>
              </w:rPr>
              <w:t>car</w:t>
            </w:r>
          </w:p>
        </w:tc>
        <w:tc>
          <w:tcPr>
            <w:tcW w:type="dxa" w:w="1662"/>
          </w:tcPr>
          <w:p>
            <w:r>
              <w:rPr>
                <w:sz w:val="14"/>
              </w:rPr>
              <w:t>down</w:t>
            </w:r>
          </w:p>
        </w:tc>
        <w:tc>
          <w:tcPr>
            <w:tcW w:type="dxa" w:w="1662"/>
          </w:tcPr>
          <w:p>
            <w:r>
              <w:rPr>
                <w:sz w:val="14"/>
              </w:rPr>
              <w:t>0.522</w:t>
            </w:r>
          </w:p>
        </w:tc>
        <w:tc>
          <w:tcPr>
            <w:tcW w:type="dxa" w:w="1662"/>
          </w:tcPr>
          <w:p>
            <w:r>
              <w:rPr>
                <w:sz w:val="14"/>
              </w:rPr>
              <w:t>07:00–08:00</w:t>
            </w:r>
          </w:p>
        </w:tc>
        <w:tc>
          <w:tcPr>
            <w:tcW w:type="dxa" w:w="1662"/>
          </w:tcPr>
          <w:p>
            <w:r>
              <w:rPr>
                <w:sz w:val="14"/>
              </w:rPr>
              <w:t>step 27's method, network scope, CAR trips crossing links in this direction</w:t>
            </w:r>
          </w:p>
        </w:tc>
      </w:tr>
      <w:tr>
        <w:tc>
          <w:tcPr>
            <w:tcW w:type="dxa" w:w="1662"/>
          </w:tcPr>
          <w:p>
            <w:r>
              <w:rPr>
                <w:sz w:val="14"/>
              </w:rPr>
              <w:t>AM</w:t>
            </w:r>
          </w:p>
        </w:tc>
        <w:tc>
          <w:tcPr>
            <w:tcW w:type="dxa" w:w="1662"/>
          </w:tcPr>
          <w:p>
            <w:r>
              <w:rPr>
                <w:sz w:val="14"/>
              </w:rPr>
              <w:t>car</w:t>
            </w:r>
          </w:p>
        </w:tc>
        <w:tc>
          <w:tcPr>
            <w:tcW w:type="dxa" w:w="1662"/>
          </w:tcPr>
          <w:p>
            <w:r>
              <w:rPr>
                <w:sz w:val="14"/>
              </w:rPr>
              <w:t>all</w:t>
            </w:r>
          </w:p>
        </w:tc>
        <w:tc>
          <w:tcPr>
            <w:tcW w:type="dxa" w:w="1662"/>
          </w:tcPr>
          <w:p>
            <w:r>
              <w:rPr>
                <w:sz w:val="14"/>
              </w:rPr>
              <w:t>0.621</w:t>
            </w:r>
          </w:p>
        </w:tc>
        <w:tc>
          <w:tcPr>
            <w:tcW w:type="dxa" w:w="1662"/>
          </w:tcPr>
          <w:p>
            <w:r>
              <w:rPr>
                <w:sz w:val="14"/>
              </w:rPr>
              <w:t>07:00–08:00</w:t>
            </w:r>
          </w:p>
        </w:tc>
        <w:tc>
          <w:tcPr>
            <w:tcW w:type="dxa" w:w="1662"/>
          </w:tcPr>
          <w:p>
            <w:r>
              <w:rPr>
                <w:sz w:val="14"/>
              </w:rPr>
              <w:t>step 27's method, study area, all CAR trips</w:t>
            </w:r>
          </w:p>
        </w:tc>
      </w:tr>
      <w:tr>
        <w:tc>
          <w:tcPr>
            <w:tcW w:type="dxa" w:w="1662"/>
          </w:tcPr>
          <w:p>
            <w:r>
              <w:rPr>
                <w:sz w:val="14"/>
              </w:rPr>
              <w:t>AM</w:t>
            </w:r>
          </w:p>
        </w:tc>
        <w:tc>
          <w:tcPr>
            <w:tcW w:type="dxa" w:w="1662"/>
          </w:tcPr>
          <w:p>
            <w:r>
              <w:rPr>
                <w:sz w:val="14"/>
              </w:rPr>
              <w:t>transit</w:t>
            </w:r>
          </w:p>
        </w:tc>
        <w:tc>
          <w:tcPr>
            <w:tcW w:type="dxa" w:w="1662"/>
          </w:tcPr>
          <w:p>
            <w:r>
              <w:rPr>
                <w:sz w:val="14"/>
              </w:rPr>
              <w:t>up</w:t>
            </w:r>
          </w:p>
        </w:tc>
        <w:tc>
          <w:tcPr>
            <w:tcW w:type="dxa" w:w="1662"/>
          </w:tcPr>
          <w:p>
            <w:r>
              <w:rPr>
                <w:sz w:val="14"/>
              </w:rPr>
              <w:t>0.549</w:t>
            </w:r>
          </w:p>
        </w:tc>
        <w:tc>
          <w:tcPr>
            <w:tcW w:type="dxa" w:w="1662"/>
          </w:tcPr>
          <w:p>
            <w:r>
              <w:rPr>
                <w:sz w:val="14"/>
              </w:rPr>
              <w:t>07:30–08:30</w:t>
            </w:r>
          </w:p>
        </w:tc>
        <w:tc>
          <w:tcPr>
            <w:tcW w:type="dxa" w:w="1662"/>
          </w:tcPr>
          <w:p>
            <w:r>
              <w:rPr>
                <w:sz w:val="14"/>
              </w:rPr>
              <w:t>step 27's method, network scope, BUS trips crossing links in this direction</w:t>
            </w:r>
          </w:p>
        </w:tc>
      </w:tr>
      <w:tr>
        <w:tc>
          <w:tcPr>
            <w:tcW w:type="dxa" w:w="1662"/>
          </w:tcPr>
          <w:p>
            <w:r>
              <w:rPr>
                <w:sz w:val="14"/>
              </w:rPr>
              <w:t>AM</w:t>
            </w:r>
          </w:p>
        </w:tc>
        <w:tc>
          <w:tcPr>
            <w:tcW w:type="dxa" w:w="1662"/>
          </w:tcPr>
          <w:p>
            <w:r>
              <w:rPr>
                <w:sz w:val="14"/>
              </w:rPr>
              <w:t>transit</w:t>
            </w:r>
          </w:p>
        </w:tc>
        <w:tc>
          <w:tcPr>
            <w:tcW w:type="dxa" w:w="1662"/>
          </w:tcPr>
          <w:p>
            <w:r>
              <w:rPr>
                <w:sz w:val="14"/>
              </w:rPr>
              <w:t>down</w:t>
            </w:r>
          </w:p>
        </w:tc>
        <w:tc>
          <w:tcPr>
            <w:tcW w:type="dxa" w:w="1662"/>
          </w:tcPr>
          <w:p>
            <w:r>
              <w:rPr>
                <w:sz w:val="14"/>
              </w:rPr>
              <w:t>0.457</w:t>
            </w:r>
          </w:p>
        </w:tc>
        <w:tc>
          <w:tcPr>
            <w:tcW w:type="dxa" w:w="1662"/>
          </w:tcPr>
          <w:p>
            <w:r>
              <w:rPr>
                <w:sz w:val="14"/>
              </w:rPr>
              <w:t>07:00–08:00</w:t>
            </w:r>
          </w:p>
        </w:tc>
        <w:tc>
          <w:tcPr>
            <w:tcW w:type="dxa" w:w="1662"/>
          </w:tcPr>
          <w:p>
            <w:r>
              <w:rPr>
                <w:sz w:val="14"/>
              </w:rPr>
              <w:t>step 27's method, network scope, BUS trips crossing links in this direction</w:t>
            </w:r>
          </w:p>
        </w:tc>
      </w:tr>
      <w:tr>
        <w:tc>
          <w:tcPr>
            <w:tcW w:type="dxa" w:w="1662"/>
          </w:tcPr>
          <w:p>
            <w:r>
              <w:rPr>
                <w:sz w:val="14"/>
              </w:rPr>
              <w:t>AM</w:t>
            </w:r>
          </w:p>
        </w:tc>
        <w:tc>
          <w:tcPr>
            <w:tcW w:type="dxa" w:w="1662"/>
          </w:tcPr>
          <w:p>
            <w:r>
              <w:rPr>
                <w:sz w:val="14"/>
              </w:rPr>
              <w:t>transit</w:t>
            </w:r>
          </w:p>
        </w:tc>
        <w:tc>
          <w:tcPr>
            <w:tcW w:type="dxa" w:w="1662"/>
          </w:tcPr>
          <w:p>
            <w:r>
              <w:rPr>
                <w:sz w:val="14"/>
              </w:rPr>
              <w:t>all</w:t>
            </w:r>
          </w:p>
        </w:tc>
        <w:tc>
          <w:tcPr>
            <w:tcW w:type="dxa" w:w="1662"/>
          </w:tcPr>
          <w:p>
            <w:r>
              <w:rPr>
                <w:sz w:val="14"/>
              </w:rPr>
              <w:t>0.589</w:t>
            </w:r>
          </w:p>
        </w:tc>
        <w:tc>
          <w:tcPr>
            <w:tcW w:type="dxa" w:w="1662"/>
          </w:tcPr>
          <w:p>
            <w:r>
              <w:rPr>
                <w:sz w:val="14"/>
              </w:rPr>
              <w:t>07:00–08:00</w:t>
            </w:r>
          </w:p>
        </w:tc>
        <w:tc>
          <w:tcPr>
            <w:tcW w:type="dxa" w:w="1662"/>
          </w:tcPr>
          <w:p>
            <w:r>
              <w:rPr>
                <w:sz w:val="14"/>
              </w:rPr>
              <w:t>step 27's method, study area, all BUS trips</w:t>
            </w:r>
          </w:p>
        </w:tc>
      </w:tr>
      <w:tr>
        <w:tc>
          <w:tcPr>
            <w:tcW w:type="dxa" w:w="1662"/>
          </w:tcPr>
          <w:p>
            <w:r>
              <w:rPr>
                <w:sz w:val="14"/>
              </w:rPr>
              <w:t>PM</w:t>
            </w:r>
          </w:p>
        </w:tc>
        <w:tc>
          <w:tcPr>
            <w:tcW w:type="dxa" w:w="1662"/>
          </w:tcPr>
          <w:p>
            <w:r>
              <w:rPr>
                <w:sz w:val="14"/>
              </w:rPr>
              <w:t>car</w:t>
            </w:r>
          </w:p>
        </w:tc>
        <w:tc>
          <w:tcPr>
            <w:tcW w:type="dxa" w:w="1662"/>
          </w:tcPr>
          <w:p>
            <w:r>
              <w:rPr>
                <w:sz w:val="14"/>
              </w:rPr>
              <w:t>up</w:t>
            </w:r>
          </w:p>
        </w:tc>
        <w:tc>
          <w:tcPr>
            <w:tcW w:type="dxa" w:w="1662"/>
          </w:tcPr>
          <w:p>
            <w:r>
              <w:rPr>
                <w:sz w:val="14"/>
              </w:rPr>
              <w:t>0.445</w:t>
            </w:r>
          </w:p>
        </w:tc>
        <w:tc>
          <w:tcPr>
            <w:tcW w:type="dxa" w:w="1662"/>
          </w:tcPr>
          <w:p>
            <w:r>
              <w:rPr>
                <w:sz w:val="14"/>
              </w:rPr>
              <w:t>16:00–17:00</w:t>
            </w:r>
          </w:p>
        </w:tc>
        <w:tc>
          <w:tcPr>
            <w:tcW w:type="dxa" w:w="1662"/>
          </w:tcPr>
          <w:p>
            <w:r>
              <w:rPr>
                <w:sz w:val="14"/>
              </w:rPr>
              <w:t>step 27's method, network scope, CAR trips crossing links in this direction, PM window 16:00–19:00</w:t>
            </w:r>
          </w:p>
        </w:tc>
      </w:tr>
      <w:tr>
        <w:tc>
          <w:tcPr>
            <w:tcW w:type="dxa" w:w="1662"/>
          </w:tcPr>
          <w:p>
            <w:r>
              <w:rPr>
                <w:sz w:val="14"/>
              </w:rPr>
              <w:t>PM</w:t>
            </w:r>
          </w:p>
        </w:tc>
        <w:tc>
          <w:tcPr>
            <w:tcW w:type="dxa" w:w="1662"/>
          </w:tcPr>
          <w:p>
            <w:r>
              <w:rPr>
                <w:sz w:val="14"/>
              </w:rPr>
              <w:t>car</w:t>
            </w:r>
          </w:p>
        </w:tc>
        <w:tc>
          <w:tcPr>
            <w:tcW w:type="dxa" w:w="1662"/>
          </w:tcPr>
          <w:p>
            <w:r>
              <w:rPr>
                <w:sz w:val="14"/>
              </w:rPr>
              <w:t>down</w:t>
            </w:r>
          </w:p>
        </w:tc>
        <w:tc>
          <w:tcPr>
            <w:tcW w:type="dxa" w:w="1662"/>
          </w:tcPr>
          <w:p>
            <w:r>
              <w:rPr>
                <w:sz w:val="14"/>
              </w:rPr>
              <w:t>0.434</w:t>
            </w:r>
          </w:p>
        </w:tc>
        <w:tc>
          <w:tcPr>
            <w:tcW w:type="dxa" w:w="1662"/>
          </w:tcPr>
          <w:p>
            <w:r>
              <w:rPr>
                <w:sz w:val="14"/>
              </w:rPr>
              <w:t>16:00–17:00</w:t>
            </w:r>
          </w:p>
        </w:tc>
        <w:tc>
          <w:tcPr>
            <w:tcW w:type="dxa" w:w="1662"/>
          </w:tcPr>
          <w:p>
            <w:r>
              <w:rPr>
                <w:sz w:val="14"/>
              </w:rPr>
              <w:t>step 27's method, network scope, CAR trips crossing links in this direction, PM window 16:00–19:00</w:t>
            </w:r>
          </w:p>
        </w:tc>
      </w:tr>
      <w:tr>
        <w:tc>
          <w:tcPr>
            <w:tcW w:type="dxa" w:w="1662"/>
          </w:tcPr>
          <w:p>
            <w:r>
              <w:rPr>
                <w:sz w:val="14"/>
              </w:rPr>
              <w:t>PM</w:t>
            </w:r>
          </w:p>
        </w:tc>
        <w:tc>
          <w:tcPr>
            <w:tcW w:type="dxa" w:w="1662"/>
          </w:tcPr>
          <w:p>
            <w:r>
              <w:rPr>
                <w:sz w:val="14"/>
              </w:rPr>
              <w:t>car</w:t>
            </w:r>
          </w:p>
        </w:tc>
        <w:tc>
          <w:tcPr>
            <w:tcW w:type="dxa" w:w="1662"/>
          </w:tcPr>
          <w:p>
            <w:r>
              <w:rPr>
                <w:sz w:val="14"/>
              </w:rPr>
              <w:t>all</w:t>
            </w:r>
          </w:p>
        </w:tc>
        <w:tc>
          <w:tcPr>
            <w:tcW w:type="dxa" w:w="1662"/>
          </w:tcPr>
          <w:p>
            <w:r>
              <w:rPr>
                <w:sz w:val="14"/>
              </w:rPr>
              <w:t>0.447</w:t>
            </w:r>
          </w:p>
        </w:tc>
        <w:tc>
          <w:tcPr>
            <w:tcW w:type="dxa" w:w="1662"/>
          </w:tcPr>
          <w:p>
            <w:r>
              <w:rPr>
                <w:sz w:val="14"/>
              </w:rPr>
              <w:t>16:00–17:00</w:t>
            </w:r>
          </w:p>
        </w:tc>
        <w:tc>
          <w:tcPr>
            <w:tcW w:type="dxa" w:w="1662"/>
          </w:tcPr>
          <w:p>
            <w:r>
              <w:rPr>
                <w:sz w:val="14"/>
              </w:rPr>
              <w:t>step 27's method, study area, all CAR trips, PM window 16:00–19:00</w:t>
            </w:r>
          </w:p>
        </w:tc>
      </w:tr>
      <w:tr>
        <w:tc>
          <w:tcPr>
            <w:tcW w:type="dxa" w:w="1662"/>
          </w:tcPr>
          <w:p>
            <w:r>
              <w:rPr>
                <w:sz w:val="14"/>
              </w:rPr>
              <w:t>PM</w:t>
            </w:r>
          </w:p>
        </w:tc>
        <w:tc>
          <w:tcPr>
            <w:tcW w:type="dxa" w:w="1662"/>
          </w:tcPr>
          <w:p>
            <w:r>
              <w:rPr>
                <w:sz w:val="14"/>
              </w:rPr>
              <w:t>transit</w:t>
            </w:r>
          </w:p>
        </w:tc>
        <w:tc>
          <w:tcPr>
            <w:tcW w:type="dxa" w:w="1662"/>
          </w:tcPr>
          <w:p>
            <w:r>
              <w:rPr>
                <w:sz w:val="14"/>
              </w:rPr>
              <w:t>up</w:t>
            </w:r>
          </w:p>
        </w:tc>
        <w:tc>
          <w:tcPr>
            <w:tcW w:type="dxa" w:w="1662"/>
          </w:tcPr>
          <w:p>
            <w:r>
              <w:rPr>
                <w:sz w:val="14"/>
              </w:rPr>
              <w:t>0.535</w:t>
            </w:r>
          </w:p>
        </w:tc>
        <w:tc>
          <w:tcPr>
            <w:tcW w:type="dxa" w:w="1662"/>
          </w:tcPr>
          <w:p>
            <w:r>
              <w:rPr>
                <w:sz w:val="14"/>
              </w:rPr>
              <w:t>16:00–17:00</w:t>
            </w:r>
          </w:p>
        </w:tc>
        <w:tc>
          <w:tcPr>
            <w:tcW w:type="dxa" w:w="1662"/>
          </w:tcPr>
          <w:p>
            <w:r>
              <w:rPr>
                <w:sz w:val="14"/>
              </w:rPr>
              <w:t>step 27's method, network scope, BUS trips crossing links in this direction, PM window 16:00–19:00</w:t>
            </w:r>
          </w:p>
        </w:tc>
      </w:tr>
      <w:tr>
        <w:tc>
          <w:tcPr>
            <w:tcW w:type="dxa" w:w="1662"/>
          </w:tcPr>
          <w:p>
            <w:r>
              <w:rPr>
                <w:sz w:val="14"/>
              </w:rPr>
              <w:t>PM</w:t>
            </w:r>
          </w:p>
        </w:tc>
        <w:tc>
          <w:tcPr>
            <w:tcW w:type="dxa" w:w="1662"/>
          </w:tcPr>
          <w:p>
            <w:r>
              <w:rPr>
                <w:sz w:val="14"/>
              </w:rPr>
              <w:t>transit</w:t>
            </w:r>
          </w:p>
        </w:tc>
        <w:tc>
          <w:tcPr>
            <w:tcW w:type="dxa" w:w="1662"/>
          </w:tcPr>
          <w:p>
            <w:r>
              <w:rPr>
                <w:sz w:val="14"/>
              </w:rPr>
              <w:t>down</w:t>
            </w:r>
          </w:p>
        </w:tc>
        <w:tc>
          <w:tcPr>
            <w:tcW w:type="dxa" w:w="1662"/>
          </w:tcPr>
          <w:p>
            <w:r>
              <w:rPr>
                <w:sz w:val="14"/>
              </w:rPr>
              <w:t>0.468</w:t>
            </w:r>
          </w:p>
        </w:tc>
        <w:tc>
          <w:tcPr>
            <w:tcW w:type="dxa" w:w="1662"/>
          </w:tcPr>
          <w:p>
            <w:r>
              <w:rPr>
                <w:sz w:val="14"/>
              </w:rPr>
              <w:t>17:30–18:30</w:t>
            </w:r>
          </w:p>
        </w:tc>
        <w:tc>
          <w:tcPr>
            <w:tcW w:type="dxa" w:w="1662"/>
          </w:tcPr>
          <w:p>
            <w:r>
              <w:rPr>
                <w:sz w:val="14"/>
              </w:rPr>
              <w:t>step 27's method, network scope, BUS trips crossing links in this direction, PM window 16:00–19:00</w:t>
            </w:r>
          </w:p>
        </w:tc>
      </w:tr>
      <w:tr>
        <w:tc>
          <w:tcPr>
            <w:tcW w:type="dxa" w:w="1662"/>
          </w:tcPr>
          <w:p>
            <w:r>
              <w:rPr>
                <w:sz w:val="14"/>
              </w:rPr>
              <w:t>PM</w:t>
            </w:r>
          </w:p>
        </w:tc>
        <w:tc>
          <w:tcPr>
            <w:tcW w:type="dxa" w:w="1662"/>
          </w:tcPr>
          <w:p>
            <w:r>
              <w:rPr>
                <w:sz w:val="14"/>
              </w:rPr>
              <w:t>transit</w:t>
            </w:r>
          </w:p>
        </w:tc>
        <w:tc>
          <w:tcPr>
            <w:tcW w:type="dxa" w:w="1662"/>
          </w:tcPr>
          <w:p>
            <w:r>
              <w:rPr>
                <w:sz w:val="14"/>
              </w:rPr>
              <w:t>all</w:t>
            </w:r>
          </w:p>
        </w:tc>
        <w:tc>
          <w:tcPr>
            <w:tcW w:type="dxa" w:w="1662"/>
          </w:tcPr>
          <w:p>
            <w:r>
              <w:rPr>
                <w:sz w:val="14"/>
              </w:rPr>
              <w:t>0.478</w:t>
            </w:r>
          </w:p>
        </w:tc>
        <w:tc>
          <w:tcPr>
            <w:tcW w:type="dxa" w:w="1662"/>
          </w:tcPr>
          <w:p>
            <w:r>
              <w:rPr>
                <w:sz w:val="14"/>
              </w:rPr>
              <w:t>16:00–17:00</w:t>
            </w:r>
          </w:p>
        </w:tc>
        <w:tc>
          <w:tcPr>
            <w:tcW w:type="dxa" w:w="1662"/>
          </w:tcPr>
          <w:p>
            <w:r>
              <w:rPr>
                <w:sz w:val="14"/>
              </w:rPr>
              <w:t>step 27's method, study area, all BUS trips, PM window 16:00–19:00</w:t>
            </w:r>
          </w:p>
        </w:tc>
      </w:tr>
    </w:tbl>
    <w:p>
      <w:r>
        <w:rPr>
          <w:sz w:val="16"/>
        </w:rPr>
        <w:t>Table 4.0 — Peak-hour factors applied (share of the three-hour period in the peak hour).</w:t>
      </w:r>
    </w:p>
    <w:p>
      <w:pPr>
        <w:pStyle w:val="Heading2"/>
      </w:pPr>
      <w:r>
        <w:t>4.1 Through-running to Nazareth against terminating the extension at Hamifrats</w:t>
      </w:r>
    </w:p>
    <w:p>
      <w:r>
        <w:t>Both alternatives were run on the same skims and base: the extension alone (24 stations, terminating at Hamifrats) and the through line (the extension plus the main route's 20 stations, one line without a transfer at Hamifrats). "Extension riders" are all the riders of the extension-only line, and the through line's riders who ride at least one segment between S01 and S24. Peak loads are per direction in the AM peak hour.</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4"/>
              </w:rPr>
              <w:t>alternative</w:t>
            </w:r>
          </w:p>
        </w:tc>
        <w:tc>
          <w:tcPr>
            <w:tcW w:type="dxa" w:w="1246"/>
          </w:tcPr>
          <w:p>
            <w:r>
              <w:rPr>
                <w:b/>
                <w:sz w:val="14"/>
              </w:rPr>
              <w:t>extension riders (3 h)</w:t>
            </w:r>
          </w:p>
        </w:tc>
        <w:tc>
          <w:tcPr>
            <w:tcW w:type="dxa" w:w="1246"/>
          </w:tcPr>
          <w:p>
            <w:r>
              <w:rPr>
                <w:b/>
                <w:sz w:val="14"/>
              </w:rPr>
              <w:t>total LRT riders (3 h)</w:t>
            </w:r>
          </w:p>
        </w:tc>
        <w:tc>
          <w:tcPr>
            <w:tcW w:type="dxa" w:w="1246"/>
          </w:tcPr>
          <w:p>
            <w:r>
              <w:rPr>
                <w:b/>
                <w:sz w:val="14"/>
              </w:rPr>
              <w:t>total LRT riders (peak hour)</w:t>
            </w:r>
          </w:p>
        </w:tc>
        <w:tc>
          <w:tcPr>
            <w:tcW w:type="dxa" w:w="1246"/>
          </w:tcPr>
          <w:p>
            <w:r>
              <w:rPr>
                <w:b/>
                <w:sz w:val="14"/>
              </w:rPr>
              <w:t>peak load on the extension (peak hour, one direction)</w:t>
            </w:r>
          </w:p>
        </w:tc>
        <w:tc>
          <w:tcPr>
            <w:tcW w:type="dxa" w:w="1246"/>
          </w:tcPr>
          <w:p>
            <w:r>
              <w:rPr>
                <w:b/>
                <w:sz w:val="14"/>
              </w:rPr>
              <w:t>peak load on the line (peak hour)</w:t>
            </w:r>
          </w:p>
        </w:tc>
        <w:tc>
          <w:tcPr>
            <w:tcW w:type="dxa" w:w="1246"/>
          </w:tcPr>
          <w:p>
            <w:r>
              <w:rPr>
                <w:b/>
                <w:sz w:val="14"/>
              </w:rPr>
              <w:t>from car (3 h)</w:t>
            </w:r>
          </w:p>
        </w:tc>
        <w:tc>
          <w:tcPr>
            <w:tcW w:type="dxa" w:w="1246"/>
          </w:tcPr>
          <w:p>
            <w:r>
              <w:rPr>
                <w:b/>
                <w:sz w:val="14"/>
              </w:rPr>
              <w:t>difference</w:t>
            </w:r>
          </w:p>
        </w:tc>
      </w:tr>
      <w:tr>
        <w:tc>
          <w:tcPr>
            <w:tcW w:type="dxa" w:w="1246"/>
          </w:tcPr>
          <w:p>
            <w:r>
              <w:rPr>
                <w:sz w:val="14"/>
              </w:rPr>
              <w:t>Extension only (terminating at Hamifrats)</w:t>
            </w:r>
          </w:p>
        </w:tc>
        <w:tc>
          <w:tcPr>
            <w:tcW w:type="dxa" w:w="1246"/>
          </w:tcPr>
          <w:p>
            <w:r>
              <w:rPr>
                <w:sz w:val="14"/>
              </w:rPr>
              <w:t>5,939</w:t>
            </w:r>
          </w:p>
        </w:tc>
        <w:tc>
          <w:tcPr>
            <w:tcW w:type="dxa" w:w="1246"/>
          </w:tcPr>
          <w:p>
            <w:r>
              <w:rPr>
                <w:sz w:val="14"/>
              </w:rPr>
              <w:t>5,939</w:t>
            </w:r>
          </w:p>
        </w:tc>
        <w:tc>
          <w:tcPr>
            <w:tcW w:type="dxa" w:w="1246"/>
          </w:tcPr>
          <w:p>
            <w:r>
              <w:rPr>
                <w:sz w:val="14"/>
              </w:rPr>
              <w:t>3,498</w:t>
            </w:r>
          </w:p>
        </w:tc>
        <w:tc>
          <w:tcPr>
            <w:tcW w:type="dxa" w:w="1246"/>
          </w:tcPr>
          <w:p>
            <w:r>
              <w:rPr>
                <w:sz w:val="14"/>
              </w:rPr>
              <w:t>1,011</w:t>
            </w:r>
          </w:p>
        </w:tc>
        <w:tc>
          <w:tcPr>
            <w:tcW w:type="dxa" w:w="1246"/>
          </w:tcPr>
          <w:p>
            <w:r>
              <w:rPr>
                <w:sz w:val="14"/>
              </w:rPr>
              <w:t>1,011</w:t>
            </w:r>
          </w:p>
        </w:tc>
        <w:tc>
          <w:tcPr>
            <w:tcW w:type="dxa" w:w="1246"/>
          </w:tcPr>
          <w:p>
            <w:r>
              <w:rPr>
                <w:sz w:val="14"/>
              </w:rPr>
              <w:t>682</w:t>
            </w:r>
          </w:p>
        </w:tc>
        <w:tc>
          <w:tcPr>
            <w:tcW w:type="dxa" w:w="1246"/>
          </w:tcPr>
          <w:p>
            <w:r>
              <w:rPr>
                <w:sz w:val="14"/>
              </w:rPr>
              <w:t>–</w:t>
            </w:r>
          </w:p>
        </w:tc>
      </w:tr>
      <w:tr>
        <w:tc>
          <w:tcPr>
            <w:tcW w:type="dxa" w:w="1246"/>
          </w:tcPr>
          <w:p>
            <w:r>
              <w:rPr>
                <w:sz w:val="14"/>
              </w:rPr>
              <w:t>Through-running (main route + extension)</w:t>
            </w:r>
          </w:p>
        </w:tc>
        <w:tc>
          <w:tcPr>
            <w:tcW w:type="dxa" w:w="1246"/>
          </w:tcPr>
          <w:p>
            <w:r>
              <w:rPr>
                <w:sz w:val="14"/>
              </w:rPr>
              <w:t>6,003</w:t>
            </w:r>
          </w:p>
        </w:tc>
        <w:tc>
          <w:tcPr>
            <w:tcW w:type="dxa" w:w="1246"/>
          </w:tcPr>
          <w:p>
            <w:r>
              <w:rPr>
                <w:sz w:val="14"/>
              </w:rPr>
              <w:t>7,433</w:t>
            </w:r>
          </w:p>
        </w:tc>
        <w:tc>
          <w:tcPr>
            <w:tcW w:type="dxa" w:w="1246"/>
          </w:tcPr>
          <w:p>
            <w:r>
              <w:rPr>
                <w:sz w:val="14"/>
              </w:rPr>
              <w:t>4,378</w:t>
            </w:r>
          </w:p>
        </w:tc>
        <w:tc>
          <w:tcPr>
            <w:tcW w:type="dxa" w:w="1246"/>
          </w:tcPr>
          <w:p>
            <w:r>
              <w:rPr>
                <w:sz w:val="14"/>
              </w:rPr>
              <w:t>1,028</w:t>
            </w:r>
          </w:p>
        </w:tc>
        <w:tc>
          <w:tcPr>
            <w:tcW w:type="dxa" w:w="1246"/>
          </w:tcPr>
          <w:p>
            <w:r>
              <w:rPr>
                <w:sz w:val="14"/>
              </w:rPr>
              <w:t>1,071</w:t>
            </w:r>
          </w:p>
        </w:tc>
        <w:tc>
          <w:tcPr>
            <w:tcW w:type="dxa" w:w="1246"/>
          </w:tcPr>
          <w:p>
            <w:r>
              <w:rPr>
                <w:sz w:val="14"/>
              </w:rPr>
              <w:t>818</w:t>
            </w:r>
          </w:p>
        </w:tc>
        <w:tc>
          <w:tcPr>
            <w:tcW w:type="dxa" w:w="1246"/>
          </w:tcPr>
          <w:p>
            <w:r>
              <w:rPr>
                <w:sz w:val="14"/>
              </w:rPr>
              <w:t>extension riders +1 %; total LRT +25 %</w:t>
            </w:r>
          </w:p>
        </w:tc>
      </w:tr>
    </w:tbl>
    <w:p>
      <w:r>
        <w:rPr>
          <w:sz w:val="16"/>
        </w:rPr>
        <w:t>Table 4.1 — AM, 2050 BU: extension only against through-running, Prioritized.</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4"/>
              </w:rPr>
              <w:t>alternative</w:t>
            </w:r>
          </w:p>
        </w:tc>
        <w:tc>
          <w:tcPr>
            <w:tcW w:type="dxa" w:w="1246"/>
          </w:tcPr>
          <w:p>
            <w:r>
              <w:rPr>
                <w:b/>
                <w:sz w:val="14"/>
              </w:rPr>
              <w:t>extension riders (3 h)</w:t>
            </w:r>
          </w:p>
        </w:tc>
        <w:tc>
          <w:tcPr>
            <w:tcW w:type="dxa" w:w="1246"/>
          </w:tcPr>
          <w:p>
            <w:r>
              <w:rPr>
                <w:b/>
                <w:sz w:val="14"/>
              </w:rPr>
              <w:t>total LRT riders (3 h)</w:t>
            </w:r>
          </w:p>
        </w:tc>
        <w:tc>
          <w:tcPr>
            <w:tcW w:type="dxa" w:w="1246"/>
          </w:tcPr>
          <w:p>
            <w:r>
              <w:rPr>
                <w:b/>
                <w:sz w:val="14"/>
              </w:rPr>
              <w:t>total LRT riders (peak hour)</w:t>
            </w:r>
          </w:p>
        </w:tc>
        <w:tc>
          <w:tcPr>
            <w:tcW w:type="dxa" w:w="1246"/>
          </w:tcPr>
          <w:p>
            <w:r>
              <w:rPr>
                <w:b/>
                <w:sz w:val="14"/>
              </w:rPr>
              <w:t>peak load on the extension (peak hour, one direction)</w:t>
            </w:r>
          </w:p>
        </w:tc>
        <w:tc>
          <w:tcPr>
            <w:tcW w:type="dxa" w:w="1246"/>
          </w:tcPr>
          <w:p>
            <w:r>
              <w:rPr>
                <w:b/>
                <w:sz w:val="14"/>
              </w:rPr>
              <w:t>peak load on the line (peak hour)</w:t>
            </w:r>
          </w:p>
        </w:tc>
        <w:tc>
          <w:tcPr>
            <w:tcW w:type="dxa" w:w="1246"/>
          </w:tcPr>
          <w:p>
            <w:r>
              <w:rPr>
                <w:b/>
                <w:sz w:val="14"/>
              </w:rPr>
              <w:t>from car (3 h)</w:t>
            </w:r>
          </w:p>
        </w:tc>
        <w:tc>
          <w:tcPr>
            <w:tcW w:type="dxa" w:w="1246"/>
          </w:tcPr>
          <w:p>
            <w:r>
              <w:rPr>
                <w:b/>
                <w:sz w:val="14"/>
              </w:rPr>
              <w:t>difference</w:t>
            </w:r>
          </w:p>
        </w:tc>
      </w:tr>
      <w:tr>
        <w:tc>
          <w:tcPr>
            <w:tcW w:type="dxa" w:w="1246"/>
          </w:tcPr>
          <w:p>
            <w:r>
              <w:rPr>
                <w:sz w:val="14"/>
              </w:rPr>
              <w:t>Extension only (terminating at Hamifrats)</w:t>
            </w:r>
          </w:p>
        </w:tc>
        <w:tc>
          <w:tcPr>
            <w:tcW w:type="dxa" w:w="1246"/>
          </w:tcPr>
          <w:p>
            <w:r>
              <w:rPr>
                <w:sz w:val="14"/>
              </w:rPr>
              <w:t>4,960</w:t>
            </w:r>
          </w:p>
        </w:tc>
        <w:tc>
          <w:tcPr>
            <w:tcW w:type="dxa" w:w="1246"/>
          </w:tcPr>
          <w:p>
            <w:r>
              <w:rPr>
                <w:sz w:val="14"/>
              </w:rPr>
              <w:t>4,960</w:t>
            </w:r>
          </w:p>
        </w:tc>
        <w:tc>
          <w:tcPr>
            <w:tcW w:type="dxa" w:w="1246"/>
          </w:tcPr>
          <w:p>
            <w:r>
              <w:rPr>
                <w:sz w:val="14"/>
              </w:rPr>
              <w:t>2,372</w:t>
            </w:r>
          </w:p>
        </w:tc>
        <w:tc>
          <w:tcPr>
            <w:tcW w:type="dxa" w:w="1246"/>
          </w:tcPr>
          <w:p>
            <w:r>
              <w:rPr>
                <w:sz w:val="14"/>
              </w:rPr>
              <w:t>775</w:t>
            </w:r>
          </w:p>
        </w:tc>
        <w:tc>
          <w:tcPr>
            <w:tcW w:type="dxa" w:w="1246"/>
          </w:tcPr>
          <w:p>
            <w:r>
              <w:rPr>
                <w:sz w:val="14"/>
              </w:rPr>
              <w:t>775</w:t>
            </w:r>
          </w:p>
        </w:tc>
        <w:tc>
          <w:tcPr>
            <w:tcW w:type="dxa" w:w="1246"/>
          </w:tcPr>
          <w:p>
            <w:r>
              <w:rPr>
                <w:sz w:val="14"/>
              </w:rPr>
              <w:t>308</w:t>
            </w:r>
          </w:p>
        </w:tc>
        <w:tc>
          <w:tcPr>
            <w:tcW w:type="dxa" w:w="1246"/>
          </w:tcPr>
          <w:p>
            <w:r>
              <w:rPr>
                <w:sz w:val="14"/>
              </w:rPr>
              <w:t>–</w:t>
            </w:r>
          </w:p>
        </w:tc>
      </w:tr>
      <w:tr>
        <w:tc>
          <w:tcPr>
            <w:tcW w:type="dxa" w:w="1246"/>
          </w:tcPr>
          <w:p>
            <w:r>
              <w:rPr>
                <w:sz w:val="14"/>
              </w:rPr>
              <w:t>Through-running (main route + extension)</w:t>
            </w:r>
          </w:p>
        </w:tc>
        <w:tc>
          <w:tcPr>
            <w:tcW w:type="dxa" w:w="1246"/>
          </w:tcPr>
          <w:p>
            <w:r>
              <w:rPr>
                <w:sz w:val="14"/>
              </w:rPr>
              <w:t>4,998</w:t>
            </w:r>
          </w:p>
        </w:tc>
        <w:tc>
          <w:tcPr>
            <w:tcW w:type="dxa" w:w="1246"/>
          </w:tcPr>
          <w:p>
            <w:r>
              <w:rPr>
                <w:sz w:val="14"/>
              </w:rPr>
              <w:t>6,135</w:t>
            </w:r>
          </w:p>
        </w:tc>
        <w:tc>
          <w:tcPr>
            <w:tcW w:type="dxa" w:w="1246"/>
          </w:tcPr>
          <w:p>
            <w:r>
              <w:rPr>
                <w:sz w:val="14"/>
              </w:rPr>
              <w:t>2,934</w:t>
            </w:r>
          </w:p>
        </w:tc>
        <w:tc>
          <w:tcPr>
            <w:tcW w:type="dxa" w:w="1246"/>
          </w:tcPr>
          <w:p>
            <w:r>
              <w:rPr>
                <w:sz w:val="14"/>
              </w:rPr>
              <w:t>787</w:t>
            </w:r>
          </w:p>
        </w:tc>
        <w:tc>
          <w:tcPr>
            <w:tcW w:type="dxa" w:w="1246"/>
          </w:tcPr>
          <w:p>
            <w:r>
              <w:rPr>
                <w:sz w:val="14"/>
              </w:rPr>
              <w:t>787</w:t>
            </w:r>
          </w:p>
        </w:tc>
        <w:tc>
          <w:tcPr>
            <w:tcW w:type="dxa" w:w="1246"/>
          </w:tcPr>
          <w:p>
            <w:r>
              <w:rPr>
                <w:sz w:val="14"/>
              </w:rPr>
              <w:t>368</w:t>
            </w:r>
          </w:p>
        </w:tc>
        <w:tc>
          <w:tcPr>
            <w:tcW w:type="dxa" w:w="1246"/>
          </w:tcPr>
          <w:p>
            <w:r>
              <w:rPr>
                <w:sz w:val="14"/>
              </w:rPr>
              <w:t>extension riders +1 %; total LRT +24 %</w:t>
            </w:r>
          </w:p>
        </w:tc>
      </w:tr>
    </w:tbl>
    <w:p>
      <w:r>
        <w:rPr>
          <w:sz w:val="16"/>
        </w:rPr>
        <w:t>Table 4.2 — PM, 2050 BU: extension only against through-running, Prioritized.</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b/>
                <w:sz w:val="14"/>
              </w:rPr>
              <w:t>scenario</w:t>
            </w:r>
          </w:p>
        </w:tc>
        <w:tc>
          <w:tcPr>
            <w:tcW w:type="dxa" w:w="1108"/>
          </w:tcPr>
          <w:p>
            <w:r>
              <w:rPr>
                <w:b/>
                <w:sz w:val="14"/>
              </w:rPr>
              <w:t>extension only: LRT riders</w:t>
            </w:r>
          </w:p>
        </w:tc>
        <w:tc>
          <w:tcPr>
            <w:tcW w:type="dxa" w:w="1108"/>
          </w:tcPr>
          <w:p>
            <w:r>
              <w:rPr>
                <w:b/>
                <w:sz w:val="14"/>
              </w:rPr>
              <w:t>through line: riders using the extension</w:t>
            </w:r>
          </w:p>
        </w:tc>
        <w:tc>
          <w:tcPr>
            <w:tcW w:type="dxa" w:w="1108"/>
          </w:tcPr>
          <w:p>
            <w:r>
              <w:rPr>
                <w:b/>
                <w:sz w:val="14"/>
              </w:rPr>
              <w:t>gain on the extension</w:t>
            </w:r>
          </w:p>
        </w:tc>
        <w:tc>
          <w:tcPr>
            <w:tcW w:type="dxa" w:w="1108"/>
          </w:tcPr>
          <w:p>
            <w:r>
              <w:rPr>
                <w:b/>
                <w:sz w:val="14"/>
              </w:rPr>
              <w:t>through line: total LRT riders</w:t>
            </w:r>
          </w:p>
        </w:tc>
        <w:tc>
          <w:tcPr>
            <w:tcW w:type="dxa" w:w="1108"/>
          </w:tcPr>
          <w:p>
            <w:r>
              <w:rPr>
                <w:b/>
                <w:sz w:val="14"/>
              </w:rPr>
              <w:t>gain on the line</w:t>
            </w:r>
          </w:p>
        </w:tc>
        <w:tc>
          <w:tcPr>
            <w:tcW w:type="dxa" w:w="1108"/>
          </w:tcPr>
          <w:p>
            <w:r>
              <w:rPr>
                <w:b/>
                <w:sz w:val="14"/>
              </w:rPr>
              <w:t>extension only: peak load (peak h)</w:t>
            </w:r>
          </w:p>
        </w:tc>
        <w:tc>
          <w:tcPr>
            <w:tcW w:type="dxa" w:w="1108"/>
          </w:tcPr>
          <w:p>
            <w:r>
              <w:rPr>
                <w:b/>
                <w:sz w:val="14"/>
              </w:rPr>
              <w:t>through line: peak load on the extension (peak h)</w:t>
            </w:r>
          </w:p>
        </w:tc>
        <w:tc>
          <w:tcPr>
            <w:tcW w:type="dxa" w:w="1108"/>
          </w:tcPr>
          <w:p>
            <w:r>
              <w:rPr>
                <w:b/>
                <w:sz w:val="14"/>
              </w:rPr>
              <w:t>through line: peak load on the line (peak h)</w:t>
            </w:r>
          </w:p>
        </w:tc>
      </w:tr>
      <w:tr>
        <w:tc>
          <w:tcPr>
            <w:tcW w:type="dxa" w:w="1108"/>
          </w:tcPr>
          <w:p>
            <w:r>
              <w:rPr>
                <w:sz w:val="14"/>
              </w:rPr>
              <w:t>2022</w:t>
            </w:r>
          </w:p>
        </w:tc>
        <w:tc>
          <w:tcPr>
            <w:tcW w:type="dxa" w:w="1108"/>
          </w:tcPr>
          <w:p>
            <w:r>
              <w:rPr>
                <w:sz w:val="14"/>
              </w:rPr>
              <w:t>3,884</w:t>
            </w:r>
          </w:p>
        </w:tc>
        <w:tc>
          <w:tcPr>
            <w:tcW w:type="dxa" w:w="1108"/>
          </w:tcPr>
          <w:p>
            <w:r>
              <w:rPr>
                <w:sz w:val="14"/>
              </w:rPr>
              <w:t>4,004</w:t>
            </w:r>
          </w:p>
        </w:tc>
        <w:tc>
          <w:tcPr>
            <w:tcW w:type="dxa" w:w="1108"/>
          </w:tcPr>
          <w:p>
            <w:r>
              <w:rPr>
                <w:sz w:val="14"/>
              </w:rPr>
              <w:t>+3 %</w:t>
            </w:r>
          </w:p>
        </w:tc>
        <w:tc>
          <w:tcPr>
            <w:tcW w:type="dxa" w:w="1108"/>
          </w:tcPr>
          <w:p>
            <w:r>
              <w:rPr>
                <w:sz w:val="14"/>
              </w:rPr>
              <w:t>5,193</w:t>
            </w:r>
          </w:p>
        </w:tc>
        <w:tc>
          <w:tcPr>
            <w:tcW w:type="dxa" w:w="1108"/>
          </w:tcPr>
          <w:p>
            <w:r>
              <w:rPr>
                <w:sz w:val="14"/>
              </w:rPr>
              <w:t>+34 %</w:t>
            </w:r>
          </w:p>
        </w:tc>
        <w:tc>
          <w:tcPr>
            <w:tcW w:type="dxa" w:w="1108"/>
          </w:tcPr>
          <w:p>
            <w:r>
              <w:rPr>
                <w:sz w:val="14"/>
              </w:rPr>
              <w:t>600</w:t>
            </w:r>
          </w:p>
        </w:tc>
        <w:tc>
          <w:tcPr>
            <w:tcW w:type="dxa" w:w="1108"/>
          </w:tcPr>
          <w:p>
            <w:r>
              <w:rPr>
                <w:sz w:val="14"/>
              </w:rPr>
              <w:t>670</w:t>
            </w:r>
          </w:p>
        </w:tc>
        <w:tc>
          <w:tcPr>
            <w:tcW w:type="dxa" w:w="1108"/>
          </w:tcPr>
          <w:p>
            <w:r>
              <w:rPr>
                <w:sz w:val="14"/>
              </w:rPr>
              <w:t>840</w:t>
            </w:r>
          </w:p>
        </w:tc>
      </w:tr>
      <w:tr>
        <w:tc>
          <w:tcPr>
            <w:tcW w:type="dxa" w:w="1108"/>
          </w:tcPr>
          <w:p>
            <w:r>
              <w:rPr>
                <w:sz w:val="14"/>
              </w:rPr>
              <w:t>2040 BU</w:t>
            </w:r>
          </w:p>
        </w:tc>
        <w:tc>
          <w:tcPr>
            <w:tcW w:type="dxa" w:w="1108"/>
          </w:tcPr>
          <w:p>
            <w:r>
              <w:rPr>
                <w:sz w:val="14"/>
              </w:rPr>
              <w:t>4,879</w:t>
            </w:r>
          </w:p>
        </w:tc>
        <w:tc>
          <w:tcPr>
            <w:tcW w:type="dxa" w:w="1108"/>
          </w:tcPr>
          <w:p>
            <w:r>
              <w:rPr>
                <w:sz w:val="14"/>
              </w:rPr>
              <w:t>4,950</w:t>
            </w:r>
          </w:p>
        </w:tc>
        <w:tc>
          <w:tcPr>
            <w:tcW w:type="dxa" w:w="1108"/>
          </w:tcPr>
          <w:p>
            <w:r>
              <w:rPr>
                <w:sz w:val="14"/>
              </w:rPr>
              <w:t>+1 %</w:t>
            </w:r>
          </w:p>
        </w:tc>
        <w:tc>
          <w:tcPr>
            <w:tcW w:type="dxa" w:w="1108"/>
          </w:tcPr>
          <w:p>
            <w:r>
              <w:rPr>
                <w:sz w:val="14"/>
              </w:rPr>
              <w:t>6,309</w:t>
            </w:r>
          </w:p>
        </w:tc>
        <w:tc>
          <w:tcPr>
            <w:tcW w:type="dxa" w:w="1108"/>
          </w:tcPr>
          <w:p>
            <w:r>
              <w:rPr>
                <w:sz w:val="14"/>
              </w:rPr>
              <w:t>+29 %</w:t>
            </w:r>
          </w:p>
        </w:tc>
        <w:tc>
          <w:tcPr>
            <w:tcW w:type="dxa" w:w="1108"/>
          </w:tcPr>
          <w:p>
            <w:r>
              <w:rPr>
                <w:sz w:val="14"/>
              </w:rPr>
              <w:t>750</w:t>
            </w:r>
          </w:p>
        </w:tc>
        <w:tc>
          <w:tcPr>
            <w:tcW w:type="dxa" w:w="1108"/>
          </w:tcPr>
          <w:p>
            <w:r>
              <w:rPr>
                <w:sz w:val="14"/>
              </w:rPr>
              <w:t>767</w:t>
            </w:r>
          </w:p>
        </w:tc>
        <w:tc>
          <w:tcPr>
            <w:tcW w:type="dxa" w:w="1108"/>
          </w:tcPr>
          <w:p>
            <w:r>
              <w:rPr>
                <w:sz w:val="14"/>
              </w:rPr>
              <w:t>966</w:t>
            </w:r>
          </w:p>
        </w:tc>
      </w:tr>
      <w:tr>
        <w:tc>
          <w:tcPr>
            <w:tcW w:type="dxa" w:w="1108"/>
          </w:tcPr>
          <w:p>
            <w:r>
              <w:rPr>
                <w:sz w:val="14"/>
              </w:rPr>
              <w:t>2050 BU</w:t>
            </w:r>
          </w:p>
        </w:tc>
        <w:tc>
          <w:tcPr>
            <w:tcW w:type="dxa" w:w="1108"/>
          </w:tcPr>
          <w:p>
            <w:r>
              <w:rPr>
                <w:sz w:val="14"/>
              </w:rPr>
              <w:t>5,939</w:t>
            </w:r>
          </w:p>
        </w:tc>
        <w:tc>
          <w:tcPr>
            <w:tcW w:type="dxa" w:w="1108"/>
          </w:tcPr>
          <w:p>
            <w:r>
              <w:rPr>
                <w:sz w:val="14"/>
              </w:rPr>
              <w:t>6,003</w:t>
            </w:r>
          </w:p>
        </w:tc>
        <w:tc>
          <w:tcPr>
            <w:tcW w:type="dxa" w:w="1108"/>
          </w:tcPr>
          <w:p>
            <w:r>
              <w:rPr>
                <w:sz w:val="14"/>
              </w:rPr>
              <w:t>+1 %</w:t>
            </w:r>
          </w:p>
        </w:tc>
        <w:tc>
          <w:tcPr>
            <w:tcW w:type="dxa" w:w="1108"/>
          </w:tcPr>
          <w:p>
            <w:r>
              <w:rPr>
                <w:sz w:val="14"/>
              </w:rPr>
              <w:t>7,433</w:t>
            </w:r>
          </w:p>
        </w:tc>
        <w:tc>
          <w:tcPr>
            <w:tcW w:type="dxa" w:w="1108"/>
          </w:tcPr>
          <w:p>
            <w:r>
              <w:rPr>
                <w:sz w:val="14"/>
              </w:rPr>
              <w:t>+25 %</w:t>
            </w:r>
          </w:p>
        </w:tc>
        <w:tc>
          <w:tcPr>
            <w:tcW w:type="dxa" w:w="1108"/>
          </w:tcPr>
          <w:p>
            <w:r>
              <w:rPr>
                <w:sz w:val="14"/>
              </w:rPr>
              <w:t>1,011</w:t>
            </w:r>
          </w:p>
        </w:tc>
        <w:tc>
          <w:tcPr>
            <w:tcW w:type="dxa" w:w="1108"/>
          </w:tcPr>
          <w:p>
            <w:r>
              <w:rPr>
                <w:sz w:val="14"/>
              </w:rPr>
              <w:t>1,028</w:t>
            </w:r>
          </w:p>
        </w:tc>
        <w:tc>
          <w:tcPr>
            <w:tcW w:type="dxa" w:w="1108"/>
          </w:tcPr>
          <w:p>
            <w:r>
              <w:rPr>
                <w:sz w:val="14"/>
              </w:rPr>
              <w:t>1,071</w:t>
            </w:r>
          </w:p>
        </w:tc>
      </w:tr>
      <w:tr>
        <w:tc>
          <w:tcPr>
            <w:tcW w:type="dxa" w:w="1108"/>
          </w:tcPr>
          <w:p>
            <w:r>
              <w:rPr>
                <w:sz w:val="14"/>
              </w:rPr>
              <w:t>2040 HS</w:t>
            </w:r>
          </w:p>
        </w:tc>
        <w:tc>
          <w:tcPr>
            <w:tcW w:type="dxa" w:w="1108"/>
          </w:tcPr>
          <w:p>
            <w:r>
              <w:rPr>
                <w:sz w:val="14"/>
              </w:rPr>
              <w:t>5,424</w:t>
            </w:r>
          </w:p>
        </w:tc>
        <w:tc>
          <w:tcPr>
            <w:tcW w:type="dxa" w:w="1108"/>
          </w:tcPr>
          <w:p>
            <w:r>
              <w:rPr>
                <w:sz w:val="14"/>
              </w:rPr>
              <w:t>5,651</w:t>
            </w:r>
          </w:p>
        </w:tc>
        <w:tc>
          <w:tcPr>
            <w:tcW w:type="dxa" w:w="1108"/>
          </w:tcPr>
          <w:p>
            <w:r>
              <w:rPr>
                <w:sz w:val="14"/>
              </w:rPr>
              <w:t>+4 %</w:t>
            </w:r>
          </w:p>
        </w:tc>
        <w:tc>
          <w:tcPr>
            <w:tcW w:type="dxa" w:w="1108"/>
          </w:tcPr>
          <w:p>
            <w:r>
              <w:rPr>
                <w:sz w:val="14"/>
              </w:rPr>
              <w:t>7,476</w:t>
            </w:r>
          </w:p>
        </w:tc>
        <w:tc>
          <w:tcPr>
            <w:tcW w:type="dxa" w:w="1108"/>
          </w:tcPr>
          <w:p>
            <w:r>
              <w:rPr>
                <w:sz w:val="14"/>
              </w:rPr>
              <w:t>+38 %</w:t>
            </w:r>
          </w:p>
        </w:tc>
        <w:tc>
          <w:tcPr>
            <w:tcW w:type="dxa" w:w="1108"/>
          </w:tcPr>
          <w:p>
            <w:r>
              <w:rPr>
                <w:sz w:val="14"/>
              </w:rPr>
              <w:t>839</w:t>
            </w:r>
          </w:p>
        </w:tc>
        <w:tc>
          <w:tcPr>
            <w:tcW w:type="dxa" w:w="1108"/>
          </w:tcPr>
          <w:p>
            <w:r>
              <w:rPr>
                <w:sz w:val="14"/>
              </w:rPr>
              <w:t>935</w:t>
            </w:r>
          </w:p>
        </w:tc>
        <w:tc>
          <w:tcPr>
            <w:tcW w:type="dxa" w:w="1108"/>
          </w:tcPr>
          <w:p>
            <w:r>
              <w:rPr>
                <w:sz w:val="14"/>
              </w:rPr>
              <w:t>1,146</w:t>
            </w:r>
          </w:p>
        </w:tc>
      </w:tr>
      <w:tr>
        <w:tc>
          <w:tcPr>
            <w:tcW w:type="dxa" w:w="1108"/>
          </w:tcPr>
          <w:p>
            <w:r>
              <w:rPr>
                <w:sz w:val="14"/>
              </w:rPr>
              <w:t>2050 HS</w:t>
            </w:r>
          </w:p>
        </w:tc>
        <w:tc>
          <w:tcPr>
            <w:tcW w:type="dxa" w:w="1108"/>
          </w:tcPr>
          <w:p>
            <w:r>
              <w:rPr>
                <w:sz w:val="14"/>
              </w:rPr>
              <w:t>6,653</w:t>
            </w:r>
          </w:p>
        </w:tc>
        <w:tc>
          <w:tcPr>
            <w:tcW w:type="dxa" w:w="1108"/>
          </w:tcPr>
          <w:p>
            <w:r>
              <w:rPr>
                <w:sz w:val="14"/>
              </w:rPr>
              <w:t>7,010</w:t>
            </w:r>
          </w:p>
        </w:tc>
        <w:tc>
          <w:tcPr>
            <w:tcW w:type="dxa" w:w="1108"/>
          </w:tcPr>
          <w:p>
            <w:r>
              <w:rPr>
                <w:sz w:val="14"/>
              </w:rPr>
              <w:t>+5 %</w:t>
            </w:r>
          </w:p>
        </w:tc>
        <w:tc>
          <w:tcPr>
            <w:tcW w:type="dxa" w:w="1108"/>
          </w:tcPr>
          <w:p>
            <w:r>
              <w:rPr>
                <w:sz w:val="14"/>
              </w:rPr>
              <w:t>9,225</w:t>
            </w:r>
          </w:p>
        </w:tc>
        <w:tc>
          <w:tcPr>
            <w:tcW w:type="dxa" w:w="1108"/>
          </w:tcPr>
          <w:p>
            <w:r>
              <w:rPr>
                <w:sz w:val="14"/>
              </w:rPr>
              <w:t>+39 %</w:t>
            </w:r>
          </w:p>
        </w:tc>
        <w:tc>
          <w:tcPr>
            <w:tcW w:type="dxa" w:w="1108"/>
          </w:tcPr>
          <w:p>
            <w:r>
              <w:rPr>
                <w:sz w:val="14"/>
              </w:rPr>
              <w:t>1,031</w:t>
            </w:r>
          </w:p>
        </w:tc>
        <w:tc>
          <w:tcPr>
            <w:tcW w:type="dxa" w:w="1108"/>
          </w:tcPr>
          <w:p>
            <w:r>
              <w:rPr>
                <w:sz w:val="14"/>
              </w:rPr>
              <w:t>1,161</w:t>
            </w:r>
          </w:p>
        </w:tc>
        <w:tc>
          <w:tcPr>
            <w:tcW w:type="dxa" w:w="1108"/>
          </w:tcPr>
          <w:p>
            <w:r>
              <w:rPr>
                <w:sz w:val="14"/>
              </w:rPr>
              <w:t>1,397</w:t>
            </w:r>
          </w:p>
        </w:tc>
      </w:tr>
    </w:tbl>
    <w:p>
      <w:r>
        <w:rPr>
          <w:sz w:val="16"/>
        </w:rPr>
        <w:t>Table 4.2a — The same comparison for every scenario-year, AM three hours and AM peak-hour loads.</w:t>
      </w:r>
    </w:p>
    <w:p>
      <w:r>
        <w:t>Reading. Through-running does not add riders to the extension in this model: 6,003 against 5,939 (+1 %) in 2050 BU, and +1 % in 2040 BU. The 2,849 trips that cross Hamifrats on the through line (38 % of its riders) exist in the terminating case too: there they reach the extension's Hamifrats station by Metronit or bus feeder and board the LRT at S24. Through-running replaces that feeder leg by an LRT leg for the same trips. The +25 % on the line as a whole is the main route's own market (trips between its stations and Hamifrats, 1,429 trips), which a main line terminating at Hamifrats would carry as well; it is not a benefit of through-running. What through-running buys, in the model's terms, is the transfer it spares those crossing trips: a main line terminating at Hamifrats beside a terminating extension was not run, but it would put the 8-minute transfer penalty (plus a second wait) on every crossing trip, and with λ_T = 0.06 that is worth about a third of the odds of the LRT path on those pairs against the Metronit, which runs through without a transfer today. The reference figures therefore rest on caveat 28 (through-running without a transfer, a 5-minute headway on the whole line, 80 km/h at grade on the main route); the extension's own riders do not.</w:t>
      </w:r>
    </w:p>
    <w:p>
      <w:pPr>
        <w:pStyle w:val="Heading2"/>
      </w:pPr>
      <w:r>
        <w:t>4.2 Shift to the LRT and total demand by mode</w:t>
      </w:r>
    </w:p>
    <w:p>
      <w:pPr>
        <w:sectPr>
          <w:pgSz w:w="12240" w:h="15840"/>
          <w:pgMar w:top="1440" w:right="1134" w:bottom="1440" w:left="1134" w:header="720" w:footer="720" w:gutter="0"/>
          <w:cols w:space="720"/>
          <w:docGrid w:linePitch="360"/>
        </w:sectPr>
      </w:pPr>
    </w:p>
    <w:p>
      <w:r>
        <w:rPr>
          <w:b/>
        </w:rPr>
        <w:t>Table 4.3 — AM 06:00–09:00: the shift to the LRT and the demand by mode after the LRT, main route + extension, Prioritized (trips in three hours).</w:t>
      </w:r>
    </w:p>
    <w:tbl>
      <w:tblPr>
        <w:tblStyle w:val="LightGrid-Accent1"/>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sz w:val="14"/>
              </w:rPr>
              <w:t>scenario</w:t>
            </w:r>
          </w:p>
        </w:tc>
        <w:tc>
          <w:tcPr>
            <w:tcW w:type="dxa" w:w="1178"/>
          </w:tcPr>
          <w:p>
            <w:r>
              <w:rPr>
                <w:b/>
                <w:sz w:val="14"/>
              </w:rPr>
              <w:t>car before</w:t>
            </w:r>
          </w:p>
        </w:tc>
        <w:tc>
          <w:tcPr>
            <w:tcW w:type="dxa" w:w="1178"/>
          </w:tcPr>
          <w:p>
            <w:r>
              <w:rPr>
                <w:b/>
                <w:sz w:val="14"/>
              </w:rPr>
              <w:t>bus before</w:t>
            </w:r>
          </w:p>
        </w:tc>
        <w:tc>
          <w:tcPr>
            <w:tcW w:type="dxa" w:w="1178"/>
          </w:tcPr>
          <w:p>
            <w:r>
              <w:rPr>
                <w:b/>
                <w:sz w:val="14"/>
              </w:rPr>
              <w:t>BRT before</w:t>
            </w:r>
          </w:p>
        </w:tc>
        <w:tc>
          <w:tcPr>
            <w:tcW w:type="dxa" w:w="1178"/>
          </w:tcPr>
          <w:p>
            <w:r>
              <w:rPr>
                <w:b/>
                <w:sz w:val="14"/>
              </w:rPr>
              <w:t>transit before</w:t>
            </w:r>
          </w:p>
        </w:tc>
        <w:tc>
          <w:tcPr>
            <w:tcW w:type="dxa" w:w="1178"/>
          </w:tcPr>
          <w:p>
            <w:r>
              <w:rPr>
                <w:b/>
                <w:sz w:val="14"/>
              </w:rPr>
              <w:t>car → transit</w:t>
            </w:r>
          </w:p>
        </w:tc>
        <w:tc>
          <w:tcPr>
            <w:tcW w:type="dxa" w:w="1178"/>
          </w:tcPr>
          <w:p>
            <w:r>
              <w:rPr>
                <w:b/>
                <w:sz w:val="14"/>
              </w:rPr>
              <w:t>car → LRT</w:t>
            </w:r>
          </w:p>
        </w:tc>
        <w:tc>
          <w:tcPr>
            <w:tcW w:type="dxa" w:w="1178"/>
          </w:tcPr>
          <w:p>
            <w:r>
              <w:rPr>
                <w:b/>
                <w:sz w:val="14"/>
              </w:rPr>
              <w:t>BRT → LRT</w:t>
            </w:r>
          </w:p>
        </w:tc>
        <w:tc>
          <w:tcPr>
            <w:tcW w:type="dxa" w:w="1178"/>
          </w:tcPr>
          <w:p>
            <w:r>
              <w:rPr>
                <w:b/>
                <w:sz w:val="14"/>
              </w:rPr>
              <w:t>bus → LRT</w:t>
            </w:r>
          </w:p>
        </w:tc>
        <w:tc>
          <w:tcPr>
            <w:tcW w:type="dxa" w:w="1178"/>
          </w:tcPr>
          <w:p>
            <w:r>
              <w:rPr>
                <w:b/>
                <w:sz w:val="14"/>
              </w:rPr>
              <w:t>car → transit (% of car)</w:t>
            </w:r>
          </w:p>
        </w:tc>
        <w:tc>
          <w:tcPr>
            <w:tcW w:type="dxa" w:w="1178"/>
          </w:tcPr>
          <w:p>
            <w:r>
              <w:rPr>
                <w:b/>
                <w:sz w:val="14"/>
              </w:rPr>
              <w:t>BRT → LRT (% of BRT)</w:t>
            </w:r>
          </w:p>
        </w:tc>
        <w:tc>
          <w:tcPr>
            <w:tcW w:type="dxa" w:w="1178"/>
          </w:tcPr>
          <w:p>
            <w:r>
              <w:rPr>
                <w:b/>
                <w:sz w:val="14"/>
              </w:rPr>
              <w:t>bus → LRT (% of bus)</w:t>
            </w:r>
          </w:p>
        </w:tc>
      </w:tr>
      <w:tr>
        <w:tc>
          <w:tcPr>
            <w:tcW w:type="dxa" w:w="1178"/>
          </w:tcPr>
          <w:p>
            <w:r>
              <w:rPr>
                <w:sz w:val="14"/>
              </w:rPr>
              <w:t>2022</w:t>
            </w:r>
          </w:p>
        </w:tc>
        <w:tc>
          <w:tcPr>
            <w:tcW w:type="dxa" w:w="1178"/>
          </w:tcPr>
          <w:p>
            <w:r>
              <w:rPr>
                <w:sz w:val="14"/>
              </w:rPr>
              <w:t>56,445</w:t>
            </w:r>
          </w:p>
        </w:tc>
        <w:tc>
          <w:tcPr>
            <w:tcW w:type="dxa" w:w="1178"/>
          </w:tcPr>
          <w:p>
            <w:r>
              <w:rPr>
                <w:sz w:val="14"/>
              </w:rPr>
              <w:t>6,103</w:t>
            </w:r>
          </w:p>
        </w:tc>
        <w:tc>
          <w:tcPr>
            <w:tcW w:type="dxa" w:w="1178"/>
          </w:tcPr>
          <w:p>
            <w:r>
              <w:rPr>
                <w:sz w:val="14"/>
              </w:rPr>
              <w:t>8,031</w:t>
            </w:r>
          </w:p>
        </w:tc>
        <w:tc>
          <w:tcPr>
            <w:tcW w:type="dxa" w:w="1178"/>
          </w:tcPr>
          <w:p>
            <w:r>
              <w:rPr>
                <w:sz w:val="14"/>
              </w:rPr>
              <w:t>14,133</w:t>
            </w:r>
          </w:p>
        </w:tc>
        <w:tc>
          <w:tcPr>
            <w:tcW w:type="dxa" w:w="1178"/>
          </w:tcPr>
          <w:p>
            <w:r>
              <w:rPr>
                <w:sz w:val="14"/>
              </w:rPr>
              <w:t>563</w:t>
            </w:r>
          </w:p>
        </w:tc>
        <w:tc>
          <w:tcPr>
            <w:tcW w:type="dxa" w:w="1178"/>
          </w:tcPr>
          <w:p>
            <w:r>
              <w:rPr>
                <w:sz w:val="14"/>
              </w:rPr>
              <w:t>295</w:t>
            </w:r>
          </w:p>
        </w:tc>
        <w:tc>
          <w:tcPr>
            <w:tcW w:type="dxa" w:w="1178"/>
          </w:tcPr>
          <w:p>
            <w:r>
              <w:rPr>
                <w:sz w:val="14"/>
              </w:rPr>
              <w:t>2,768</w:t>
            </w:r>
          </w:p>
        </w:tc>
        <w:tc>
          <w:tcPr>
            <w:tcW w:type="dxa" w:w="1178"/>
          </w:tcPr>
          <w:p>
            <w:r>
              <w:rPr>
                <w:sz w:val="14"/>
              </w:rPr>
              <w:t>2,128</w:t>
            </w:r>
          </w:p>
        </w:tc>
        <w:tc>
          <w:tcPr>
            <w:tcW w:type="dxa" w:w="1178"/>
          </w:tcPr>
          <w:p>
            <w:r>
              <w:rPr>
                <w:sz w:val="14"/>
              </w:rPr>
              <w:t>1.00 %</w:t>
            </w:r>
          </w:p>
        </w:tc>
        <w:tc>
          <w:tcPr>
            <w:tcW w:type="dxa" w:w="1178"/>
          </w:tcPr>
          <w:p>
            <w:r>
              <w:rPr>
                <w:sz w:val="14"/>
              </w:rPr>
              <w:t>34.5 %</w:t>
            </w:r>
          </w:p>
        </w:tc>
        <w:tc>
          <w:tcPr>
            <w:tcW w:type="dxa" w:w="1178"/>
          </w:tcPr>
          <w:p>
            <w:r>
              <w:rPr>
                <w:sz w:val="14"/>
              </w:rPr>
              <w:t>34.9 %</w:t>
            </w:r>
          </w:p>
        </w:tc>
      </w:tr>
      <w:tr>
        <w:tc>
          <w:tcPr>
            <w:tcW w:type="dxa" w:w="1178"/>
          </w:tcPr>
          <w:p>
            <w:r>
              <w:rPr>
                <w:sz w:val="14"/>
              </w:rPr>
              <w:t>2040 BU</w:t>
            </w:r>
          </w:p>
        </w:tc>
        <w:tc>
          <w:tcPr>
            <w:tcW w:type="dxa" w:w="1178"/>
          </w:tcPr>
          <w:p>
            <w:r>
              <w:rPr>
                <w:sz w:val="14"/>
              </w:rPr>
              <w:t>74,670</w:t>
            </w:r>
          </w:p>
        </w:tc>
        <w:tc>
          <w:tcPr>
            <w:tcW w:type="dxa" w:w="1178"/>
          </w:tcPr>
          <w:p>
            <w:r>
              <w:rPr>
                <w:sz w:val="14"/>
              </w:rPr>
              <w:t>8,321</w:t>
            </w:r>
          </w:p>
        </w:tc>
        <w:tc>
          <w:tcPr>
            <w:tcW w:type="dxa" w:w="1178"/>
          </w:tcPr>
          <w:p>
            <w:r>
              <w:rPr>
                <w:sz w:val="14"/>
              </w:rPr>
              <w:t>10,000</w:t>
            </w:r>
          </w:p>
        </w:tc>
        <w:tc>
          <w:tcPr>
            <w:tcW w:type="dxa" w:w="1178"/>
          </w:tcPr>
          <w:p>
            <w:r>
              <w:rPr>
                <w:sz w:val="14"/>
              </w:rPr>
              <w:t>18,321</w:t>
            </w:r>
          </w:p>
        </w:tc>
        <w:tc>
          <w:tcPr>
            <w:tcW w:type="dxa" w:w="1178"/>
          </w:tcPr>
          <w:p>
            <w:r>
              <w:rPr>
                <w:sz w:val="14"/>
              </w:rPr>
              <w:t>684</w:t>
            </w:r>
          </w:p>
        </w:tc>
        <w:tc>
          <w:tcPr>
            <w:tcW w:type="dxa" w:w="1178"/>
          </w:tcPr>
          <w:p>
            <w:r>
              <w:rPr>
                <w:sz w:val="14"/>
              </w:rPr>
              <w:t>353</w:t>
            </w:r>
          </w:p>
        </w:tc>
        <w:tc>
          <w:tcPr>
            <w:tcW w:type="dxa" w:w="1178"/>
          </w:tcPr>
          <w:p>
            <w:r>
              <w:rPr>
                <w:sz w:val="14"/>
              </w:rPr>
              <w:t>3,308</w:t>
            </w:r>
          </w:p>
        </w:tc>
        <w:tc>
          <w:tcPr>
            <w:tcW w:type="dxa" w:w="1178"/>
          </w:tcPr>
          <w:p>
            <w:r>
              <w:rPr>
                <w:sz w:val="14"/>
              </w:rPr>
              <w:t>2,648</w:t>
            </w:r>
          </w:p>
        </w:tc>
        <w:tc>
          <w:tcPr>
            <w:tcW w:type="dxa" w:w="1178"/>
          </w:tcPr>
          <w:p>
            <w:r>
              <w:rPr>
                <w:sz w:val="14"/>
              </w:rPr>
              <w:t>0.92 %</w:t>
            </w:r>
          </w:p>
        </w:tc>
        <w:tc>
          <w:tcPr>
            <w:tcW w:type="dxa" w:w="1178"/>
          </w:tcPr>
          <w:p>
            <w:r>
              <w:rPr>
                <w:sz w:val="14"/>
              </w:rPr>
              <w:t>33.1 %</w:t>
            </w:r>
          </w:p>
        </w:tc>
        <w:tc>
          <w:tcPr>
            <w:tcW w:type="dxa" w:w="1178"/>
          </w:tcPr>
          <w:p>
            <w:r>
              <w:rPr>
                <w:sz w:val="14"/>
              </w:rPr>
              <w:t>31.8 %</w:t>
            </w:r>
          </w:p>
        </w:tc>
      </w:tr>
      <w:tr>
        <w:tc>
          <w:tcPr>
            <w:tcW w:type="dxa" w:w="1178"/>
          </w:tcPr>
          <w:p>
            <w:r>
              <w:rPr>
                <w:sz w:val="14"/>
              </w:rPr>
              <w:t>2050 BU</w:t>
            </w:r>
          </w:p>
        </w:tc>
        <w:tc>
          <w:tcPr>
            <w:tcW w:type="dxa" w:w="1178"/>
          </w:tcPr>
          <w:p>
            <w:r>
              <w:rPr>
                <w:sz w:val="14"/>
              </w:rPr>
              <w:t>86,417</w:t>
            </w:r>
          </w:p>
        </w:tc>
        <w:tc>
          <w:tcPr>
            <w:tcW w:type="dxa" w:w="1178"/>
          </w:tcPr>
          <w:p>
            <w:r>
              <w:rPr>
                <w:sz w:val="14"/>
              </w:rPr>
              <w:t>9,370</w:t>
            </w:r>
          </w:p>
        </w:tc>
        <w:tc>
          <w:tcPr>
            <w:tcW w:type="dxa" w:w="1178"/>
          </w:tcPr>
          <w:p>
            <w:r>
              <w:rPr>
                <w:sz w:val="14"/>
              </w:rPr>
              <w:t>11,282</w:t>
            </w:r>
          </w:p>
        </w:tc>
        <w:tc>
          <w:tcPr>
            <w:tcW w:type="dxa" w:w="1178"/>
          </w:tcPr>
          <w:p>
            <w:r>
              <w:rPr>
                <w:sz w:val="14"/>
              </w:rPr>
              <w:t>20,652</w:t>
            </w:r>
          </w:p>
        </w:tc>
        <w:tc>
          <w:tcPr>
            <w:tcW w:type="dxa" w:w="1178"/>
          </w:tcPr>
          <w:p>
            <w:r>
              <w:rPr>
                <w:sz w:val="14"/>
              </w:rPr>
              <w:t>1,421</w:t>
            </w:r>
          </w:p>
        </w:tc>
        <w:tc>
          <w:tcPr>
            <w:tcW w:type="dxa" w:w="1178"/>
          </w:tcPr>
          <w:p>
            <w:r>
              <w:rPr>
                <w:sz w:val="14"/>
              </w:rPr>
              <w:t>818</w:t>
            </w:r>
          </w:p>
        </w:tc>
        <w:tc>
          <w:tcPr>
            <w:tcW w:type="dxa" w:w="1178"/>
          </w:tcPr>
          <w:p>
            <w:r>
              <w:rPr>
                <w:sz w:val="14"/>
              </w:rPr>
              <w:t>3,731</w:t>
            </w:r>
          </w:p>
        </w:tc>
        <w:tc>
          <w:tcPr>
            <w:tcW w:type="dxa" w:w="1178"/>
          </w:tcPr>
          <w:p>
            <w:r>
              <w:rPr>
                <w:sz w:val="14"/>
              </w:rPr>
              <w:t>2,881</w:t>
            </w:r>
          </w:p>
        </w:tc>
        <w:tc>
          <w:tcPr>
            <w:tcW w:type="dxa" w:w="1178"/>
          </w:tcPr>
          <w:p>
            <w:r>
              <w:rPr>
                <w:sz w:val="14"/>
              </w:rPr>
              <w:t>1.64 %</w:t>
            </w:r>
          </w:p>
        </w:tc>
        <w:tc>
          <w:tcPr>
            <w:tcW w:type="dxa" w:w="1178"/>
          </w:tcPr>
          <w:p>
            <w:r>
              <w:rPr>
                <w:sz w:val="14"/>
              </w:rPr>
              <w:t>33.1 %</w:t>
            </w:r>
          </w:p>
        </w:tc>
        <w:tc>
          <w:tcPr>
            <w:tcW w:type="dxa" w:w="1178"/>
          </w:tcPr>
          <w:p>
            <w:r>
              <w:rPr>
                <w:sz w:val="14"/>
              </w:rPr>
              <w:t>30.7 %</w:t>
            </w:r>
          </w:p>
        </w:tc>
      </w:tr>
      <w:tr>
        <w:tc>
          <w:tcPr>
            <w:tcW w:type="dxa" w:w="1178"/>
          </w:tcPr>
          <w:p>
            <w:r>
              <w:rPr>
                <w:sz w:val="14"/>
              </w:rPr>
              <w:t>2040 HS</w:t>
            </w:r>
          </w:p>
        </w:tc>
        <w:tc>
          <w:tcPr>
            <w:tcW w:type="dxa" w:w="1178"/>
          </w:tcPr>
          <w:p>
            <w:r>
              <w:rPr>
                <w:sz w:val="14"/>
              </w:rPr>
              <w:t>78,027</w:t>
            </w:r>
          </w:p>
        </w:tc>
        <w:tc>
          <w:tcPr>
            <w:tcW w:type="dxa" w:w="1178"/>
          </w:tcPr>
          <w:p>
            <w:r>
              <w:rPr>
                <w:sz w:val="14"/>
              </w:rPr>
              <w:t>8,292</w:t>
            </w:r>
          </w:p>
        </w:tc>
        <w:tc>
          <w:tcPr>
            <w:tcW w:type="dxa" w:w="1178"/>
          </w:tcPr>
          <w:p>
            <w:r>
              <w:rPr>
                <w:sz w:val="14"/>
              </w:rPr>
              <w:t>10,496</w:t>
            </w:r>
          </w:p>
        </w:tc>
        <w:tc>
          <w:tcPr>
            <w:tcW w:type="dxa" w:w="1178"/>
          </w:tcPr>
          <w:p>
            <w:r>
              <w:rPr>
                <w:sz w:val="14"/>
              </w:rPr>
              <w:t>18,787</w:t>
            </w:r>
          </w:p>
        </w:tc>
        <w:tc>
          <w:tcPr>
            <w:tcW w:type="dxa" w:w="1178"/>
          </w:tcPr>
          <w:p>
            <w:r>
              <w:rPr>
                <w:sz w:val="14"/>
              </w:rPr>
              <w:t>1,387</w:t>
            </w:r>
          </w:p>
        </w:tc>
        <w:tc>
          <w:tcPr>
            <w:tcW w:type="dxa" w:w="1178"/>
          </w:tcPr>
          <w:p>
            <w:r>
              <w:rPr>
                <w:sz w:val="14"/>
              </w:rPr>
              <w:t>870</w:t>
            </w:r>
          </w:p>
        </w:tc>
        <w:tc>
          <w:tcPr>
            <w:tcW w:type="dxa" w:w="1178"/>
          </w:tcPr>
          <w:p>
            <w:r>
              <w:rPr>
                <w:sz w:val="14"/>
              </w:rPr>
              <w:t>3,753</w:t>
            </w:r>
          </w:p>
        </w:tc>
        <w:tc>
          <w:tcPr>
            <w:tcW w:type="dxa" w:w="1178"/>
          </w:tcPr>
          <w:p>
            <w:r>
              <w:rPr>
                <w:sz w:val="14"/>
              </w:rPr>
              <w:t>2,850</w:t>
            </w:r>
          </w:p>
        </w:tc>
        <w:tc>
          <w:tcPr>
            <w:tcW w:type="dxa" w:w="1178"/>
          </w:tcPr>
          <w:p>
            <w:r>
              <w:rPr>
                <w:sz w:val="14"/>
              </w:rPr>
              <w:t>1.78 %</w:t>
            </w:r>
          </w:p>
        </w:tc>
        <w:tc>
          <w:tcPr>
            <w:tcW w:type="dxa" w:w="1178"/>
          </w:tcPr>
          <w:p>
            <w:r>
              <w:rPr>
                <w:sz w:val="14"/>
              </w:rPr>
              <w:t>35.8 %</w:t>
            </w:r>
          </w:p>
        </w:tc>
        <w:tc>
          <w:tcPr>
            <w:tcW w:type="dxa" w:w="1178"/>
          </w:tcPr>
          <w:p>
            <w:r>
              <w:rPr>
                <w:sz w:val="14"/>
              </w:rPr>
              <w:t>34.4 %</w:t>
            </w:r>
          </w:p>
        </w:tc>
      </w:tr>
      <w:tr>
        <w:tc>
          <w:tcPr>
            <w:tcW w:type="dxa" w:w="1178"/>
          </w:tcPr>
          <w:p>
            <w:r>
              <w:rPr>
                <w:sz w:val="14"/>
              </w:rPr>
              <w:t>2050 HS</w:t>
            </w:r>
          </w:p>
        </w:tc>
        <w:tc>
          <w:tcPr>
            <w:tcW w:type="dxa" w:w="1178"/>
          </w:tcPr>
          <w:p>
            <w:r>
              <w:rPr>
                <w:sz w:val="14"/>
              </w:rPr>
              <w:t>89,560</w:t>
            </w:r>
          </w:p>
        </w:tc>
        <w:tc>
          <w:tcPr>
            <w:tcW w:type="dxa" w:w="1178"/>
          </w:tcPr>
          <w:p>
            <w:r>
              <w:rPr>
                <w:sz w:val="14"/>
              </w:rPr>
              <w:t>9,130</w:t>
            </w:r>
          </w:p>
        </w:tc>
        <w:tc>
          <w:tcPr>
            <w:tcW w:type="dxa" w:w="1178"/>
          </w:tcPr>
          <w:p>
            <w:r>
              <w:rPr>
                <w:sz w:val="14"/>
              </w:rPr>
              <w:t>12,102</w:t>
            </w:r>
          </w:p>
        </w:tc>
        <w:tc>
          <w:tcPr>
            <w:tcW w:type="dxa" w:w="1178"/>
          </w:tcPr>
          <w:p>
            <w:r>
              <w:rPr>
                <w:sz w:val="14"/>
              </w:rPr>
              <w:t>21,232</w:t>
            </w:r>
          </w:p>
        </w:tc>
        <w:tc>
          <w:tcPr>
            <w:tcW w:type="dxa" w:w="1178"/>
          </w:tcPr>
          <w:p>
            <w:r>
              <w:rPr>
                <w:sz w:val="14"/>
              </w:rPr>
              <w:t>2,035</w:t>
            </w:r>
          </w:p>
        </w:tc>
        <w:tc>
          <w:tcPr>
            <w:tcW w:type="dxa" w:w="1178"/>
          </w:tcPr>
          <w:p>
            <w:r>
              <w:rPr>
                <w:sz w:val="14"/>
              </w:rPr>
              <w:t>1,311</w:t>
            </w:r>
          </w:p>
        </w:tc>
        <w:tc>
          <w:tcPr>
            <w:tcW w:type="dxa" w:w="1178"/>
          </w:tcPr>
          <w:p>
            <w:r>
              <w:rPr>
                <w:sz w:val="14"/>
              </w:rPr>
              <w:t>4,548</w:t>
            </w:r>
          </w:p>
        </w:tc>
        <w:tc>
          <w:tcPr>
            <w:tcW w:type="dxa" w:w="1178"/>
          </w:tcPr>
          <w:p>
            <w:r>
              <w:rPr>
                <w:sz w:val="14"/>
              </w:rPr>
              <w:t>3,365</w:t>
            </w:r>
          </w:p>
        </w:tc>
        <w:tc>
          <w:tcPr>
            <w:tcW w:type="dxa" w:w="1178"/>
          </w:tcPr>
          <w:p>
            <w:r>
              <w:rPr>
                <w:sz w:val="14"/>
              </w:rPr>
              <w:t>2.27 %</w:t>
            </w:r>
          </w:p>
        </w:tc>
        <w:tc>
          <w:tcPr>
            <w:tcW w:type="dxa" w:w="1178"/>
          </w:tcPr>
          <w:p>
            <w:r>
              <w:rPr>
                <w:sz w:val="14"/>
              </w:rPr>
              <w:t>37.6 %</w:t>
            </w:r>
          </w:p>
        </w:tc>
        <w:tc>
          <w:tcPr>
            <w:tcW w:type="dxa" w:w="1178"/>
          </w:tcPr>
          <w:p>
            <w:r>
              <w:rPr>
                <w:sz w:val="14"/>
              </w:rPr>
              <w:t>36.9 %</w:t>
            </w:r>
          </w:p>
        </w:tc>
      </w:tr>
    </w:tbl>
    <w:p>
      <w:r>
        <w:rPr>
          <w:i/>
        </w:rPr>
        <w:t>Demand after the LRT and the share of each mode (of car + transit on the corridor market):</w:t>
      </w:r>
    </w:p>
    <w:tbl>
      <w:tblPr>
        <w:tblStyle w:val="LightGrid-Accent1"/>
        <w:tblW w:type="auto" w:w="0"/>
        <w:tblLook w:firstColumn="1" w:firstRow="1" w:lastColumn="0" w:lastRow="0" w:noHBand="0" w:noVBand="1" w:val="04A0"/>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1010"/>
          </w:tcPr>
          <w:p>
            <w:r>
              <w:rPr>
                <w:b/>
                <w:sz w:val="14"/>
              </w:rPr>
              <w:t>scenario</w:t>
            </w:r>
          </w:p>
        </w:tc>
        <w:tc>
          <w:tcPr>
            <w:tcW w:type="dxa" w:w="1010"/>
          </w:tcPr>
          <w:p>
            <w:r>
              <w:rPr>
                <w:b/>
                <w:sz w:val="14"/>
              </w:rPr>
              <w:t>car after</w:t>
            </w:r>
          </w:p>
        </w:tc>
        <w:tc>
          <w:tcPr>
            <w:tcW w:type="dxa" w:w="1010"/>
          </w:tcPr>
          <w:p>
            <w:r>
              <w:rPr>
                <w:b/>
                <w:sz w:val="14"/>
              </w:rPr>
              <w:t>BRT after</w:t>
            </w:r>
          </w:p>
        </w:tc>
        <w:tc>
          <w:tcPr>
            <w:tcW w:type="dxa" w:w="1010"/>
          </w:tcPr>
          <w:p>
            <w:r>
              <w:rPr>
                <w:b/>
                <w:sz w:val="14"/>
              </w:rPr>
              <w:t>LRT</w:t>
            </w:r>
          </w:p>
        </w:tc>
        <w:tc>
          <w:tcPr>
            <w:tcW w:type="dxa" w:w="1010"/>
          </w:tcPr>
          <w:p>
            <w:r>
              <w:rPr>
                <w:b/>
                <w:sz w:val="14"/>
              </w:rPr>
              <w:t>bus after</w:t>
            </w:r>
          </w:p>
        </w:tc>
        <w:tc>
          <w:tcPr>
            <w:tcW w:type="dxa" w:w="1010"/>
          </w:tcPr>
          <w:p>
            <w:r>
              <w:rPr>
                <w:b/>
                <w:sz w:val="14"/>
              </w:rPr>
              <w:t>total transit after</w:t>
            </w:r>
          </w:p>
        </w:tc>
        <w:tc>
          <w:tcPr>
            <w:tcW w:type="dxa" w:w="1010"/>
          </w:tcPr>
          <w:p>
            <w:r>
              <w:rPr>
                <w:b/>
                <w:sz w:val="14"/>
              </w:rPr>
              <w:t>car share</w:t>
            </w:r>
          </w:p>
        </w:tc>
        <w:tc>
          <w:tcPr>
            <w:tcW w:type="dxa" w:w="1010"/>
          </w:tcPr>
          <w:p>
            <w:r>
              <w:rPr>
                <w:b/>
                <w:sz w:val="14"/>
              </w:rPr>
              <w:t>BRT share</w:t>
            </w:r>
          </w:p>
        </w:tc>
        <w:tc>
          <w:tcPr>
            <w:tcW w:type="dxa" w:w="1010"/>
          </w:tcPr>
          <w:p>
            <w:r>
              <w:rPr>
                <w:b/>
                <w:sz w:val="14"/>
              </w:rPr>
              <w:t>LRT share</w:t>
            </w:r>
          </w:p>
        </w:tc>
        <w:tc>
          <w:tcPr>
            <w:tcW w:type="dxa" w:w="1010"/>
          </w:tcPr>
          <w:p>
            <w:r>
              <w:rPr>
                <w:b/>
                <w:sz w:val="14"/>
              </w:rPr>
              <w:t>bus share</w:t>
            </w:r>
          </w:p>
        </w:tc>
        <w:tc>
          <w:tcPr>
            <w:tcW w:type="dxa" w:w="1010"/>
          </w:tcPr>
          <w:p>
            <w:r>
              <w:rPr>
                <w:b/>
                <w:sz w:val="14"/>
              </w:rPr>
              <w:t>transit share</w:t>
            </w:r>
          </w:p>
        </w:tc>
        <w:tc>
          <w:tcPr>
            <w:tcW w:type="dxa" w:w="1010"/>
          </w:tcPr>
          <w:p>
            <w:r>
              <w:rPr>
                <w:b/>
                <w:sz w:val="14"/>
              </w:rPr>
              <w:t>LRT share of transit</w:t>
            </w:r>
          </w:p>
        </w:tc>
        <w:tc>
          <w:tcPr>
            <w:tcW w:type="dxa" w:w="1010"/>
          </w:tcPr>
          <w:p>
            <w:r>
              <w:rPr>
                <w:b/>
                <w:sz w:val="14"/>
              </w:rPr>
              <w:t>LRT, buses slower (sensitivity)</w:t>
            </w:r>
          </w:p>
        </w:tc>
        <w:tc>
          <w:tcPr>
            <w:tcW w:type="dxa" w:w="1010"/>
          </w:tcPr>
          <w:p>
            <w:r>
              <w:rPr>
                <w:b/>
                <w:sz w:val="14"/>
              </w:rPr>
              <w:t>LRT share of transit, buses slower</w:t>
            </w:r>
          </w:p>
        </w:tc>
      </w:tr>
      <w:tr>
        <w:tc>
          <w:tcPr>
            <w:tcW w:type="dxa" w:w="1010"/>
          </w:tcPr>
          <w:p>
            <w:r>
              <w:rPr>
                <w:sz w:val="14"/>
              </w:rPr>
              <w:t>2022</w:t>
            </w:r>
          </w:p>
        </w:tc>
        <w:tc>
          <w:tcPr>
            <w:tcW w:type="dxa" w:w="1010"/>
          </w:tcPr>
          <w:p>
            <w:r>
              <w:rPr>
                <w:sz w:val="14"/>
              </w:rPr>
              <w:t>55,882</w:t>
            </w:r>
          </w:p>
        </w:tc>
        <w:tc>
          <w:tcPr>
            <w:tcW w:type="dxa" w:w="1010"/>
          </w:tcPr>
          <w:p>
            <w:r>
              <w:rPr>
                <w:sz w:val="14"/>
              </w:rPr>
              <w:t>5,408</w:t>
            </w:r>
          </w:p>
        </w:tc>
        <w:tc>
          <w:tcPr>
            <w:tcW w:type="dxa" w:w="1010"/>
          </w:tcPr>
          <w:p>
            <w:r>
              <w:rPr>
                <w:sz w:val="14"/>
              </w:rPr>
              <w:t>5,193</w:t>
            </w:r>
          </w:p>
        </w:tc>
        <w:tc>
          <w:tcPr>
            <w:tcW w:type="dxa" w:w="1010"/>
          </w:tcPr>
          <w:p>
            <w:r>
              <w:rPr>
                <w:sz w:val="14"/>
              </w:rPr>
              <w:t>4,096</w:t>
            </w:r>
          </w:p>
        </w:tc>
        <w:tc>
          <w:tcPr>
            <w:tcW w:type="dxa" w:w="1010"/>
          </w:tcPr>
          <w:p>
            <w:r>
              <w:rPr>
                <w:sz w:val="14"/>
              </w:rPr>
              <w:t>14,696</w:t>
            </w:r>
          </w:p>
        </w:tc>
        <w:tc>
          <w:tcPr>
            <w:tcW w:type="dxa" w:w="1010"/>
          </w:tcPr>
          <w:p>
            <w:r>
              <w:rPr>
                <w:sz w:val="14"/>
              </w:rPr>
              <w:t>79.2 %</w:t>
            </w:r>
          </w:p>
        </w:tc>
        <w:tc>
          <w:tcPr>
            <w:tcW w:type="dxa" w:w="1010"/>
          </w:tcPr>
          <w:p>
            <w:r>
              <w:rPr>
                <w:sz w:val="14"/>
              </w:rPr>
              <w:t>7.7 %</w:t>
            </w:r>
          </w:p>
        </w:tc>
        <w:tc>
          <w:tcPr>
            <w:tcW w:type="dxa" w:w="1010"/>
          </w:tcPr>
          <w:p>
            <w:r>
              <w:rPr>
                <w:sz w:val="14"/>
              </w:rPr>
              <w:t>7.4 %</w:t>
            </w:r>
          </w:p>
        </w:tc>
        <w:tc>
          <w:tcPr>
            <w:tcW w:type="dxa" w:w="1010"/>
          </w:tcPr>
          <w:p>
            <w:r>
              <w:rPr>
                <w:sz w:val="14"/>
              </w:rPr>
              <w:t>5.8 %</w:t>
            </w:r>
          </w:p>
        </w:tc>
        <w:tc>
          <w:tcPr>
            <w:tcW w:type="dxa" w:w="1010"/>
          </w:tcPr>
          <w:p>
            <w:r>
              <w:rPr>
                <w:sz w:val="14"/>
              </w:rPr>
              <w:t>20.8 %</w:t>
            </w:r>
          </w:p>
        </w:tc>
        <w:tc>
          <w:tcPr>
            <w:tcW w:type="dxa" w:w="1010"/>
          </w:tcPr>
          <w:p>
            <w:r>
              <w:rPr>
                <w:sz w:val="14"/>
              </w:rPr>
              <w:t>35.3 %</w:t>
            </w:r>
          </w:p>
        </w:tc>
        <w:tc>
          <w:tcPr>
            <w:tcW w:type="dxa" w:w="1010"/>
          </w:tcPr>
          <w:p>
            <w:r>
              <w:rPr>
                <w:sz w:val="14"/>
              </w:rPr>
            </w:r>
          </w:p>
        </w:tc>
        <w:tc>
          <w:tcPr>
            <w:tcW w:type="dxa" w:w="1010"/>
          </w:tcPr>
          <w:p>
            <w:r>
              <w:rPr>
                <w:sz w:val="14"/>
              </w:rPr>
            </w:r>
          </w:p>
        </w:tc>
      </w:tr>
      <w:tr>
        <w:tc>
          <w:tcPr>
            <w:tcW w:type="dxa" w:w="1010"/>
          </w:tcPr>
          <w:p>
            <w:r>
              <w:rPr>
                <w:sz w:val="14"/>
              </w:rPr>
              <w:t>2040 BU</w:t>
            </w:r>
          </w:p>
        </w:tc>
        <w:tc>
          <w:tcPr>
            <w:tcW w:type="dxa" w:w="1010"/>
          </w:tcPr>
          <w:p>
            <w:r>
              <w:rPr>
                <w:sz w:val="14"/>
              </w:rPr>
              <w:t>73,986</w:t>
            </w:r>
          </w:p>
        </w:tc>
        <w:tc>
          <w:tcPr>
            <w:tcW w:type="dxa" w:w="1010"/>
          </w:tcPr>
          <w:p>
            <w:r>
              <w:rPr>
                <w:sz w:val="14"/>
              </w:rPr>
              <w:t>6,863</w:t>
            </w:r>
          </w:p>
        </w:tc>
        <w:tc>
          <w:tcPr>
            <w:tcW w:type="dxa" w:w="1010"/>
          </w:tcPr>
          <w:p>
            <w:r>
              <w:rPr>
                <w:sz w:val="14"/>
              </w:rPr>
              <w:t>6,309</w:t>
            </w:r>
          </w:p>
        </w:tc>
        <w:tc>
          <w:tcPr>
            <w:tcW w:type="dxa" w:w="1010"/>
          </w:tcPr>
          <w:p>
            <w:r>
              <w:rPr>
                <w:sz w:val="14"/>
              </w:rPr>
              <w:t>5,832</w:t>
            </w:r>
          </w:p>
        </w:tc>
        <w:tc>
          <w:tcPr>
            <w:tcW w:type="dxa" w:w="1010"/>
          </w:tcPr>
          <w:p>
            <w:r>
              <w:rPr>
                <w:sz w:val="14"/>
              </w:rPr>
              <w:t>19,005</w:t>
            </w:r>
          </w:p>
        </w:tc>
        <w:tc>
          <w:tcPr>
            <w:tcW w:type="dxa" w:w="1010"/>
          </w:tcPr>
          <w:p>
            <w:r>
              <w:rPr>
                <w:sz w:val="14"/>
              </w:rPr>
              <w:t>79.6 %</w:t>
            </w:r>
          </w:p>
        </w:tc>
        <w:tc>
          <w:tcPr>
            <w:tcW w:type="dxa" w:w="1010"/>
          </w:tcPr>
          <w:p>
            <w:r>
              <w:rPr>
                <w:sz w:val="14"/>
              </w:rPr>
              <w:t>7.4 %</w:t>
            </w:r>
          </w:p>
        </w:tc>
        <w:tc>
          <w:tcPr>
            <w:tcW w:type="dxa" w:w="1010"/>
          </w:tcPr>
          <w:p>
            <w:r>
              <w:rPr>
                <w:sz w:val="14"/>
              </w:rPr>
              <w:t>6.8 %</w:t>
            </w:r>
          </w:p>
        </w:tc>
        <w:tc>
          <w:tcPr>
            <w:tcW w:type="dxa" w:w="1010"/>
          </w:tcPr>
          <w:p>
            <w:r>
              <w:rPr>
                <w:sz w:val="14"/>
              </w:rPr>
              <w:t>6.3 %</w:t>
            </w:r>
          </w:p>
        </w:tc>
        <w:tc>
          <w:tcPr>
            <w:tcW w:type="dxa" w:w="1010"/>
          </w:tcPr>
          <w:p>
            <w:r>
              <w:rPr>
                <w:sz w:val="14"/>
              </w:rPr>
              <w:t>20.4 %</w:t>
            </w:r>
          </w:p>
        </w:tc>
        <w:tc>
          <w:tcPr>
            <w:tcW w:type="dxa" w:w="1010"/>
          </w:tcPr>
          <w:p>
            <w:r>
              <w:rPr>
                <w:sz w:val="14"/>
              </w:rPr>
              <w:t>33.2 %</w:t>
            </w:r>
          </w:p>
        </w:tc>
        <w:tc>
          <w:tcPr>
            <w:tcW w:type="dxa" w:w="1010"/>
          </w:tcPr>
          <w:p>
            <w:r>
              <w:rPr>
                <w:sz w:val="14"/>
              </w:rPr>
              <w:t>6,442</w:t>
            </w:r>
          </w:p>
        </w:tc>
        <w:tc>
          <w:tcPr>
            <w:tcW w:type="dxa" w:w="1010"/>
          </w:tcPr>
          <w:p>
            <w:r>
              <w:rPr>
                <w:sz w:val="14"/>
              </w:rPr>
              <w:t>33.8 %</w:t>
            </w:r>
          </w:p>
        </w:tc>
      </w:tr>
      <w:tr>
        <w:tc>
          <w:tcPr>
            <w:tcW w:type="dxa" w:w="1010"/>
          </w:tcPr>
          <w:p>
            <w:r>
              <w:rPr>
                <w:sz w:val="14"/>
              </w:rPr>
              <w:t>2050 BU</w:t>
            </w:r>
          </w:p>
        </w:tc>
        <w:tc>
          <w:tcPr>
            <w:tcW w:type="dxa" w:w="1010"/>
          </w:tcPr>
          <w:p>
            <w:r>
              <w:rPr>
                <w:sz w:val="14"/>
              </w:rPr>
              <w:t>84,996</w:t>
            </w:r>
          </w:p>
        </w:tc>
        <w:tc>
          <w:tcPr>
            <w:tcW w:type="dxa" w:w="1010"/>
          </w:tcPr>
          <w:p>
            <w:r>
              <w:rPr>
                <w:sz w:val="14"/>
              </w:rPr>
              <w:t>7,816</w:t>
            </w:r>
          </w:p>
        </w:tc>
        <w:tc>
          <w:tcPr>
            <w:tcW w:type="dxa" w:w="1010"/>
          </w:tcPr>
          <w:p>
            <w:r>
              <w:rPr>
                <w:sz w:val="14"/>
              </w:rPr>
              <w:t>7,433</w:t>
            </w:r>
          </w:p>
        </w:tc>
        <w:tc>
          <w:tcPr>
            <w:tcW w:type="dxa" w:w="1010"/>
          </w:tcPr>
          <w:p>
            <w:r>
              <w:rPr>
                <w:sz w:val="14"/>
              </w:rPr>
              <w:t>6,824</w:t>
            </w:r>
          </w:p>
        </w:tc>
        <w:tc>
          <w:tcPr>
            <w:tcW w:type="dxa" w:w="1010"/>
          </w:tcPr>
          <w:p>
            <w:r>
              <w:rPr>
                <w:sz w:val="14"/>
              </w:rPr>
              <w:t>22,073</w:t>
            </w:r>
          </w:p>
        </w:tc>
        <w:tc>
          <w:tcPr>
            <w:tcW w:type="dxa" w:w="1010"/>
          </w:tcPr>
          <w:p>
            <w:r>
              <w:rPr>
                <w:sz w:val="14"/>
              </w:rPr>
              <w:t>79.4 %</w:t>
            </w:r>
          </w:p>
        </w:tc>
        <w:tc>
          <w:tcPr>
            <w:tcW w:type="dxa" w:w="1010"/>
          </w:tcPr>
          <w:p>
            <w:r>
              <w:rPr>
                <w:sz w:val="14"/>
              </w:rPr>
              <w:t>7.3 %</w:t>
            </w:r>
          </w:p>
        </w:tc>
        <w:tc>
          <w:tcPr>
            <w:tcW w:type="dxa" w:w="1010"/>
          </w:tcPr>
          <w:p>
            <w:r>
              <w:rPr>
                <w:sz w:val="14"/>
              </w:rPr>
              <w:t>6.9 %</w:t>
            </w:r>
          </w:p>
        </w:tc>
        <w:tc>
          <w:tcPr>
            <w:tcW w:type="dxa" w:w="1010"/>
          </w:tcPr>
          <w:p>
            <w:r>
              <w:rPr>
                <w:sz w:val="14"/>
              </w:rPr>
              <w:t>6.4 %</w:t>
            </w:r>
          </w:p>
        </w:tc>
        <w:tc>
          <w:tcPr>
            <w:tcW w:type="dxa" w:w="1010"/>
          </w:tcPr>
          <w:p>
            <w:r>
              <w:rPr>
                <w:sz w:val="14"/>
              </w:rPr>
              <w:t>20.6 %</w:t>
            </w:r>
          </w:p>
        </w:tc>
        <w:tc>
          <w:tcPr>
            <w:tcW w:type="dxa" w:w="1010"/>
          </w:tcPr>
          <w:p>
            <w:r>
              <w:rPr>
                <w:sz w:val="14"/>
              </w:rPr>
              <w:t>33.7 %</w:t>
            </w:r>
          </w:p>
        </w:tc>
        <w:tc>
          <w:tcPr>
            <w:tcW w:type="dxa" w:w="1010"/>
          </w:tcPr>
          <w:p>
            <w:r>
              <w:rPr>
                <w:sz w:val="14"/>
              </w:rPr>
              <w:t>7,804</w:t>
            </w:r>
          </w:p>
        </w:tc>
        <w:tc>
          <w:tcPr>
            <w:tcW w:type="dxa" w:w="1010"/>
          </w:tcPr>
          <w:p>
            <w:r>
              <w:rPr>
                <w:sz w:val="14"/>
              </w:rPr>
              <w:t>35.1 %</w:t>
            </w:r>
          </w:p>
        </w:tc>
      </w:tr>
      <w:tr>
        <w:tc>
          <w:tcPr>
            <w:tcW w:type="dxa" w:w="1010"/>
          </w:tcPr>
          <w:p>
            <w:r>
              <w:rPr>
                <w:sz w:val="14"/>
              </w:rPr>
              <w:t>2040 HS</w:t>
            </w:r>
          </w:p>
        </w:tc>
        <w:tc>
          <w:tcPr>
            <w:tcW w:type="dxa" w:w="1010"/>
          </w:tcPr>
          <w:p>
            <w:r>
              <w:rPr>
                <w:sz w:val="14"/>
              </w:rPr>
              <w:t>76,640</w:t>
            </w:r>
          </w:p>
        </w:tc>
        <w:tc>
          <w:tcPr>
            <w:tcW w:type="dxa" w:w="1010"/>
          </w:tcPr>
          <w:p>
            <w:r>
              <w:rPr>
                <w:sz w:val="14"/>
              </w:rPr>
              <w:t>6,992</w:t>
            </w:r>
          </w:p>
        </w:tc>
        <w:tc>
          <w:tcPr>
            <w:tcW w:type="dxa" w:w="1010"/>
          </w:tcPr>
          <w:p>
            <w:r>
              <w:rPr>
                <w:sz w:val="14"/>
              </w:rPr>
              <w:t>7,476</w:t>
            </w:r>
          </w:p>
        </w:tc>
        <w:tc>
          <w:tcPr>
            <w:tcW w:type="dxa" w:w="1010"/>
          </w:tcPr>
          <w:p>
            <w:r>
              <w:rPr>
                <w:sz w:val="14"/>
              </w:rPr>
              <w:t>5,707</w:t>
            </w:r>
          </w:p>
        </w:tc>
        <w:tc>
          <w:tcPr>
            <w:tcW w:type="dxa" w:w="1010"/>
          </w:tcPr>
          <w:p>
            <w:r>
              <w:rPr>
                <w:sz w:val="14"/>
              </w:rPr>
              <w:t>20,175</w:t>
            </w:r>
          </w:p>
        </w:tc>
        <w:tc>
          <w:tcPr>
            <w:tcW w:type="dxa" w:w="1010"/>
          </w:tcPr>
          <w:p>
            <w:r>
              <w:rPr>
                <w:sz w:val="14"/>
              </w:rPr>
              <w:t>79.2 %</w:t>
            </w:r>
          </w:p>
        </w:tc>
        <w:tc>
          <w:tcPr>
            <w:tcW w:type="dxa" w:w="1010"/>
          </w:tcPr>
          <w:p>
            <w:r>
              <w:rPr>
                <w:sz w:val="14"/>
              </w:rPr>
              <w:t>7.2 %</w:t>
            </w:r>
          </w:p>
        </w:tc>
        <w:tc>
          <w:tcPr>
            <w:tcW w:type="dxa" w:w="1010"/>
          </w:tcPr>
          <w:p>
            <w:r>
              <w:rPr>
                <w:sz w:val="14"/>
              </w:rPr>
              <w:t>7.7 %</w:t>
            </w:r>
          </w:p>
        </w:tc>
        <w:tc>
          <w:tcPr>
            <w:tcW w:type="dxa" w:w="1010"/>
          </w:tcPr>
          <w:p>
            <w:r>
              <w:rPr>
                <w:sz w:val="14"/>
              </w:rPr>
              <w:t>5.9 %</w:t>
            </w:r>
          </w:p>
        </w:tc>
        <w:tc>
          <w:tcPr>
            <w:tcW w:type="dxa" w:w="1010"/>
          </w:tcPr>
          <w:p>
            <w:r>
              <w:rPr>
                <w:sz w:val="14"/>
              </w:rPr>
              <w:t>20.8 %</w:t>
            </w:r>
          </w:p>
        </w:tc>
        <w:tc>
          <w:tcPr>
            <w:tcW w:type="dxa" w:w="1010"/>
          </w:tcPr>
          <w:p>
            <w:r>
              <w:rPr>
                <w:sz w:val="14"/>
              </w:rPr>
              <w:t>37.1 %</w:t>
            </w:r>
          </w:p>
        </w:tc>
        <w:tc>
          <w:tcPr>
            <w:tcW w:type="dxa" w:w="1010"/>
          </w:tcPr>
          <w:p>
            <w:r>
              <w:rPr>
                <w:sz w:val="14"/>
              </w:rPr>
              <w:t>7,624</w:t>
            </w:r>
          </w:p>
        </w:tc>
        <w:tc>
          <w:tcPr>
            <w:tcW w:type="dxa" w:w="1010"/>
          </w:tcPr>
          <w:p>
            <w:r>
              <w:rPr>
                <w:sz w:val="14"/>
              </w:rPr>
              <w:t>37.7 %</w:t>
            </w:r>
          </w:p>
        </w:tc>
      </w:tr>
      <w:tr>
        <w:tc>
          <w:tcPr>
            <w:tcW w:type="dxa" w:w="1010"/>
          </w:tcPr>
          <w:p>
            <w:r>
              <w:rPr>
                <w:sz w:val="14"/>
              </w:rPr>
              <w:t>2050 HS</w:t>
            </w:r>
          </w:p>
        </w:tc>
        <w:tc>
          <w:tcPr>
            <w:tcW w:type="dxa" w:w="1010"/>
          </w:tcPr>
          <w:p>
            <w:r>
              <w:rPr>
                <w:sz w:val="14"/>
              </w:rPr>
              <w:t>87,525</w:t>
            </w:r>
          </w:p>
        </w:tc>
        <w:tc>
          <w:tcPr>
            <w:tcW w:type="dxa" w:w="1010"/>
          </w:tcPr>
          <w:p>
            <w:r>
              <w:rPr>
                <w:sz w:val="14"/>
              </w:rPr>
              <w:t>7,908</w:t>
            </w:r>
          </w:p>
        </w:tc>
        <w:tc>
          <w:tcPr>
            <w:tcW w:type="dxa" w:w="1010"/>
          </w:tcPr>
          <w:p>
            <w:r>
              <w:rPr>
                <w:sz w:val="14"/>
              </w:rPr>
              <w:t>9,225</w:t>
            </w:r>
          </w:p>
        </w:tc>
        <w:tc>
          <w:tcPr>
            <w:tcW w:type="dxa" w:w="1010"/>
          </w:tcPr>
          <w:p>
            <w:r>
              <w:rPr>
                <w:sz w:val="14"/>
              </w:rPr>
              <w:t>6,135</w:t>
            </w:r>
          </w:p>
        </w:tc>
        <w:tc>
          <w:tcPr>
            <w:tcW w:type="dxa" w:w="1010"/>
          </w:tcPr>
          <w:p>
            <w:r>
              <w:rPr>
                <w:sz w:val="14"/>
              </w:rPr>
              <w:t>23,267</w:t>
            </w:r>
          </w:p>
        </w:tc>
        <w:tc>
          <w:tcPr>
            <w:tcW w:type="dxa" w:w="1010"/>
          </w:tcPr>
          <w:p>
            <w:r>
              <w:rPr>
                <w:sz w:val="14"/>
              </w:rPr>
              <w:t>79.0 %</w:t>
            </w:r>
          </w:p>
        </w:tc>
        <w:tc>
          <w:tcPr>
            <w:tcW w:type="dxa" w:w="1010"/>
          </w:tcPr>
          <w:p>
            <w:r>
              <w:rPr>
                <w:sz w:val="14"/>
              </w:rPr>
              <w:t>7.1 %</w:t>
            </w:r>
          </w:p>
        </w:tc>
        <w:tc>
          <w:tcPr>
            <w:tcW w:type="dxa" w:w="1010"/>
          </w:tcPr>
          <w:p>
            <w:r>
              <w:rPr>
                <w:sz w:val="14"/>
              </w:rPr>
              <w:t>8.3 %</w:t>
            </w:r>
          </w:p>
        </w:tc>
        <w:tc>
          <w:tcPr>
            <w:tcW w:type="dxa" w:w="1010"/>
          </w:tcPr>
          <w:p>
            <w:r>
              <w:rPr>
                <w:sz w:val="14"/>
              </w:rPr>
              <w:t>5.5 %</w:t>
            </w:r>
          </w:p>
        </w:tc>
        <w:tc>
          <w:tcPr>
            <w:tcW w:type="dxa" w:w="1010"/>
          </w:tcPr>
          <w:p>
            <w:r>
              <w:rPr>
                <w:sz w:val="14"/>
              </w:rPr>
              <w:t>21.0 %</w:t>
            </w:r>
          </w:p>
        </w:tc>
        <w:tc>
          <w:tcPr>
            <w:tcW w:type="dxa" w:w="1010"/>
          </w:tcPr>
          <w:p>
            <w:r>
              <w:rPr>
                <w:sz w:val="14"/>
              </w:rPr>
              <w:t>39.6 %</w:t>
            </w:r>
          </w:p>
        </w:tc>
        <w:tc>
          <w:tcPr>
            <w:tcW w:type="dxa" w:w="1010"/>
          </w:tcPr>
          <w:p>
            <w:r>
              <w:rPr>
                <w:sz w:val="14"/>
              </w:rPr>
              <w:t>9,590</w:t>
            </w:r>
          </w:p>
        </w:tc>
        <w:tc>
          <w:tcPr>
            <w:tcW w:type="dxa" w:w="1010"/>
          </w:tcPr>
          <w:p>
            <w:r>
              <w:rPr>
                <w:sz w:val="14"/>
              </w:rPr>
              <w:t>41.0 %</w:t>
            </w:r>
          </w:p>
        </w:tc>
      </w:tr>
    </w:tbl>
    <w:p>
      <w:r>
        <w:rPr>
          <w:i/>
        </w:rPr>
        <w:t>The extension part, as part of the through line:</w:t>
      </w:r>
    </w:p>
    <w:tbl>
      <w:tblPr>
        <w:tblStyle w:val="LightGrid-Accent1"/>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sz w:val="14"/>
              </w:rPr>
              <w:t>scenario</w:t>
            </w:r>
          </w:p>
        </w:tc>
        <w:tc>
          <w:tcPr>
            <w:tcW w:type="dxa" w:w="1178"/>
          </w:tcPr>
          <w:p>
            <w:r>
              <w:rPr>
                <w:b/>
                <w:sz w:val="14"/>
              </w:rPr>
              <w:t>LRT</w:t>
            </w:r>
          </w:p>
        </w:tc>
        <w:tc>
          <w:tcPr>
            <w:tcW w:type="dxa" w:w="1178"/>
          </w:tcPr>
          <w:p>
            <w:r>
              <w:rPr>
                <w:b/>
                <w:sz w:val="14"/>
              </w:rPr>
              <w:t>LRT (peak hour)</w:t>
            </w:r>
          </w:p>
        </w:tc>
        <w:tc>
          <w:tcPr>
            <w:tcW w:type="dxa" w:w="1178"/>
          </w:tcPr>
          <w:p>
            <w:r>
              <w:rPr>
                <w:b/>
                <w:sz w:val="14"/>
              </w:rPr>
              <w:t>LRT using the extension</w:t>
            </w:r>
          </w:p>
        </w:tc>
        <w:tc>
          <w:tcPr>
            <w:tcW w:type="dxa" w:w="1178"/>
          </w:tcPr>
          <w:p>
            <w:r>
              <w:rPr>
                <w:b/>
                <w:sz w:val="14"/>
              </w:rPr>
              <w:t>LRT using the extension (peak hour)</w:t>
            </w:r>
          </w:p>
        </w:tc>
        <w:tc>
          <w:tcPr>
            <w:tcW w:type="dxa" w:w="1178"/>
          </w:tcPr>
          <w:p>
            <w:r>
              <w:rPr>
                <w:b/>
                <w:sz w:val="14"/>
              </w:rPr>
              <w:t>ext: from car</w:t>
            </w:r>
          </w:p>
        </w:tc>
        <w:tc>
          <w:tcPr>
            <w:tcW w:type="dxa" w:w="1178"/>
          </w:tcPr>
          <w:p>
            <w:r>
              <w:rPr>
                <w:b/>
                <w:sz w:val="14"/>
              </w:rPr>
              <w:t>ext: from BRT</w:t>
            </w:r>
          </w:p>
        </w:tc>
        <w:tc>
          <w:tcPr>
            <w:tcW w:type="dxa" w:w="1178"/>
          </w:tcPr>
          <w:p>
            <w:r>
              <w:rPr>
                <w:b/>
                <w:sz w:val="14"/>
              </w:rPr>
              <w:t>ext: from bus</w:t>
            </w:r>
          </w:p>
        </w:tc>
        <w:tc>
          <w:tcPr>
            <w:tcW w:type="dxa" w:w="1178"/>
          </w:tcPr>
          <w:p>
            <w:r>
              <w:rPr>
                <w:b/>
                <w:sz w:val="14"/>
              </w:rPr>
              <w:t>LRT within the extension</w:t>
            </w:r>
          </w:p>
        </w:tc>
        <w:tc>
          <w:tcPr>
            <w:tcW w:type="dxa" w:w="1178"/>
          </w:tcPr>
          <w:p>
            <w:r>
              <w:rPr>
                <w:b/>
                <w:sz w:val="14"/>
              </w:rPr>
              <w:t>busiest segment (3 h, one direction)</w:t>
            </w:r>
          </w:p>
        </w:tc>
        <w:tc>
          <w:tcPr>
            <w:tcW w:type="dxa" w:w="1178"/>
          </w:tcPr>
          <w:p>
            <w:r>
              <w:rPr>
                <w:b/>
                <w:sz w:val="14"/>
              </w:rPr>
              <w:t>busiest segment (peak hour, one direction)</w:t>
            </w:r>
          </w:p>
        </w:tc>
        <w:tc>
          <w:tcPr>
            <w:tcW w:type="dxa" w:w="1178"/>
          </w:tcPr>
          <w:p>
            <w:r>
              <w:rPr>
                <w:b/>
                <w:sz w:val="14"/>
              </w:rPr>
              <w:t>extension share of LRT trips</w:t>
            </w:r>
          </w:p>
        </w:tc>
      </w:tr>
      <w:tr>
        <w:tc>
          <w:tcPr>
            <w:tcW w:type="dxa" w:w="1178"/>
          </w:tcPr>
          <w:p>
            <w:r>
              <w:rPr>
                <w:sz w:val="14"/>
              </w:rPr>
              <w:t>2022</w:t>
            </w:r>
          </w:p>
        </w:tc>
        <w:tc>
          <w:tcPr>
            <w:tcW w:type="dxa" w:w="1178"/>
          </w:tcPr>
          <w:p>
            <w:r>
              <w:rPr>
                <w:sz w:val="14"/>
              </w:rPr>
              <w:t>5,193</w:t>
            </w:r>
          </w:p>
        </w:tc>
        <w:tc>
          <w:tcPr>
            <w:tcW w:type="dxa" w:w="1178"/>
          </w:tcPr>
          <w:p>
            <w:r>
              <w:rPr>
                <w:sz w:val="14"/>
              </w:rPr>
              <w:t>3,059</w:t>
            </w:r>
          </w:p>
        </w:tc>
        <w:tc>
          <w:tcPr>
            <w:tcW w:type="dxa" w:w="1178"/>
          </w:tcPr>
          <w:p>
            <w:r>
              <w:rPr>
                <w:sz w:val="14"/>
              </w:rPr>
              <w:t>4,004</w:t>
            </w:r>
          </w:p>
        </w:tc>
        <w:tc>
          <w:tcPr>
            <w:tcW w:type="dxa" w:w="1178"/>
          </w:tcPr>
          <w:p>
            <w:r>
              <w:rPr>
                <w:sz w:val="14"/>
              </w:rPr>
              <w:t>2,359</w:t>
            </w:r>
          </w:p>
        </w:tc>
        <w:tc>
          <w:tcPr>
            <w:tcW w:type="dxa" w:w="1178"/>
          </w:tcPr>
          <w:p>
            <w:r>
              <w:rPr>
                <w:sz w:val="14"/>
              </w:rPr>
              <w:t>223</w:t>
            </w:r>
          </w:p>
        </w:tc>
        <w:tc>
          <w:tcPr>
            <w:tcW w:type="dxa" w:w="1178"/>
          </w:tcPr>
          <w:p>
            <w:r>
              <w:rPr>
                <w:sz w:val="14"/>
              </w:rPr>
              <w:t>2,334</w:t>
            </w:r>
          </w:p>
        </w:tc>
        <w:tc>
          <w:tcPr>
            <w:tcW w:type="dxa" w:w="1178"/>
          </w:tcPr>
          <w:p>
            <w:r>
              <w:rPr>
                <w:sz w:val="14"/>
              </w:rPr>
              <w:t>1,447</w:t>
            </w:r>
          </w:p>
        </w:tc>
        <w:tc>
          <w:tcPr>
            <w:tcW w:type="dxa" w:w="1178"/>
          </w:tcPr>
          <w:p>
            <w:r>
              <w:rPr>
                <w:sz w:val="14"/>
              </w:rPr>
              <w:t>2,413</w:t>
            </w:r>
          </w:p>
        </w:tc>
        <w:tc>
          <w:tcPr>
            <w:tcW w:type="dxa" w:w="1178"/>
          </w:tcPr>
          <w:p>
            <w:r>
              <w:rPr>
                <w:sz w:val="14"/>
              </w:rPr>
              <w:t>1,840</w:t>
            </w:r>
          </w:p>
        </w:tc>
        <w:tc>
          <w:tcPr>
            <w:tcW w:type="dxa" w:w="1178"/>
          </w:tcPr>
          <w:p>
            <w:r>
              <w:rPr>
                <w:sz w:val="14"/>
              </w:rPr>
              <w:t>840</w:t>
            </w:r>
          </w:p>
        </w:tc>
        <w:tc>
          <w:tcPr>
            <w:tcW w:type="dxa" w:w="1178"/>
          </w:tcPr>
          <w:p>
            <w:r>
              <w:rPr>
                <w:sz w:val="14"/>
              </w:rPr>
              <w:t>77.1 %</w:t>
            </w:r>
          </w:p>
        </w:tc>
      </w:tr>
      <w:tr>
        <w:tc>
          <w:tcPr>
            <w:tcW w:type="dxa" w:w="1178"/>
          </w:tcPr>
          <w:p>
            <w:r>
              <w:rPr>
                <w:sz w:val="14"/>
              </w:rPr>
              <w:t>2040 BU</w:t>
            </w:r>
          </w:p>
        </w:tc>
        <w:tc>
          <w:tcPr>
            <w:tcW w:type="dxa" w:w="1178"/>
          </w:tcPr>
          <w:p>
            <w:r>
              <w:rPr>
                <w:sz w:val="14"/>
              </w:rPr>
              <w:t>6,309</w:t>
            </w:r>
          </w:p>
        </w:tc>
        <w:tc>
          <w:tcPr>
            <w:tcW w:type="dxa" w:w="1178"/>
          </w:tcPr>
          <w:p>
            <w:r>
              <w:rPr>
                <w:sz w:val="14"/>
              </w:rPr>
              <w:t>3,716</w:t>
            </w:r>
          </w:p>
        </w:tc>
        <w:tc>
          <w:tcPr>
            <w:tcW w:type="dxa" w:w="1178"/>
          </w:tcPr>
          <w:p>
            <w:r>
              <w:rPr>
                <w:sz w:val="14"/>
              </w:rPr>
              <w:t>4,950</w:t>
            </w:r>
          </w:p>
        </w:tc>
        <w:tc>
          <w:tcPr>
            <w:tcW w:type="dxa" w:w="1178"/>
          </w:tcPr>
          <w:p>
            <w:r>
              <w:rPr>
                <w:sz w:val="14"/>
              </w:rPr>
              <w:t>2,915</w:t>
            </w:r>
          </w:p>
        </w:tc>
        <w:tc>
          <w:tcPr>
            <w:tcW w:type="dxa" w:w="1178"/>
          </w:tcPr>
          <w:p>
            <w:r>
              <w:rPr>
                <w:sz w:val="14"/>
              </w:rPr>
              <w:t>270</w:t>
            </w:r>
          </w:p>
        </w:tc>
        <w:tc>
          <w:tcPr>
            <w:tcW w:type="dxa" w:w="1178"/>
          </w:tcPr>
          <w:p>
            <w:r>
              <w:rPr>
                <w:sz w:val="14"/>
              </w:rPr>
              <w:t>2,778</w:t>
            </w:r>
          </w:p>
        </w:tc>
        <w:tc>
          <w:tcPr>
            <w:tcW w:type="dxa" w:w="1178"/>
          </w:tcPr>
          <w:p>
            <w:r>
              <w:rPr>
                <w:sz w:val="14"/>
              </w:rPr>
              <w:t>1,901</w:t>
            </w:r>
          </w:p>
        </w:tc>
        <w:tc>
          <w:tcPr>
            <w:tcW w:type="dxa" w:w="1178"/>
          </w:tcPr>
          <w:p>
            <w:r>
              <w:rPr>
                <w:sz w:val="14"/>
              </w:rPr>
              <w:t>3,038</w:t>
            </w:r>
          </w:p>
        </w:tc>
        <w:tc>
          <w:tcPr>
            <w:tcW w:type="dxa" w:w="1178"/>
          </w:tcPr>
          <w:p>
            <w:r>
              <w:rPr>
                <w:sz w:val="14"/>
              </w:rPr>
              <w:t>2,114</w:t>
            </w:r>
          </w:p>
        </w:tc>
        <w:tc>
          <w:tcPr>
            <w:tcW w:type="dxa" w:w="1178"/>
          </w:tcPr>
          <w:p>
            <w:r>
              <w:rPr>
                <w:sz w:val="14"/>
              </w:rPr>
              <w:t>966</w:t>
            </w:r>
          </w:p>
        </w:tc>
        <w:tc>
          <w:tcPr>
            <w:tcW w:type="dxa" w:w="1178"/>
          </w:tcPr>
          <w:p>
            <w:r>
              <w:rPr>
                <w:sz w:val="14"/>
              </w:rPr>
              <w:t>78.5 %</w:t>
            </w:r>
          </w:p>
        </w:tc>
      </w:tr>
      <w:tr>
        <w:tc>
          <w:tcPr>
            <w:tcW w:type="dxa" w:w="1178"/>
          </w:tcPr>
          <w:p>
            <w:r>
              <w:rPr>
                <w:sz w:val="14"/>
              </w:rPr>
              <w:t>2050 BU</w:t>
            </w:r>
          </w:p>
        </w:tc>
        <w:tc>
          <w:tcPr>
            <w:tcW w:type="dxa" w:w="1178"/>
          </w:tcPr>
          <w:p>
            <w:r>
              <w:rPr>
                <w:sz w:val="14"/>
              </w:rPr>
              <w:t>7,433</w:t>
            </w:r>
          </w:p>
        </w:tc>
        <w:tc>
          <w:tcPr>
            <w:tcW w:type="dxa" w:w="1178"/>
          </w:tcPr>
          <w:p>
            <w:r>
              <w:rPr>
                <w:sz w:val="14"/>
              </w:rPr>
              <w:t>4,378</w:t>
            </w:r>
          </w:p>
        </w:tc>
        <w:tc>
          <w:tcPr>
            <w:tcW w:type="dxa" w:w="1178"/>
          </w:tcPr>
          <w:p>
            <w:r>
              <w:rPr>
                <w:sz w:val="14"/>
              </w:rPr>
              <w:t>6,003</w:t>
            </w:r>
          </w:p>
        </w:tc>
        <w:tc>
          <w:tcPr>
            <w:tcW w:type="dxa" w:w="1178"/>
          </w:tcPr>
          <w:p>
            <w:r>
              <w:rPr>
                <w:sz w:val="14"/>
              </w:rPr>
              <w:t>3,536</w:t>
            </w:r>
          </w:p>
        </w:tc>
        <w:tc>
          <w:tcPr>
            <w:tcW w:type="dxa" w:w="1178"/>
          </w:tcPr>
          <w:p>
            <w:r>
              <w:rPr>
                <w:sz w:val="14"/>
              </w:rPr>
              <w:t>733</w:t>
            </w:r>
          </w:p>
        </w:tc>
        <w:tc>
          <w:tcPr>
            <w:tcW w:type="dxa" w:w="1178"/>
          </w:tcPr>
          <w:p>
            <w:r>
              <w:rPr>
                <w:sz w:val="14"/>
              </w:rPr>
              <w:t>3,162</w:t>
            </w:r>
          </w:p>
        </w:tc>
        <w:tc>
          <w:tcPr>
            <w:tcW w:type="dxa" w:w="1178"/>
          </w:tcPr>
          <w:p>
            <w:r>
              <w:rPr>
                <w:sz w:val="14"/>
              </w:rPr>
              <w:t>2,108</w:t>
            </w:r>
          </w:p>
        </w:tc>
        <w:tc>
          <w:tcPr>
            <w:tcW w:type="dxa" w:w="1178"/>
          </w:tcPr>
          <w:p>
            <w:r>
              <w:rPr>
                <w:sz w:val="14"/>
              </w:rPr>
              <w:t>3,851</w:t>
            </w:r>
          </w:p>
        </w:tc>
        <w:tc>
          <w:tcPr>
            <w:tcW w:type="dxa" w:w="1178"/>
          </w:tcPr>
          <w:p>
            <w:r>
              <w:rPr>
                <w:sz w:val="14"/>
              </w:rPr>
              <w:t>2,345</w:t>
            </w:r>
          </w:p>
        </w:tc>
        <w:tc>
          <w:tcPr>
            <w:tcW w:type="dxa" w:w="1178"/>
          </w:tcPr>
          <w:p>
            <w:r>
              <w:rPr>
                <w:sz w:val="14"/>
              </w:rPr>
              <w:t>1,071</w:t>
            </w:r>
          </w:p>
        </w:tc>
        <w:tc>
          <w:tcPr>
            <w:tcW w:type="dxa" w:w="1178"/>
          </w:tcPr>
          <w:p>
            <w:r>
              <w:rPr>
                <w:sz w:val="14"/>
              </w:rPr>
              <w:t>80.8 %</w:t>
            </w:r>
          </w:p>
        </w:tc>
      </w:tr>
      <w:tr>
        <w:tc>
          <w:tcPr>
            <w:tcW w:type="dxa" w:w="1178"/>
          </w:tcPr>
          <w:p>
            <w:r>
              <w:rPr>
                <w:sz w:val="14"/>
              </w:rPr>
              <w:t>2040 HS</w:t>
            </w:r>
          </w:p>
        </w:tc>
        <w:tc>
          <w:tcPr>
            <w:tcW w:type="dxa" w:w="1178"/>
          </w:tcPr>
          <w:p>
            <w:r>
              <w:rPr>
                <w:sz w:val="14"/>
              </w:rPr>
              <w:t>7,476</w:t>
            </w:r>
          </w:p>
        </w:tc>
        <w:tc>
          <w:tcPr>
            <w:tcW w:type="dxa" w:w="1178"/>
          </w:tcPr>
          <w:p>
            <w:r>
              <w:rPr>
                <w:sz w:val="14"/>
              </w:rPr>
              <w:t>4,403</w:t>
            </w:r>
          </w:p>
        </w:tc>
        <w:tc>
          <w:tcPr>
            <w:tcW w:type="dxa" w:w="1178"/>
          </w:tcPr>
          <w:p>
            <w:r>
              <w:rPr>
                <w:sz w:val="14"/>
              </w:rPr>
              <w:t>5,651</w:t>
            </w:r>
          </w:p>
        </w:tc>
        <w:tc>
          <w:tcPr>
            <w:tcW w:type="dxa" w:w="1178"/>
          </w:tcPr>
          <w:p>
            <w:r>
              <w:rPr>
                <w:sz w:val="14"/>
              </w:rPr>
              <w:t>3,328</w:t>
            </w:r>
          </w:p>
        </w:tc>
        <w:tc>
          <w:tcPr>
            <w:tcW w:type="dxa" w:w="1178"/>
          </w:tcPr>
          <w:p>
            <w:r>
              <w:rPr>
                <w:sz w:val="14"/>
              </w:rPr>
              <w:t>588</w:t>
            </w:r>
          </w:p>
        </w:tc>
        <w:tc>
          <w:tcPr>
            <w:tcW w:type="dxa" w:w="1178"/>
          </w:tcPr>
          <w:p>
            <w:r>
              <w:rPr>
                <w:sz w:val="14"/>
              </w:rPr>
              <w:t>3,196</w:t>
            </w:r>
          </w:p>
        </w:tc>
        <w:tc>
          <w:tcPr>
            <w:tcW w:type="dxa" w:w="1178"/>
          </w:tcPr>
          <w:p>
            <w:r>
              <w:rPr>
                <w:sz w:val="14"/>
              </w:rPr>
              <w:t>1,867</w:t>
            </w:r>
          </w:p>
        </w:tc>
        <w:tc>
          <w:tcPr>
            <w:tcW w:type="dxa" w:w="1178"/>
          </w:tcPr>
          <w:p>
            <w:r>
              <w:rPr>
                <w:sz w:val="14"/>
              </w:rPr>
              <w:t>3,276</w:t>
            </w:r>
          </w:p>
        </w:tc>
        <w:tc>
          <w:tcPr>
            <w:tcW w:type="dxa" w:w="1178"/>
          </w:tcPr>
          <w:p>
            <w:r>
              <w:rPr>
                <w:sz w:val="14"/>
              </w:rPr>
              <w:t>2,509</w:t>
            </w:r>
          </w:p>
        </w:tc>
        <w:tc>
          <w:tcPr>
            <w:tcW w:type="dxa" w:w="1178"/>
          </w:tcPr>
          <w:p>
            <w:r>
              <w:rPr>
                <w:sz w:val="14"/>
              </w:rPr>
              <w:t>1,146</w:t>
            </w:r>
          </w:p>
        </w:tc>
        <w:tc>
          <w:tcPr>
            <w:tcW w:type="dxa" w:w="1178"/>
          </w:tcPr>
          <w:p>
            <w:r>
              <w:rPr>
                <w:sz w:val="14"/>
              </w:rPr>
              <w:t>75.6 %</w:t>
            </w:r>
          </w:p>
        </w:tc>
      </w:tr>
      <w:tr>
        <w:tc>
          <w:tcPr>
            <w:tcW w:type="dxa" w:w="1178"/>
          </w:tcPr>
          <w:p>
            <w:r>
              <w:rPr>
                <w:sz w:val="14"/>
              </w:rPr>
              <w:t>2050 HS</w:t>
            </w:r>
          </w:p>
        </w:tc>
        <w:tc>
          <w:tcPr>
            <w:tcW w:type="dxa" w:w="1178"/>
          </w:tcPr>
          <w:p>
            <w:r>
              <w:rPr>
                <w:sz w:val="14"/>
              </w:rPr>
              <w:t>9,225</w:t>
            </w:r>
          </w:p>
        </w:tc>
        <w:tc>
          <w:tcPr>
            <w:tcW w:type="dxa" w:w="1178"/>
          </w:tcPr>
          <w:p>
            <w:r>
              <w:rPr>
                <w:sz w:val="14"/>
              </w:rPr>
              <w:t>5,433</w:t>
            </w:r>
          </w:p>
        </w:tc>
        <w:tc>
          <w:tcPr>
            <w:tcW w:type="dxa" w:w="1178"/>
          </w:tcPr>
          <w:p>
            <w:r>
              <w:rPr>
                <w:sz w:val="14"/>
              </w:rPr>
              <w:t>7,010</w:t>
            </w:r>
          </w:p>
        </w:tc>
        <w:tc>
          <w:tcPr>
            <w:tcW w:type="dxa" w:w="1178"/>
          </w:tcPr>
          <w:p>
            <w:r>
              <w:rPr>
                <w:sz w:val="14"/>
              </w:rPr>
              <w:t>4,129</w:t>
            </w:r>
          </w:p>
        </w:tc>
        <w:tc>
          <w:tcPr>
            <w:tcW w:type="dxa" w:w="1178"/>
          </w:tcPr>
          <w:p>
            <w:r>
              <w:rPr>
                <w:sz w:val="14"/>
              </w:rPr>
              <w:t>899</w:t>
            </w:r>
          </w:p>
        </w:tc>
        <w:tc>
          <w:tcPr>
            <w:tcW w:type="dxa" w:w="1178"/>
          </w:tcPr>
          <w:p>
            <w:r>
              <w:rPr>
                <w:sz w:val="14"/>
              </w:rPr>
              <w:t>3,913</w:t>
            </w:r>
          </w:p>
        </w:tc>
        <w:tc>
          <w:tcPr>
            <w:tcW w:type="dxa" w:w="1178"/>
          </w:tcPr>
          <w:p>
            <w:r>
              <w:rPr>
                <w:sz w:val="14"/>
              </w:rPr>
              <w:t>2,199</w:t>
            </w:r>
          </w:p>
        </w:tc>
        <w:tc>
          <w:tcPr>
            <w:tcW w:type="dxa" w:w="1178"/>
          </w:tcPr>
          <w:p>
            <w:r>
              <w:rPr>
                <w:sz w:val="14"/>
              </w:rPr>
              <w:t>4,068</w:t>
            </w:r>
          </w:p>
        </w:tc>
        <w:tc>
          <w:tcPr>
            <w:tcW w:type="dxa" w:w="1178"/>
          </w:tcPr>
          <w:p>
            <w:r>
              <w:rPr>
                <w:sz w:val="14"/>
              </w:rPr>
              <w:t>3,058</w:t>
            </w:r>
          </w:p>
        </w:tc>
        <w:tc>
          <w:tcPr>
            <w:tcW w:type="dxa" w:w="1178"/>
          </w:tcPr>
          <w:p>
            <w:r>
              <w:rPr>
                <w:sz w:val="14"/>
              </w:rPr>
              <w:t>1,397</w:t>
            </w:r>
          </w:p>
        </w:tc>
        <w:tc>
          <w:tcPr>
            <w:tcW w:type="dxa" w:w="1178"/>
          </w:tcPr>
          <w:p>
            <w:r>
              <w:rPr>
                <w:sz w:val="14"/>
              </w:rPr>
              <w:t>76.0 %</w:t>
            </w:r>
          </w:p>
        </w:tc>
      </w:tr>
    </w:tbl>
    <w:p/>
    <w:p>
      <w:r>
        <w:rPr>
          <w:b/>
        </w:rPr>
        <w:t>Table 4.4 — PM 16:00–19:00: the shift to the LRT and the demand by mode after the LRT, main route + extension, Prioritized (trips in three hours).</w:t>
      </w:r>
    </w:p>
    <w:tbl>
      <w:tblPr>
        <w:tblStyle w:val="LightGrid-Accent1"/>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sz w:val="14"/>
              </w:rPr>
              <w:t>scenario</w:t>
            </w:r>
          </w:p>
        </w:tc>
        <w:tc>
          <w:tcPr>
            <w:tcW w:type="dxa" w:w="1178"/>
          </w:tcPr>
          <w:p>
            <w:r>
              <w:rPr>
                <w:b/>
                <w:sz w:val="14"/>
              </w:rPr>
              <w:t>car before</w:t>
            </w:r>
          </w:p>
        </w:tc>
        <w:tc>
          <w:tcPr>
            <w:tcW w:type="dxa" w:w="1178"/>
          </w:tcPr>
          <w:p>
            <w:r>
              <w:rPr>
                <w:b/>
                <w:sz w:val="14"/>
              </w:rPr>
              <w:t>bus before</w:t>
            </w:r>
          </w:p>
        </w:tc>
        <w:tc>
          <w:tcPr>
            <w:tcW w:type="dxa" w:w="1178"/>
          </w:tcPr>
          <w:p>
            <w:r>
              <w:rPr>
                <w:b/>
                <w:sz w:val="14"/>
              </w:rPr>
              <w:t>BRT before</w:t>
            </w:r>
          </w:p>
        </w:tc>
        <w:tc>
          <w:tcPr>
            <w:tcW w:type="dxa" w:w="1178"/>
          </w:tcPr>
          <w:p>
            <w:r>
              <w:rPr>
                <w:b/>
                <w:sz w:val="14"/>
              </w:rPr>
              <w:t>transit before</w:t>
            </w:r>
          </w:p>
        </w:tc>
        <w:tc>
          <w:tcPr>
            <w:tcW w:type="dxa" w:w="1178"/>
          </w:tcPr>
          <w:p>
            <w:r>
              <w:rPr>
                <w:b/>
                <w:sz w:val="14"/>
              </w:rPr>
              <w:t>car → transit</w:t>
            </w:r>
          </w:p>
        </w:tc>
        <w:tc>
          <w:tcPr>
            <w:tcW w:type="dxa" w:w="1178"/>
          </w:tcPr>
          <w:p>
            <w:r>
              <w:rPr>
                <w:b/>
                <w:sz w:val="14"/>
              </w:rPr>
              <w:t>car → LRT</w:t>
            </w:r>
          </w:p>
        </w:tc>
        <w:tc>
          <w:tcPr>
            <w:tcW w:type="dxa" w:w="1178"/>
          </w:tcPr>
          <w:p>
            <w:r>
              <w:rPr>
                <w:b/>
                <w:sz w:val="14"/>
              </w:rPr>
              <w:t>BRT → LRT</w:t>
            </w:r>
          </w:p>
        </w:tc>
        <w:tc>
          <w:tcPr>
            <w:tcW w:type="dxa" w:w="1178"/>
          </w:tcPr>
          <w:p>
            <w:r>
              <w:rPr>
                <w:b/>
                <w:sz w:val="14"/>
              </w:rPr>
              <w:t>bus → LRT</w:t>
            </w:r>
          </w:p>
        </w:tc>
        <w:tc>
          <w:tcPr>
            <w:tcW w:type="dxa" w:w="1178"/>
          </w:tcPr>
          <w:p>
            <w:r>
              <w:rPr>
                <w:b/>
                <w:sz w:val="14"/>
              </w:rPr>
              <w:t>car → transit (% of car)</w:t>
            </w:r>
          </w:p>
        </w:tc>
        <w:tc>
          <w:tcPr>
            <w:tcW w:type="dxa" w:w="1178"/>
          </w:tcPr>
          <w:p>
            <w:r>
              <w:rPr>
                <w:b/>
                <w:sz w:val="14"/>
              </w:rPr>
              <w:t>BRT → LRT (% of BRT)</w:t>
            </w:r>
          </w:p>
        </w:tc>
        <w:tc>
          <w:tcPr>
            <w:tcW w:type="dxa" w:w="1178"/>
          </w:tcPr>
          <w:p>
            <w:r>
              <w:rPr>
                <w:b/>
                <w:sz w:val="14"/>
              </w:rPr>
              <w:t>bus → LRT (% of bus)</w:t>
            </w:r>
          </w:p>
        </w:tc>
      </w:tr>
      <w:tr>
        <w:tc>
          <w:tcPr>
            <w:tcW w:type="dxa" w:w="1178"/>
          </w:tcPr>
          <w:p>
            <w:r>
              <w:rPr>
                <w:sz w:val="14"/>
              </w:rPr>
              <w:t>2022</w:t>
            </w:r>
          </w:p>
        </w:tc>
        <w:tc>
          <w:tcPr>
            <w:tcW w:type="dxa" w:w="1178"/>
          </w:tcPr>
          <w:p>
            <w:r>
              <w:rPr>
                <w:sz w:val="14"/>
              </w:rPr>
              <w:t>66,517</w:t>
            </w:r>
          </w:p>
        </w:tc>
        <w:tc>
          <w:tcPr>
            <w:tcW w:type="dxa" w:w="1178"/>
          </w:tcPr>
          <w:p>
            <w:r>
              <w:rPr>
                <w:sz w:val="14"/>
              </w:rPr>
              <w:t>4,354</w:t>
            </w:r>
          </w:p>
        </w:tc>
        <w:tc>
          <w:tcPr>
            <w:tcW w:type="dxa" w:w="1178"/>
          </w:tcPr>
          <w:p>
            <w:r>
              <w:rPr>
                <w:sz w:val="14"/>
              </w:rPr>
              <w:t>7,253</w:t>
            </w:r>
          </w:p>
        </w:tc>
        <w:tc>
          <w:tcPr>
            <w:tcW w:type="dxa" w:w="1178"/>
          </w:tcPr>
          <w:p>
            <w:r>
              <w:rPr>
                <w:sz w:val="14"/>
              </w:rPr>
              <w:t>11,607</w:t>
            </w:r>
          </w:p>
        </w:tc>
        <w:tc>
          <w:tcPr>
            <w:tcW w:type="dxa" w:w="1178"/>
          </w:tcPr>
          <w:p>
            <w:r>
              <w:rPr>
                <w:sz w:val="14"/>
              </w:rPr>
              <w:t>552</w:t>
            </w:r>
          </w:p>
        </w:tc>
        <w:tc>
          <w:tcPr>
            <w:tcW w:type="dxa" w:w="1178"/>
          </w:tcPr>
          <w:p>
            <w:r>
              <w:rPr>
                <w:sz w:val="14"/>
              </w:rPr>
              <w:t>274</w:t>
            </w:r>
          </w:p>
        </w:tc>
        <w:tc>
          <w:tcPr>
            <w:tcW w:type="dxa" w:w="1178"/>
          </w:tcPr>
          <w:p>
            <w:r>
              <w:rPr>
                <w:sz w:val="14"/>
              </w:rPr>
              <w:t>2,322</w:t>
            </w:r>
          </w:p>
        </w:tc>
        <w:tc>
          <w:tcPr>
            <w:tcW w:type="dxa" w:w="1178"/>
          </w:tcPr>
          <w:p>
            <w:r>
              <w:rPr>
                <w:sz w:val="14"/>
              </w:rPr>
              <w:t>1,504</w:t>
            </w:r>
          </w:p>
        </w:tc>
        <w:tc>
          <w:tcPr>
            <w:tcW w:type="dxa" w:w="1178"/>
          </w:tcPr>
          <w:p>
            <w:r>
              <w:rPr>
                <w:sz w:val="14"/>
              </w:rPr>
              <w:t>0.83 %</w:t>
            </w:r>
          </w:p>
        </w:tc>
        <w:tc>
          <w:tcPr>
            <w:tcW w:type="dxa" w:w="1178"/>
          </w:tcPr>
          <w:p>
            <w:r>
              <w:rPr>
                <w:sz w:val="14"/>
              </w:rPr>
              <w:t>32.0 %</w:t>
            </w:r>
          </w:p>
        </w:tc>
        <w:tc>
          <w:tcPr>
            <w:tcW w:type="dxa" w:w="1178"/>
          </w:tcPr>
          <w:p>
            <w:r>
              <w:rPr>
                <w:sz w:val="14"/>
              </w:rPr>
              <w:t>34.5 %</w:t>
            </w:r>
          </w:p>
        </w:tc>
      </w:tr>
      <w:tr>
        <w:tc>
          <w:tcPr>
            <w:tcW w:type="dxa" w:w="1178"/>
          </w:tcPr>
          <w:p>
            <w:r>
              <w:rPr>
                <w:sz w:val="14"/>
              </w:rPr>
              <w:t>2040 BU</w:t>
            </w:r>
          </w:p>
        </w:tc>
        <w:tc>
          <w:tcPr>
            <w:tcW w:type="dxa" w:w="1178"/>
          </w:tcPr>
          <w:p>
            <w:r>
              <w:rPr>
                <w:sz w:val="14"/>
              </w:rPr>
              <w:t>86,451</w:t>
            </w:r>
          </w:p>
        </w:tc>
        <w:tc>
          <w:tcPr>
            <w:tcW w:type="dxa" w:w="1178"/>
          </w:tcPr>
          <w:p>
            <w:r>
              <w:rPr>
                <w:sz w:val="14"/>
              </w:rPr>
              <w:t>6,392</w:t>
            </w:r>
          </w:p>
        </w:tc>
        <w:tc>
          <w:tcPr>
            <w:tcW w:type="dxa" w:w="1178"/>
          </w:tcPr>
          <w:p>
            <w:r>
              <w:rPr>
                <w:sz w:val="14"/>
              </w:rPr>
              <w:t>9,218</w:t>
            </w:r>
          </w:p>
        </w:tc>
        <w:tc>
          <w:tcPr>
            <w:tcW w:type="dxa" w:w="1178"/>
          </w:tcPr>
          <w:p>
            <w:r>
              <w:rPr>
                <w:sz w:val="14"/>
              </w:rPr>
              <w:t>15,610</w:t>
            </w:r>
          </w:p>
        </w:tc>
        <w:tc>
          <w:tcPr>
            <w:tcW w:type="dxa" w:w="1178"/>
          </w:tcPr>
          <w:p>
            <w:r>
              <w:rPr>
                <w:sz w:val="14"/>
              </w:rPr>
              <w:t>666</w:t>
            </w:r>
          </w:p>
        </w:tc>
        <w:tc>
          <w:tcPr>
            <w:tcW w:type="dxa" w:w="1178"/>
          </w:tcPr>
          <w:p>
            <w:r>
              <w:rPr>
                <w:sz w:val="14"/>
              </w:rPr>
              <w:t>327</w:t>
            </w:r>
          </w:p>
        </w:tc>
        <w:tc>
          <w:tcPr>
            <w:tcW w:type="dxa" w:w="1178"/>
          </w:tcPr>
          <w:p>
            <w:r>
              <w:rPr>
                <w:sz w:val="14"/>
              </w:rPr>
              <w:t>2,819</w:t>
            </w:r>
          </w:p>
        </w:tc>
        <w:tc>
          <w:tcPr>
            <w:tcW w:type="dxa" w:w="1178"/>
          </w:tcPr>
          <w:p>
            <w:r>
              <w:rPr>
                <w:sz w:val="14"/>
              </w:rPr>
              <w:t>2,209</w:t>
            </w:r>
          </w:p>
        </w:tc>
        <w:tc>
          <w:tcPr>
            <w:tcW w:type="dxa" w:w="1178"/>
          </w:tcPr>
          <w:p>
            <w:r>
              <w:rPr>
                <w:sz w:val="14"/>
              </w:rPr>
              <w:t>0.77 %</w:t>
            </w:r>
          </w:p>
        </w:tc>
        <w:tc>
          <w:tcPr>
            <w:tcW w:type="dxa" w:w="1178"/>
          </w:tcPr>
          <w:p>
            <w:r>
              <w:rPr>
                <w:sz w:val="14"/>
              </w:rPr>
              <w:t>30.6 %</w:t>
            </w:r>
          </w:p>
        </w:tc>
        <w:tc>
          <w:tcPr>
            <w:tcW w:type="dxa" w:w="1178"/>
          </w:tcPr>
          <w:p>
            <w:r>
              <w:rPr>
                <w:sz w:val="14"/>
              </w:rPr>
              <w:t>34.6 %</w:t>
            </w:r>
          </w:p>
        </w:tc>
      </w:tr>
      <w:tr>
        <w:tc>
          <w:tcPr>
            <w:tcW w:type="dxa" w:w="1178"/>
          </w:tcPr>
          <w:p>
            <w:r>
              <w:rPr>
                <w:sz w:val="14"/>
              </w:rPr>
              <w:t>2050 BU</w:t>
            </w:r>
          </w:p>
        </w:tc>
        <w:tc>
          <w:tcPr>
            <w:tcW w:type="dxa" w:w="1178"/>
          </w:tcPr>
          <w:p>
            <w:r>
              <w:rPr>
                <w:sz w:val="14"/>
              </w:rPr>
              <w:t>100,598</w:t>
            </w:r>
          </w:p>
        </w:tc>
        <w:tc>
          <w:tcPr>
            <w:tcW w:type="dxa" w:w="1178"/>
          </w:tcPr>
          <w:p>
            <w:r>
              <w:rPr>
                <w:sz w:val="14"/>
              </w:rPr>
              <w:t>7,332</w:t>
            </w:r>
          </w:p>
        </w:tc>
        <w:tc>
          <w:tcPr>
            <w:tcW w:type="dxa" w:w="1178"/>
          </w:tcPr>
          <w:p>
            <w:r>
              <w:rPr>
                <w:sz w:val="14"/>
              </w:rPr>
              <w:t>10,487</w:t>
            </w:r>
          </w:p>
        </w:tc>
        <w:tc>
          <w:tcPr>
            <w:tcW w:type="dxa" w:w="1178"/>
          </w:tcPr>
          <w:p>
            <w:r>
              <w:rPr>
                <w:sz w:val="14"/>
              </w:rPr>
              <w:t>17,818</w:t>
            </w:r>
          </w:p>
        </w:tc>
        <w:tc>
          <w:tcPr>
            <w:tcW w:type="dxa" w:w="1178"/>
          </w:tcPr>
          <w:p>
            <w:r>
              <w:rPr>
                <w:sz w:val="14"/>
              </w:rPr>
              <w:t>741</w:t>
            </w:r>
          </w:p>
        </w:tc>
        <w:tc>
          <w:tcPr>
            <w:tcW w:type="dxa" w:w="1178"/>
          </w:tcPr>
          <w:p>
            <w:r>
              <w:rPr>
                <w:sz w:val="14"/>
              </w:rPr>
              <w:t>368</w:t>
            </w:r>
          </w:p>
        </w:tc>
        <w:tc>
          <w:tcPr>
            <w:tcW w:type="dxa" w:w="1178"/>
          </w:tcPr>
          <w:p>
            <w:r>
              <w:rPr>
                <w:sz w:val="14"/>
              </w:rPr>
              <w:t>3,217</w:t>
            </w:r>
          </w:p>
        </w:tc>
        <w:tc>
          <w:tcPr>
            <w:tcW w:type="dxa" w:w="1178"/>
          </w:tcPr>
          <w:p>
            <w:r>
              <w:rPr>
                <w:sz w:val="14"/>
              </w:rPr>
              <w:t>2,550</w:t>
            </w:r>
          </w:p>
        </w:tc>
        <w:tc>
          <w:tcPr>
            <w:tcW w:type="dxa" w:w="1178"/>
          </w:tcPr>
          <w:p>
            <w:r>
              <w:rPr>
                <w:sz w:val="14"/>
              </w:rPr>
              <w:t>0.74 %</w:t>
            </w:r>
          </w:p>
        </w:tc>
        <w:tc>
          <w:tcPr>
            <w:tcW w:type="dxa" w:w="1178"/>
          </w:tcPr>
          <w:p>
            <w:r>
              <w:rPr>
                <w:sz w:val="14"/>
              </w:rPr>
              <w:t>30.7 %</w:t>
            </w:r>
          </w:p>
        </w:tc>
        <w:tc>
          <w:tcPr>
            <w:tcW w:type="dxa" w:w="1178"/>
          </w:tcPr>
          <w:p>
            <w:r>
              <w:rPr>
                <w:sz w:val="14"/>
              </w:rPr>
              <w:t>34.8 %</w:t>
            </w:r>
          </w:p>
        </w:tc>
      </w:tr>
      <w:tr>
        <w:tc>
          <w:tcPr>
            <w:tcW w:type="dxa" w:w="1178"/>
          </w:tcPr>
          <w:p>
            <w:r>
              <w:rPr>
                <w:sz w:val="14"/>
              </w:rPr>
              <w:t>2040 HS</w:t>
            </w:r>
          </w:p>
        </w:tc>
        <w:tc>
          <w:tcPr>
            <w:tcW w:type="dxa" w:w="1178"/>
          </w:tcPr>
          <w:p>
            <w:r>
              <w:rPr>
                <w:sz w:val="14"/>
              </w:rPr>
              <w:t>88,649</w:t>
            </w:r>
          </w:p>
        </w:tc>
        <w:tc>
          <w:tcPr>
            <w:tcW w:type="dxa" w:w="1178"/>
          </w:tcPr>
          <w:p>
            <w:r>
              <w:rPr>
                <w:sz w:val="14"/>
              </w:rPr>
              <w:t>6,446</w:t>
            </w:r>
          </w:p>
        </w:tc>
        <w:tc>
          <w:tcPr>
            <w:tcW w:type="dxa" w:w="1178"/>
          </w:tcPr>
          <w:p>
            <w:r>
              <w:rPr>
                <w:sz w:val="14"/>
              </w:rPr>
              <w:t>9,291</w:t>
            </w:r>
          </w:p>
        </w:tc>
        <w:tc>
          <w:tcPr>
            <w:tcW w:type="dxa" w:w="1178"/>
          </w:tcPr>
          <w:p>
            <w:r>
              <w:rPr>
                <w:sz w:val="14"/>
              </w:rPr>
              <w:t>15,737</w:t>
            </w:r>
          </w:p>
        </w:tc>
        <w:tc>
          <w:tcPr>
            <w:tcW w:type="dxa" w:w="1178"/>
          </w:tcPr>
          <w:p>
            <w:r>
              <w:rPr>
                <w:sz w:val="14"/>
              </w:rPr>
              <w:t>804</w:t>
            </w:r>
          </w:p>
        </w:tc>
        <w:tc>
          <w:tcPr>
            <w:tcW w:type="dxa" w:w="1178"/>
          </w:tcPr>
          <w:p>
            <w:r>
              <w:rPr>
                <w:sz w:val="14"/>
              </w:rPr>
              <w:t>425</w:t>
            </w:r>
          </w:p>
        </w:tc>
        <w:tc>
          <w:tcPr>
            <w:tcW w:type="dxa" w:w="1178"/>
          </w:tcPr>
          <w:p>
            <w:r>
              <w:rPr>
                <w:sz w:val="14"/>
              </w:rPr>
              <w:t>3,050</w:t>
            </w:r>
          </w:p>
        </w:tc>
        <w:tc>
          <w:tcPr>
            <w:tcW w:type="dxa" w:w="1178"/>
          </w:tcPr>
          <w:p>
            <w:r>
              <w:rPr>
                <w:sz w:val="14"/>
              </w:rPr>
              <w:t>2,144</w:t>
            </w:r>
          </w:p>
        </w:tc>
        <w:tc>
          <w:tcPr>
            <w:tcW w:type="dxa" w:w="1178"/>
          </w:tcPr>
          <w:p>
            <w:r>
              <w:rPr>
                <w:sz w:val="14"/>
              </w:rPr>
              <w:t>0.91 %</w:t>
            </w:r>
          </w:p>
        </w:tc>
        <w:tc>
          <w:tcPr>
            <w:tcW w:type="dxa" w:w="1178"/>
          </w:tcPr>
          <w:p>
            <w:r>
              <w:rPr>
                <w:sz w:val="14"/>
              </w:rPr>
              <w:t>32.8 %</w:t>
            </w:r>
          </w:p>
        </w:tc>
        <w:tc>
          <w:tcPr>
            <w:tcW w:type="dxa" w:w="1178"/>
          </w:tcPr>
          <w:p>
            <w:r>
              <w:rPr>
                <w:sz w:val="14"/>
              </w:rPr>
              <w:t>33.3 %</w:t>
            </w:r>
          </w:p>
        </w:tc>
      </w:tr>
      <w:tr>
        <w:tc>
          <w:tcPr>
            <w:tcW w:type="dxa" w:w="1178"/>
          </w:tcPr>
          <w:p>
            <w:r>
              <w:rPr>
                <w:sz w:val="14"/>
              </w:rPr>
              <w:t>2050 HS</w:t>
            </w:r>
          </w:p>
        </w:tc>
        <w:tc>
          <w:tcPr>
            <w:tcW w:type="dxa" w:w="1178"/>
          </w:tcPr>
          <w:p>
            <w:r>
              <w:rPr>
                <w:sz w:val="14"/>
              </w:rPr>
              <w:t>96,724</w:t>
            </w:r>
          </w:p>
        </w:tc>
        <w:tc>
          <w:tcPr>
            <w:tcW w:type="dxa" w:w="1178"/>
          </w:tcPr>
          <w:p>
            <w:r>
              <w:rPr>
                <w:sz w:val="14"/>
              </w:rPr>
              <w:t>6,438</w:t>
            </w:r>
          </w:p>
        </w:tc>
        <w:tc>
          <w:tcPr>
            <w:tcW w:type="dxa" w:w="1178"/>
          </w:tcPr>
          <w:p>
            <w:r>
              <w:rPr>
                <w:sz w:val="14"/>
              </w:rPr>
              <w:t>9,892</w:t>
            </w:r>
          </w:p>
        </w:tc>
        <w:tc>
          <w:tcPr>
            <w:tcW w:type="dxa" w:w="1178"/>
          </w:tcPr>
          <w:p>
            <w:r>
              <w:rPr>
                <w:sz w:val="14"/>
              </w:rPr>
              <w:t>16,329</w:t>
            </w:r>
          </w:p>
        </w:tc>
        <w:tc>
          <w:tcPr>
            <w:tcW w:type="dxa" w:w="1178"/>
          </w:tcPr>
          <w:p>
            <w:r>
              <w:rPr>
                <w:sz w:val="14"/>
              </w:rPr>
              <w:t>880</w:t>
            </w:r>
          </w:p>
        </w:tc>
        <w:tc>
          <w:tcPr>
            <w:tcW w:type="dxa" w:w="1178"/>
          </w:tcPr>
          <w:p>
            <w:r>
              <w:rPr>
                <w:sz w:val="14"/>
              </w:rPr>
              <w:t>466</w:t>
            </w:r>
          </w:p>
        </w:tc>
        <w:tc>
          <w:tcPr>
            <w:tcW w:type="dxa" w:w="1178"/>
          </w:tcPr>
          <w:p>
            <w:r>
              <w:rPr>
                <w:sz w:val="14"/>
              </w:rPr>
              <w:t>3,278</w:t>
            </w:r>
          </w:p>
        </w:tc>
        <w:tc>
          <w:tcPr>
            <w:tcW w:type="dxa" w:w="1178"/>
          </w:tcPr>
          <w:p>
            <w:r>
              <w:rPr>
                <w:sz w:val="14"/>
              </w:rPr>
              <w:t>2,212</w:t>
            </w:r>
          </w:p>
        </w:tc>
        <w:tc>
          <w:tcPr>
            <w:tcW w:type="dxa" w:w="1178"/>
          </w:tcPr>
          <w:p>
            <w:r>
              <w:rPr>
                <w:sz w:val="14"/>
              </w:rPr>
              <w:t>0.91 %</w:t>
            </w:r>
          </w:p>
        </w:tc>
        <w:tc>
          <w:tcPr>
            <w:tcW w:type="dxa" w:w="1178"/>
          </w:tcPr>
          <w:p>
            <w:r>
              <w:rPr>
                <w:sz w:val="14"/>
              </w:rPr>
              <w:t>33.1 %</w:t>
            </w:r>
          </w:p>
        </w:tc>
        <w:tc>
          <w:tcPr>
            <w:tcW w:type="dxa" w:w="1178"/>
          </w:tcPr>
          <w:p>
            <w:r>
              <w:rPr>
                <w:sz w:val="14"/>
              </w:rPr>
              <w:t>34.4 %</w:t>
            </w:r>
          </w:p>
        </w:tc>
      </w:tr>
    </w:tbl>
    <w:p>
      <w:r>
        <w:rPr>
          <w:i/>
        </w:rPr>
        <w:t>Demand after the LRT and the share of each mode (of car + transit on the corridor market):</w:t>
      </w:r>
    </w:p>
    <w:tbl>
      <w:tblPr>
        <w:tblStyle w:val="LightGrid-Accent1"/>
        <w:tblW w:type="auto" w:w="0"/>
        <w:tblLook w:firstColumn="1" w:firstRow="1" w:lastColumn="0" w:lastRow="0" w:noHBand="0" w:noVBand="1" w:val="04A0"/>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1010"/>
          </w:tcPr>
          <w:p>
            <w:r>
              <w:rPr>
                <w:b/>
                <w:sz w:val="14"/>
              </w:rPr>
              <w:t>scenario</w:t>
            </w:r>
          </w:p>
        </w:tc>
        <w:tc>
          <w:tcPr>
            <w:tcW w:type="dxa" w:w="1010"/>
          </w:tcPr>
          <w:p>
            <w:r>
              <w:rPr>
                <w:b/>
                <w:sz w:val="14"/>
              </w:rPr>
              <w:t>car after</w:t>
            </w:r>
          </w:p>
        </w:tc>
        <w:tc>
          <w:tcPr>
            <w:tcW w:type="dxa" w:w="1010"/>
          </w:tcPr>
          <w:p>
            <w:r>
              <w:rPr>
                <w:b/>
                <w:sz w:val="14"/>
              </w:rPr>
              <w:t>BRT after</w:t>
            </w:r>
          </w:p>
        </w:tc>
        <w:tc>
          <w:tcPr>
            <w:tcW w:type="dxa" w:w="1010"/>
          </w:tcPr>
          <w:p>
            <w:r>
              <w:rPr>
                <w:b/>
                <w:sz w:val="14"/>
              </w:rPr>
              <w:t>LRT</w:t>
            </w:r>
          </w:p>
        </w:tc>
        <w:tc>
          <w:tcPr>
            <w:tcW w:type="dxa" w:w="1010"/>
          </w:tcPr>
          <w:p>
            <w:r>
              <w:rPr>
                <w:b/>
                <w:sz w:val="14"/>
              </w:rPr>
              <w:t>bus after</w:t>
            </w:r>
          </w:p>
        </w:tc>
        <w:tc>
          <w:tcPr>
            <w:tcW w:type="dxa" w:w="1010"/>
          </w:tcPr>
          <w:p>
            <w:r>
              <w:rPr>
                <w:b/>
                <w:sz w:val="14"/>
              </w:rPr>
              <w:t>total transit after</w:t>
            </w:r>
          </w:p>
        </w:tc>
        <w:tc>
          <w:tcPr>
            <w:tcW w:type="dxa" w:w="1010"/>
          </w:tcPr>
          <w:p>
            <w:r>
              <w:rPr>
                <w:b/>
                <w:sz w:val="14"/>
              </w:rPr>
              <w:t>car share</w:t>
            </w:r>
          </w:p>
        </w:tc>
        <w:tc>
          <w:tcPr>
            <w:tcW w:type="dxa" w:w="1010"/>
          </w:tcPr>
          <w:p>
            <w:r>
              <w:rPr>
                <w:b/>
                <w:sz w:val="14"/>
              </w:rPr>
              <w:t>BRT share</w:t>
            </w:r>
          </w:p>
        </w:tc>
        <w:tc>
          <w:tcPr>
            <w:tcW w:type="dxa" w:w="1010"/>
          </w:tcPr>
          <w:p>
            <w:r>
              <w:rPr>
                <w:b/>
                <w:sz w:val="14"/>
              </w:rPr>
              <w:t>LRT share</w:t>
            </w:r>
          </w:p>
        </w:tc>
        <w:tc>
          <w:tcPr>
            <w:tcW w:type="dxa" w:w="1010"/>
          </w:tcPr>
          <w:p>
            <w:r>
              <w:rPr>
                <w:b/>
                <w:sz w:val="14"/>
              </w:rPr>
              <w:t>bus share</w:t>
            </w:r>
          </w:p>
        </w:tc>
        <w:tc>
          <w:tcPr>
            <w:tcW w:type="dxa" w:w="1010"/>
          </w:tcPr>
          <w:p>
            <w:r>
              <w:rPr>
                <w:b/>
                <w:sz w:val="14"/>
              </w:rPr>
              <w:t>transit share</w:t>
            </w:r>
          </w:p>
        </w:tc>
        <w:tc>
          <w:tcPr>
            <w:tcW w:type="dxa" w:w="1010"/>
          </w:tcPr>
          <w:p>
            <w:r>
              <w:rPr>
                <w:b/>
                <w:sz w:val="14"/>
              </w:rPr>
              <w:t>LRT share of transit</w:t>
            </w:r>
          </w:p>
        </w:tc>
        <w:tc>
          <w:tcPr>
            <w:tcW w:type="dxa" w:w="1010"/>
          </w:tcPr>
          <w:p>
            <w:r>
              <w:rPr>
                <w:b/>
                <w:sz w:val="14"/>
              </w:rPr>
              <w:t>LRT, buses slower (sensitivity)</w:t>
            </w:r>
          </w:p>
        </w:tc>
        <w:tc>
          <w:tcPr>
            <w:tcW w:type="dxa" w:w="1010"/>
          </w:tcPr>
          <w:p>
            <w:r>
              <w:rPr>
                <w:b/>
                <w:sz w:val="14"/>
              </w:rPr>
              <w:t>LRT share of transit, buses slower</w:t>
            </w:r>
          </w:p>
        </w:tc>
      </w:tr>
      <w:tr>
        <w:tc>
          <w:tcPr>
            <w:tcW w:type="dxa" w:w="1010"/>
          </w:tcPr>
          <w:p>
            <w:r>
              <w:rPr>
                <w:sz w:val="14"/>
              </w:rPr>
              <w:t>2022</w:t>
            </w:r>
          </w:p>
        </w:tc>
        <w:tc>
          <w:tcPr>
            <w:tcW w:type="dxa" w:w="1010"/>
          </w:tcPr>
          <w:p>
            <w:r>
              <w:rPr>
                <w:sz w:val="14"/>
              </w:rPr>
              <w:t>65,965</w:t>
            </w:r>
          </w:p>
        </w:tc>
        <w:tc>
          <w:tcPr>
            <w:tcW w:type="dxa" w:w="1010"/>
          </w:tcPr>
          <w:p>
            <w:r>
              <w:rPr>
                <w:sz w:val="14"/>
              </w:rPr>
              <w:t>5,071</w:t>
            </w:r>
          </w:p>
        </w:tc>
        <w:tc>
          <w:tcPr>
            <w:tcW w:type="dxa" w:w="1010"/>
          </w:tcPr>
          <w:p>
            <w:r>
              <w:rPr>
                <w:sz w:val="14"/>
              </w:rPr>
              <w:t>4,101</w:t>
            </w:r>
          </w:p>
        </w:tc>
        <w:tc>
          <w:tcPr>
            <w:tcW w:type="dxa" w:w="1010"/>
          </w:tcPr>
          <w:p>
            <w:r>
              <w:rPr>
                <w:sz w:val="14"/>
              </w:rPr>
              <w:t>2,987</w:t>
            </w:r>
          </w:p>
        </w:tc>
        <w:tc>
          <w:tcPr>
            <w:tcW w:type="dxa" w:w="1010"/>
          </w:tcPr>
          <w:p>
            <w:r>
              <w:rPr>
                <w:sz w:val="14"/>
              </w:rPr>
              <w:t>12,159</w:t>
            </w:r>
          </w:p>
        </w:tc>
        <w:tc>
          <w:tcPr>
            <w:tcW w:type="dxa" w:w="1010"/>
          </w:tcPr>
          <w:p>
            <w:r>
              <w:rPr>
                <w:sz w:val="14"/>
              </w:rPr>
              <w:t>84.4 %</w:t>
            </w:r>
          </w:p>
        </w:tc>
        <w:tc>
          <w:tcPr>
            <w:tcW w:type="dxa" w:w="1010"/>
          </w:tcPr>
          <w:p>
            <w:r>
              <w:rPr>
                <w:sz w:val="14"/>
              </w:rPr>
              <w:t>6.5 %</w:t>
            </w:r>
          </w:p>
        </w:tc>
        <w:tc>
          <w:tcPr>
            <w:tcW w:type="dxa" w:w="1010"/>
          </w:tcPr>
          <w:p>
            <w:r>
              <w:rPr>
                <w:sz w:val="14"/>
              </w:rPr>
              <w:t>5.2 %</w:t>
            </w:r>
          </w:p>
        </w:tc>
        <w:tc>
          <w:tcPr>
            <w:tcW w:type="dxa" w:w="1010"/>
          </w:tcPr>
          <w:p>
            <w:r>
              <w:rPr>
                <w:sz w:val="14"/>
              </w:rPr>
              <w:t>3.8 %</w:t>
            </w:r>
          </w:p>
        </w:tc>
        <w:tc>
          <w:tcPr>
            <w:tcW w:type="dxa" w:w="1010"/>
          </w:tcPr>
          <w:p>
            <w:r>
              <w:rPr>
                <w:sz w:val="14"/>
              </w:rPr>
              <w:t>15.6 %</w:t>
            </w:r>
          </w:p>
        </w:tc>
        <w:tc>
          <w:tcPr>
            <w:tcW w:type="dxa" w:w="1010"/>
          </w:tcPr>
          <w:p>
            <w:r>
              <w:rPr>
                <w:sz w:val="14"/>
              </w:rPr>
              <w:t>33.7 %</w:t>
            </w:r>
          </w:p>
        </w:tc>
        <w:tc>
          <w:tcPr>
            <w:tcW w:type="dxa" w:w="1010"/>
          </w:tcPr>
          <w:p>
            <w:r>
              <w:rPr>
                <w:sz w:val="14"/>
              </w:rPr>
            </w:r>
          </w:p>
        </w:tc>
        <w:tc>
          <w:tcPr>
            <w:tcW w:type="dxa" w:w="1010"/>
          </w:tcPr>
          <w:p>
            <w:r>
              <w:rPr>
                <w:sz w:val="14"/>
              </w:rPr>
            </w:r>
          </w:p>
        </w:tc>
      </w:tr>
      <w:tr>
        <w:tc>
          <w:tcPr>
            <w:tcW w:type="dxa" w:w="1010"/>
          </w:tcPr>
          <w:p>
            <w:r>
              <w:rPr>
                <w:sz w:val="14"/>
              </w:rPr>
              <w:t>2040 BU</w:t>
            </w:r>
          </w:p>
        </w:tc>
        <w:tc>
          <w:tcPr>
            <w:tcW w:type="dxa" w:w="1010"/>
          </w:tcPr>
          <w:p>
            <w:r>
              <w:rPr>
                <w:sz w:val="14"/>
              </w:rPr>
              <w:t>85,785</w:t>
            </w:r>
          </w:p>
        </w:tc>
        <w:tc>
          <w:tcPr>
            <w:tcW w:type="dxa" w:w="1010"/>
          </w:tcPr>
          <w:p>
            <w:r>
              <w:rPr>
                <w:sz w:val="14"/>
              </w:rPr>
              <w:t>6,553</w:t>
            </w:r>
          </w:p>
        </w:tc>
        <w:tc>
          <w:tcPr>
            <w:tcW w:type="dxa" w:w="1010"/>
          </w:tcPr>
          <w:p>
            <w:r>
              <w:rPr>
                <w:sz w:val="14"/>
              </w:rPr>
              <w:t>5,358</w:t>
            </w:r>
          </w:p>
        </w:tc>
        <w:tc>
          <w:tcPr>
            <w:tcW w:type="dxa" w:w="1010"/>
          </w:tcPr>
          <w:p>
            <w:r>
              <w:rPr>
                <w:sz w:val="14"/>
              </w:rPr>
              <w:t>4,365</w:t>
            </w:r>
          </w:p>
        </w:tc>
        <w:tc>
          <w:tcPr>
            <w:tcW w:type="dxa" w:w="1010"/>
          </w:tcPr>
          <w:p>
            <w:r>
              <w:rPr>
                <w:sz w:val="14"/>
              </w:rPr>
              <w:t>16,276</w:t>
            </w:r>
          </w:p>
        </w:tc>
        <w:tc>
          <w:tcPr>
            <w:tcW w:type="dxa" w:w="1010"/>
          </w:tcPr>
          <w:p>
            <w:r>
              <w:rPr>
                <w:sz w:val="14"/>
              </w:rPr>
              <w:t>84.1 %</w:t>
            </w:r>
          </w:p>
        </w:tc>
        <w:tc>
          <w:tcPr>
            <w:tcW w:type="dxa" w:w="1010"/>
          </w:tcPr>
          <w:p>
            <w:r>
              <w:rPr>
                <w:sz w:val="14"/>
              </w:rPr>
              <w:t>6.4 %</w:t>
            </w:r>
          </w:p>
        </w:tc>
        <w:tc>
          <w:tcPr>
            <w:tcW w:type="dxa" w:w="1010"/>
          </w:tcPr>
          <w:p>
            <w:r>
              <w:rPr>
                <w:sz w:val="14"/>
              </w:rPr>
              <w:t>5.2 %</w:t>
            </w:r>
          </w:p>
        </w:tc>
        <w:tc>
          <w:tcPr>
            <w:tcW w:type="dxa" w:w="1010"/>
          </w:tcPr>
          <w:p>
            <w:r>
              <w:rPr>
                <w:sz w:val="14"/>
              </w:rPr>
              <w:t>4.3 %</w:t>
            </w:r>
          </w:p>
        </w:tc>
        <w:tc>
          <w:tcPr>
            <w:tcW w:type="dxa" w:w="1010"/>
          </w:tcPr>
          <w:p>
            <w:r>
              <w:rPr>
                <w:sz w:val="14"/>
              </w:rPr>
              <w:t>15.9 %</w:t>
            </w:r>
          </w:p>
        </w:tc>
        <w:tc>
          <w:tcPr>
            <w:tcW w:type="dxa" w:w="1010"/>
          </w:tcPr>
          <w:p>
            <w:r>
              <w:rPr>
                <w:sz w:val="14"/>
              </w:rPr>
              <w:t>32.9 %</w:t>
            </w:r>
          </w:p>
        </w:tc>
        <w:tc>
          <w:tcPr>
            <w:tcW w:type="dxa" w:w="1010"/>
          </w:tcPr>
          <w:p>
            <w:r>
              <w:rPr>
                <w:sz w:val="14"/>
              </w:rPr>
              <w:t>5,477</w:t>
            </w:r>
          </w:p>
        </w:tc>
        <w:tc>
          <w:tcPr>
            <w:tcW w:type="dxa" w:w="1010"/>
          </w:tcPr>
          <w:p>
            <w:r>
              <w:rPr>
                <w:sz w:val="14"/>
              </w:rPr>
              <w:t>33.6 %</w:t>
            </w:r>
          </w:p>
        </w:tc>
      </w:tr>
      <w:tr>
        <w:tc>
          <w:tcPr>
            <w:tcW w:type="dxa" w:w="1010"/>
          </w:tcPr>
          <w:p>
            <w:r>
              <w:rPr>
                <w:sz w:val="14"/>
              </w:rPr>
              <w:t>2050 BU</w:t>
            </w:r>
          </w:p>
        </w:tc>
        <w:tc>
          <w:tcPr>
            <w:tcW w:type="dxa" w:w="1010"/>
          </w:tcPr>
          <w:p>
            <w:r>
              <w:rPr>
                <w:sz w:val="14"/>
              </w:rPr>
              <w:t>99,857</w:t>
            </w:r>
          </w:p>
        </w:tc>
        <w:tc>
          <w:tcPr>
            <w:tcW w:type="dxa" w:w="1010"/>
          </w:tcPr>
          <w:p>
            <w:r>
              <w:rPr>
                <w:sz w:val="14"/>
              </w:rPr>
              <w:t>7,444</w:t>
            </w:r>
          </w:p>
        </w:tc>
        <w:tc>
          <w:tcPr>
            <w:tcW w:type="dxa" w:w="1010"/>
          </w:tcPr>
          <w:p>
            <w:r>
              <w:rPr>
                <w:sz w:val="14"/>
              </w:rPr>
              <w:t>6,135</w:t>
            </w:r>
          </w:p>
        </w:tc>
        <w:tc>
          <w:tcPr>
            <w:tcW w:type="dxa" w:w="1010"/>
          </w:tcPr>
          <w:p>
            <w:r>
              <w:rPr>
                <w:sz w:val="14"/>
              </w:rPr>
              <w:t>4,981</w:t>
            </w:r>
          </w:p>
        </w:tc>
        <w:tc>
          <w:tcPr>
            <w:tcW w:type="dxa" w:w="1010"/>
          </w:tcPr>
          <w:p>
            <w:r>
              <w:rPr>
                <w:sz w:val="14"/>
              </w:rPr>
              <w:t>18,560</w:t>
            </w:r>
          </w:p>
        </w:tc>
        <w:tc>
          <w:tcPr>
            <w:tcW w:type="dxa" w:w="1010"/>
          </w:tcPr>
          <w:p>
            <w:r>
              <w:rPr>
                <w:sz w:val="14"/>
              </w:rPr>
              <w:t>84.3 %</w:t>
            </w:r>
          </w:p>
        </w:tc>
        <w:tc>
          <w:tcPr>
            <w:tcW w:type="dxa" w:w="1010"/>
          </w:tcPr>
          <w:p>
            <w:r>
              <w:rPr>
                <w:sz w:val="14"/>
              </w:rPr>
              <w:t>6.3 %</w:t>
            </w:r>
          </w:p>
        </w:tc>
        <w:tc>
          <w:tcPr>
            <w:tcW w:type="dxa" w:w="1010"/>
          </w:tcPr>
          <w:p>
            <w:r>
              <w:rPr>
                <w:sz w:val="14"/>
              </w:rPr>
              <w:t>5.2 %</w:t>
            </w:r>
          </w:p>
        </w:tc>
        <w:tc>
          <w:tcPr>
            <w:tcW w:type="dxa" w:w="1010"/>
          </w:tcPr>
          <w:p>
            <w:r>
              <w:rPr>
                <w:sz w:val="14"/>
              </w:rPr>
              <w:t>4.2 %</w:t>
            </w:r>
          </w:p>
        </w:tc>
        <w:tc>
          <w:tcPr>
            <w:tcW w:type="dxa" w:w="1010"/>
          </w:tcPr>
          <w:p>
            <w:r>
              <w:rPr>
                <w:sz w:val="14"/>
              </w:rPr>
              <w:t>15.7 %</w:t>
            </w:r>
          </w:p>
        </w:tc>
        <w:tc>
          <w:tcPr>
            <w:tcW w:type="dxa" w:w="1010"/>
          </w:tcPr>
          <w:p>
            <w:r>
              <w:rPr>
                <w:sz w:val="14"/>
              </w:rPr>
              <w:t>33.1 %</w:t>
            </w:r>
          </w:p>
        </w:tc>
        <w:tc>
          <w:tcPr>
            <w:tcW w:type="dxa" w:w="1010"/>
          </w:tcPr>
          <w:p>
            <w:r>
              <w:rPr>
                <w:sz w:val="14"/>
              </w:rPr>
              <w:t>6,399</w:t>
            </w:r>
          </w:p>
        </w:tc>
        <w:tc>
          <w:tcPr>
            <w:tcW w:type="dxa" w:w="1010"/>
          </w:tcPr>
          <w:p>
            <w:r>
              <w:rPr>
                <w:sz w:val="14"/>
              </w:rPr>
              <w:t>34.4 %</w:t>
            </w:r>
          </w:p>
        </w:tc>
      </w:tr>
      <w:tr>
        <w:tc>
          <w:tcPr>
            <w:tcW w:type="dxa" w:w="1010"/>
          </w:tcPr>
          <w:p>
            <w:r>
              <w:rPr>
                <w:sz w:val="14"/>
              </w:rPr>
              <w:t>2040 HS</w:t>
            </w:r>
          </w:p>
        </w:tc>
        <w:tc>
          <w:tcPr>
            <w:tcW w:type="dxa" w:w="1010"/>
          </w:tcPr>
          <w:p>
            <w:r>
              <w:rPr>
                <w:sz w:val="14"/>
              </w:rPr>
              <w:t>87,845</w:t>
            </w:r>
          </w:p>
        </w:tc>
        <w:tc>
          <w:tcPr>
            <w:tcW w:type="dxa" w:w="1010"/>
          </w:tcPr>
          <w:p>
            <w:r>
              <w:rPr>
                <w:sz w:val="14"/>
              </w:rPr>
              <w:t>6,418</w:t>
            </w:r>
          </w:p>
        </w:tc>
        <w:tc>
          <w:tcPr>
            <w:tcW w:type="dxa" w:w="1010"/>
          </w:tcPr>
          <w:p>
            <w:r>
              <w:rPr>
                <w:sz w:val="14"/>
              </w:rPr>
              <w:t>5,620</w:t>
            </w:r>
          </w:p>
        </w:tc>
        <w:tc>
          <w:tcPr>
            <w:tcW w:type="dxa" w:w="1010"/>
          </w:tcPr>
          <w:p>
            <w:r>
              <w:rPr>
                <w:sz w:val="14"/>
              </w:rPr>
              <w:t>4,503</w:t>
            </w:r>
          </w:p>
        </w:tc>
        <w:tc>
          <w:tcPr>
            <w:tcW w:type="dxa" w:w="1010"/>
          </w:tcPr>
          <w:p>
            <w:r>
              <w:rPr>
                <w:sz w:val="14"/>
              </w:rPr>
              <w:t>16,541</w:t>
            </w:r>
          </w:p>
        </w:tc>
        <w:tc>
          <w:tcPr>
            <w:tcW w:type="dxa" w:w="1010"/>
          </w:tcPr>
          <w:p>
            <w:r>
              <w:rPr>
                <w:sz w:val="14"/>
              </w:rPr>
              <w:t>84.2 %</w:t>
            </w:r>
          </w:p>
        </w:tc>
        <w:tc>
          <w:tcPr>
            <w:tcW w:type="dxa" w:w="1010"/>
          </w:tcPr>
          <w:p>
            <w:r>
              <w:rPr>
                <w:sz w:val="14"/>
              </w:rPr>
              <w:t>6.1 %</w:t>
            </w:r>
          </w:p>
        </w:tc>
        <w:tc>
          <w:tcPr>
            <w:tcW w:type="dxa" w:w="1010"/>
          </w:tcPr>
          <w:p>
            <w:r>
              <w:rPr>
                <w:sz w:val="14"/>
              </w:rPr>
              <w:t>5.4 %</w:t>
            </w:r>
          </w:p>
        </w:tc>
        <w:tc>
          <w:tcPr>
            <w:tcW w:type="dxa" w:w="1010"/>
          </w:tcPr>
          <w:p>
            <w:r>
              <w:rPr>
                <w:sz w:val="14"/>
              </w:rPr>
              <w:t>4.3 %</w:t>
            </w:r>
          </w:p>
        </w:tc>
        <w:tc>
          <w:tcPr>
            <w:tcW w:type="dxa" w:w="1010"/>
          </w:tcPr>
          <w:p>
            <w:r>
              <w:rPr>
                <w:sz w:val="14"/>
              </w:rPr>
              <w:t>15.8 %</w:t>
            </w:r>
          </w:p>
        </w:tc>
        <w:tc>
          <w:tcPr>
            <w:tcW w:type="dxa" w:w="1010"/>
          </w:tcPr>
          <w:p>
            <w:r>
              <w:rPr>
                <w:sz w:val="14"/>
              </w:rPr>
              <w:t>34.0 %</w:t>
            </w:r>
          </w:p>
        </w:tc>
        <w:tc>
          <w:tcPr>
            <w:tcW w:type="dxa" w:w="1010"/>
          </w:tcPr>
          <w:p>
            <w:r>
              <w:rPr>
                <w:sz w:val="14"/>
              </w:rPr>
              <w:t>5,723</w:t>
            </w:r>
          </w:p>
        </w:tc>
        <w:tc>
          <w:tcPr>
            <w:tcW w:type="dxa" w:w="1010"/>
          </w:tcPr>
          <w:p>
            <w:r>
              <w:rPr>
                <w:sz w:val="14"/>
              </w:rPr>
              <w:t>34.5 %</w:t>
            </w:r>
          </w:p>
        </w:tc>
      </w:tr>
      <w:tr>
        <w:tc>
          <w:tcPr>
            <w:tcW w:type="dxa" w:w="1010"/>
          </w:tcPr>
          <w:p>
            <w:r>
              <w:rPr>
                <w:sz w:val="14"/>
              </w:rPr>
              <w:t>2050 HS</w:t>
            </w:r>
          </w:p>
        </w:tc>
        <w:tc>
          <w:tcPr>
            <w:tcW w:type="dxa" w:w="1010"/>
          </w:tcPr>
          <w:p>
            <w:r>
              <w:rPr>
                <w:sz w:val="14"/>
              </w:rPr>
              <w:t>95,844</w:t>
            </w:r>
          </w:p>
        </w:tc>
        <w:tc>
          <w:tcPr>
            <w:tcW w:type="dxa" w:w="1010"/>
          </w:tcPr>
          <w:p>
            <w:r>
              <w:rPr>
                <w:sz w:val="14"/>
              </w:rPr>
              <w:t>6,814</w:t>
            </w:r>
          </w:p>
        </w:tc>
        <w:tc>
          <w:tcPr>
            <w:tcW w:type="dxa" w:w="1010"/>
          </w:tcPr>
          <w:p>
            <w:r>
              <w:rPr>
                <w:sz w:val="14"/>
              </w:rPr>
              <w:t>5,956</w:t>
            </w:r>
          </w:p>
        </w:tc>
        <w:tc>
          <w:tcPr>
            <w:tcW w:type="dxa" w:w="1010"/>
          </w:tcPr>
          <w:p>
            <w:r>
              <w:rPr>
                <w:sz w:val="14"/>
              </w:rPr>
              <w:t>4,440</w:t>
            </w:r>
          </w:p>
        </w:tc>
        <w:tc>
          <w:tcPr>
            <w:tcW w:type="dxa" w:w="1010"/>
          </w:tcPr>
          <w:p>
            <w:r>
              <w:rPr>
                <w:sz w:val="14"/>
              </w:rPr>
              <w:t>17,209</w:t>
            </w:r>
          </w:p>
        </w:tc>
        <w:tc>
          <w:tcPr>
            <w:tcW w:type="dxa" w:w="1010"/>
          </w:tcPr>
          <w:p>
            <w:r>
              <w:rPr>
                <w:sz w:val="14"/>
              </w:rPr>
              <w:t>84.8 %</w:t>
            </w:r>
          </w:p>
        </w:tc>
        <w:tc>
          <w:tcPr>
            <w:tcW w:type="dxa" w:w="1010"/>
          </w:tcPr>
          <w:p>
            <w:r>
              <w:rPr>
                <w:sz w:val="14"/>
              </w:rPr>
              <w:t>6.0 %</w:t>
            </w:r>
          </w:p>
        </w:tc>
        <w:tc>
          <w:tcPr>
            <w:tcW w:type="dxa" w:w="1010"/>
          </w:tcPr>
          <w:p>
            <w:r>
              <w:rPr>
                <w:sz w:val="14"/>
              </w:rPr>
              <w:t>5.3 %</w:t>
            </w:r>
          </w:p>
        </w:tc>
        <w:tc>
          <w:tcPr>
            <w:tcW w:type="dxa" w:w="1010"/>
          </w:tcPr>
          <w:p>
            <w:r>
              <w:rPr>
                <w:sz w:val="14"/>
              </w:rPr>
              <w:t>3.9 %</w:t>
            </w:r>
          </w:p>
        </w:tc>
        <w:tc>
          <w:tcPr>
            <w:tcW w:type="dxa" w:w="1010"/>
          </w:tcPr>
          <w:p>
            <w:r>
              <w:rPr>
                <w:sz w:val="14"/>
              </w:rPr>
              <w:t>15.2 %</w:t>
            </w:r>
          </w:p>
        </w:tc>
        <w:tc>
          <w:tcPr>
            <w:tcW w:type="dxa" w:w="1010"/>
          </w:tcPr>
          <w:p>
            <w:r>
              <w:rPr>
                <w:sz w:val="14"/>
              </w:rPr>
              <w:t>34.6 %</w:t>
            </w:r>
          </w:p>
        </w:tc>
        <w:tc>
          <w:tcPr>
            <w:tcW w:type="dxa" w:w="1010"/>
          </w:tcPr>
          <w:p>
            <w:r>
              <w:rPr>
                <w:sz w:val="14"/>
              </w:rPr>
              <w:t>6,155</w:t>
            </w:r>
          </w:p>
        </w:tc>
        <w:tc>
          <w:tcPr>
            <w:tcW w:type="dxa" w:w="1010"/>
          </w:tcPr>
          <w:p>
            <w:r>
              <w:rPr>
                <w:sz w:val="14"/>
              </w:rPr>
              <w:t>35.7 %</w:t>
            </w:r>
          </w:p>
        </w:tc>
      </w:tr>
    </w:tbl>
    <w:p>
      <w:r>
        <w:rPr>
          <w:i/>
        </w:rPr>
        <w:t>The extension part, as part of the through line:</w:t>
      </w:r>
    </w:p>
    <w:tbl>
      <w:tblPr>
        <w:tblStyle w:val="LightGrid-Accent1"/>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sz w:val="14"/>
              </w:rPr>
              <w:t>scenario</w:t>
            </w:r>
          </w:p>
        </w:tc>
        <w:tc>
          <w:tcPr>
            <w:tcW w:type="dxa" w:w="1178"/>
          </w:tcPr>
          <w:p>
            <w:r>
              <w:rPr>
                <w:b/>
                <w:sz w:val="14"/>
              </w:rPr>
              <w:t>LRT</w:t>
            </w:r>
          </w:p>
        </w:tc>
        <w:tc>
          <w:tcPr>
            <w:tcW w:type="dxa" w:w="1178"/>
          </w:tcPr>
          <w:p>
            <w:r>
              <w:rPr>
                <w:b/>
                <w:sz w:val="14"/>
              </w:rPr>
              <w:t>LRT (peak hour)</w:t>
            </w:r>
          </w:p>
        </w:tc>
        <w:tc>
          <w:tcPr>
            <w:tcW w:type="dxa" w:w="1178"/>
          </w:tcPr>
          <w:p>
            <w:r>
              <w:rPr>
                <w:b/>
                <w:sz w:val="14"/>
              </w:rPr>
              <w:t>LRT using the extension</w:t>
            </w:r>
          </w:p>
        </w:tc>
        <w:tc>
          <w:tcPr>
            <w:tcW w:type="dxa" w:w="1178"/>
          </w:tcPr>
          <w:p>
            <w:r>
              <w:rPr>
                <w:b/>
                <w:sz w:val="14"/>
              </w:rPr>
              <w:t>LRT using the extension (peak hour)</w:t>
            </w:r>
          </w:p>
        </w:tc>
        <w:tc>
          <w:tcPr>
            <w:tcW w:type="dxa" w:w="1178"/>
          </w:tcPr>
          <w:p>
            <w:r>
              <w:rPr>
                <w:b/>
                <w:sz w:val="14"/>
              </w:rPr>
              <w:t>ext: from car</w:t>
            </w:r>
          </w:p>
        </w:tc>
        <w:tc>
          <w:tcPr>
            <w:tcW w:type="dxa" w:w="1178"/>
          </w:tcPr>
          <w:p>
            <w:r>
              <w:rPr>
                <w:b/>
                <w:sz w:val="14"/>
              </w:rPr>
              <w:t>ext: from BRT</w:t>
            </w:r>
          </w:p>
        </w:tc>
        <w:tc>
          <w:tcPr>
            <w:tcW w:type="dxa" w:w="1178"/>
          </w:tcPr>
          <w:p>
            <w:r>
              <w:rPr>
                <w:b/>
                <w:sz w:val="14"/>
              </w:rPr>
              <w:t>ext: from bus</w:t>
            </w:r>
          </w:p>
        </w:tc>
        <w:tc>
          <w:tcPr>
            <w:tcW w:type="dxa" w:w="1178"/>
          </w:tcPr>
          <w:p>
            <w:r>
              <w:rPr>
                <w:b/>
                <w:sz w:val="14"/>
              </w:rPr>
              <w:t>LRT within the extension</w:t>
            </w:r>
          </w:p>
        </w:tc>
        <w:tc>
          <w:tcPr>
            <w:tcW w:type="dxa" w:w="1178"/>
          </w:tcPr>
          <w:p>
            <w:r>
              <w:rPr>
                <w:b/>
                <w:sz w:val="14"/>
              </w:rPr>
              <w:t>busiest segment (3 h, one direction)</w:t>
            </w:r>
          </w:p>
        </w:tc>
        <w:tc>
          <w:tcPr>
            <w:tcW w:type="dxa" w:w="1178"/>
          </w:tcPr>
          <w:p>
            <w:r>
              <w:rPr>
                <w:b/>
                <w:sz w:val="14"/>
              </w:rPr>
              <w:t>busiest segment (peak hour, one direction)</w:t>
            </w:r>
          </w:p>
        </w:tc>
        <w:tc>
          <w:tcPr>
            <w:tcW w:type="dxa" w:w="1178"/>
          </w:tcPr>
          <w:p>
            <w:r>
              <w:rPr>
                <w:b/>
                <w:sz w:val="14"/>
              </w:rPr>
              <w:t>extension share of LRT trips</w:t>
            </w:r>
          </w:p>
        </w:tc>
      </w:tr>
      <w:tr>
        <w:tc>
          <w:tcPr>
            <w:tcW w:type="dxa" w:w="1178"/>
          </w:tcPr>
          <w:p>
            <w:r>
              <w:rPr>
                <w:sz w:val="14"/>
              </w:rPr>
              <w:t>2022</w:t>
            </w:r>
          </w:p>
        </w:tc>
        <w:tc>
          <w:tcPr>
            <w:tcW w:type="dxa" w:w="1178"/>
          </w:tcPr>
          <w:p>
            <w:r>
              <w:rPr>
                <w:sz w:val="14"/>
              </w:rPr>
              <w:t>4,101</w:t>
            </w:r>
          </w:p>
        </w:tc>
        <w:tc>
          <w:tcPr>
            <w:tcW w:type="dxa" w:w="1178"/>
          </w:tcPr>
          <w:p>
            <w:r>
              <w:rPr>
                <w:sz w:val="14"/>
              </w:rPr>
              <w:t>1,961</w:t>
            </w:r>
          </w:p>
        </w:tc>
        <w:tc>
          <w:tcPr>
            <w:tcW w:type="dxa" w:w="1178"/>
          </w:tcPr>
          <w:p>
            <w:r>
              <w:rPr>
                <w:sz w:val="14"/>
              </w:rPr>
              <w:t>3,235</w:t>
            </w:r>
          </w:p>
        </w:tc>
        <w:tc>
          <w:tcPr>
            <w:tcW w:type="dxa" w:w="1178"/>
          </w:tcPr>
          <w:p>
            <w:r>
              <w:rPr>
                <w:sz w:val="14"/>
              </w:rPr>
              <w:t>1,547</w:t>
            </w:r>
          </w:p>
        </w:tc>
        <w:tc>
          <w:tcPr>
            <w:tcW w:type="dxa" w:w="1178"/>
          </w:tcPr>
          <w:p>
            <w:r>
              <w:rPr>
                <w:sz w:val="14"/>
              </w:rPr>
              <w:t>233</w:t>
            </w:r>
          </w:p>
        </w:tc>
        <w:tc>
          <w:tcPr>
            <w:tcW w:type="dxa" w:w="1178"/>
          </w:tcPr>
          <w:p>
            <w:r>
              <w:rPr>
                <w:sz w:val="14"/>
              </w:rPr>
              <w:t>1,848</w:t>
            </w:r>
          </w:p>
        </w:tc>
        <w:tc>
          <w:tcPr>
            <w:tcW w:type="dxa" w:w="1178"/>
          </w:tcPr>
          <w:p>
            <w:r>
              <w:rPr>
                <w:sz w:val="14"/>
              </w:rPr>
              <w:t>1,154</w:t>
            </w:r>
          </w:p>
        </w:tc>
        <w:tc>
          <w:tcPr>
            <w:tcW w:type="dxa" w:w="1178"/>
          </w:tcPr>
          <w:p>
            <w:r>
              <w:rPr>
                <w:sz w:val="14"/>
              </w:rPr>
              <w:t>2,229</w:t>
            </w:r>
          </w:p>
        </w:tc>
        <w:tc>
          <w:tcPr>
            <w:tcW w:type="dxa" w:w="1178"/>
          </w:tcPr>
          <w:p>
            <w:r>
              <w:rPr>
                <w:sz w:val="14"/>
              </w:rPr>
              <w:t>948</w:t>
            </w:r>
          </w:p>
        </w:tc>
        <w:tc>
          <w:tcPr>
            <w:tcW w:type="dxa" w:w="1178"/>
          </w:tcPr>
          <w:p>
            <w:r>
              <w:rPr>
                <w:sz w:val="14"/>
              </w:rPr>
              <w:t>507</w:t>
            </w:r>
          </w:p>
        </w:tc>
        <w:tc>
          <w:tcPr>
            <w:tcW w:type="dxa" w:w="1178"/>
          </w:tcPr>
          <w:p>
            <w:r>
              <w:rPr>
                <w:sz w:val="14"/>
              </w:rPr>
              <w:t>78.9 %</w:t>
            </w:r>
          </w:p>
        </w:tc>
      </w:tr>
      <w:tr>
        <w:tc>
          <w:tcPr>
            <w:tcW w:type="dxa" w:w="1178"/>
          </w:tcPr>
          <w:p>
            <w:r>
              <w:rPr>
                <w:sz w:val="14"/>
              </w:rPr>
              <w:t>2040 BU</w:t>
            </w:r>
          </w:p>
        </w:tc>
        <w:tc>
          <w:tcPr>
            <w:tcW w:type="dxa" w:w="1178"/>
          </w:tcPr>
          <w:p>
            <w:r>
              <w:rPr>
                <w:sz w:val="14"/>
              </w:rPr>
              <w:t>5,358</w:t>
            </w:r>
          </w:p>
        </w:tc>
        <w:tc>
          <w:tcPr>
            <w:tcW w:type="dxa" w:w="1178"/>
          </w:tcPr>
          <w:p>
            <w:r>
              <w:rPr>
                <w:sz w:val="14"/>
              </w:rPr>
              <w:t>2,562</w:t>
            </w:r>
          </w:p>
        </w:tc>
        <w:tc>
          <w:tcPr>
            <w:tcW w:type="dxa" w:w="1178"/>
          </w:tcPr>
          <w:p>
            <w:r>
              <w:rPr>
                <w:sz w:val="14"/>
              </w:rPr>
              <w:t>4,300</w:t>
            </w:r>
          </w:p>
        </w:tc>
        <w:tc>
          <w:tcPr>
            <w:tcW w:type="dxa" w:w="1178"/>
          </w:tcPr>
          <w:p>
            <w:r>
              <w:rPr>
                <w:sz w:val="14"/>
              </w:rPr>
              <w:t>2,056</w:t>
            </w:r>
          </w:p>
        </w:tc>
        <w:tc>
          <w:tcPr>
            <w:tcW w:type="dxa" w:w="1178"/>
          </w:tcPr>
          <w:p>
            <w:r>
              <w:rPr>
                <w:sz w:val="14"/>
              </w:rPr>
              <w:t>279</w:t>
            </w:r>
          </w:p>
        </w:tc>
        <w:tc>
          <w:tcPr>
            <w:tcW w:type="dxa" w:w="1178"/>
          </w:tcPr>
          <w:p>
            <w:r>
              <w:rPr>
                <w:sz w:val="14"/>
              </w:rPr>
              <w:t>2,254</w:t>
            </w:r>
          </w:p>
        </w:tc>
        <w:tc>
          <w:tcPr>
            <w:tcW w:type="dxa" w:w="1178"/>
          </w:tcPr>
          <w:p>
            <w:r>
              <w:rPr>
                <w:sz w:val="14"/>
              </w:rPr>
              <w:t>1,767</w:t>
            </w:r>
          </w:p>
        </w:tc>
        <w:tc>
          <w:tcPr>
            <w:tcW w:type="dxa" w:w="1178"/>
          </w:tcPr>
          <w:p>
            <w:r>
              <w:rPr>
                <w:sz w:val="14"/>
              </w:rPr>
              <w:t>2,922</w:t>
            </w:r>
          </w:p>
        </w:tc>
        <w:tc>
          <w:tcPr>
            <w:tcW w:type="dxa" w:w="1178"/>
          </w:tcPr>
          <w:p>
            <w:r>
              <w:rPr>
                <w:sz w:val="14"/>
              </w:rPr>
              <w:t>1,284</w:t>
            </w:r>
          </w:p>
        </w:tc>
        <w:tc>
          <w:tcPr>
            <w:tcW w:type="dxa" w:w="1178"/>
          </w:tcPr>
          <w:p>
            <w:r>
              <w:rPr>
                <w:sz w:val="14"/>
              </w:rPr>
              <w:t>687</w:t>
            </w:r>
          </w:p>
        </w:tc>
        <w:tc>
          <w:tcPr>
            <w:tcW w:type="dxa" w:w="1178"/>
          </w:tcPr>
          <w:p>
            <w:r>
              <w:rPr>
                <w:sz w:val="14"/>
              </w:rPr>
              <w:t>80.3 %</w:t>
            </w:r>
          </w:p>
        </w:tc>
      </w:tr>
      <w:tr>
        <w:tc>
          <w:tcPr>
            <w:tcW w:type="dxa" w:w="1178"/>
          </w:tcPr>
          <w:p>
            <w:r>
              <w:rPr>
                <w:sz w:val="14"/>
              </w:rPr>
              <w:t>2050 BU</w:t>
            </w:r>
          </w:p>
        </w:tc>
        <w:tc>
          <w:tcPr>
            <w:tcW w:type="dxa" w:w="1178"/>
          </w:tcPr>
          <w:p>
            <w:r>
              <w:rPr>
                <w:sz w:val="14"/>
              </w:rPr>
              <w:t>6,135</w:t>
            </w:r>
          </w:p>
        </w:tc>
        <w:tc>
          <w:tcPr>
            <w:tcW w:type="dxa" w:w="1178"/>
          </w:tcPr>
          <w:p>
            <w:r>
              <w:rPr>
                <w:sz w:val="14"/>
              </w:rPr>
              <w:t>2,934</w:t>
            </w:r>
          </w:p>
        </w:tc>
        <w:tc>
          <w:tcPr>
            <w:tcW w:type="dxa" w:w="1178"/>
          </w:tcPr>
          <w:p>
            <w:r>
              <w:rPr>
                <w:sz w:val="14"/>
              </w:rPr>
              <w:t>4,998</w:t>
            </w:r>
          </w:p>
        </w:tc>
        <w:tc>
          <w:tcPr>
            <w:tcW w:type="dxa" w:w="1178"/>
          </w:tcPr>
          <w:p>
            <w:r>
              <w:rPr>
                <w:sz w:val="14"/>
              </w:rPr>
              <w:t>2,390</w:t>
            </w:r>
          </w:p>
        </w:tc>
        <w:tc>
          <w:tcPr>
            <w:tcW w:type="dxa" w:w="1178"/>
          </w:tcPr>
          <w:p>
            <w:r>
              <w:rPr>
                <w:sz w:val="14"/>
              </w:rPr>
              <w:t>319</w:t>
            </w:r>
          </w:p>
        </w:tc>
        <w:tc>
          <w:tcPr>
            <w:tcW w:type="dxa" w:w="1178"/>
          </w:tcPr>
          <w:p>
            <w:r>
              <w:rPr>
                <w:sz w:val="14"/>
              </w:rPr>
              <w:t>2,606</w:t>
            </w:r>
          </w:p>
        </w:tc>
        <w:tc>
          <w:tcPr>
            <w:tcW w:type="dxa" w:w="1178"/>
          </w:tcPr>
          <w:p>
            <w:r>
              <w:rPr>
                <w:sz w:val="14"/>
              </w:rPr>
              <w:t>2,073</w:t>
            </w:r>
          </w:p>
        </w:tc>
        <w:tc>
          <w:tcPr>
            <w:tcW w:type="dxa" w:w="1178"/>
          </w:tcPr>
          <w:p>
            <w:r>
              <w:rPr>
                <w:sz w:val="14"/>
              </w:rPr>
              <w:t>3,454</w:t>
            </w:r>
          </w:p>
        </w:tc>
        <w:tc>
          <w:tcPr>
            <w:tcW w:type="dxa" w:w="1178"/>
          </w:tcPr>
          <w:p>
            <w:r>
              <w:rPr>
                <w:sz w:val="14"/>
              </w:rPr>
              <w:t>1,684</w:t>
            </w:r>
          </w:p>
        </w:tc>
        <w:tc>
          <w:tcPr>
            <w:tcW w:type="dxa" w:w="1178"/>
          </w:tcPr>
          <w:p>
            <w:r>
              <w:rPr>
                <w:sz w:val="14"/>
              </w:rPr>
              <w:t>787</w:t>
            </w:r>
          </w:p>
        </w:tc>
        <w:tc>
          <w:tcPr>
            <w:tcW w:type="dxa" w:w="1178"/>
          </w:tcPr>
          <w:p>
            <w:r>
              <w:rPr>
                <w:sz w:val="14"/>
              </w:rPr>
              <w:t>81.5 %</w:t>
            </w:r>
          </w:p>
        </w:tc>
      </w:tr>
      <w:tr>
        <w:tc>
          <w:tcPr>
            <w:tcW w:type="dxa" w:w="1178"/>
          </w:tcPr>
          <w:p>
            <w:r>
              <w:rPr>
                <w:sz w:val="14"/>
              </w:rPr>
              <w:t>2040 HS</w:t>
            </w:r>
          </w:p>
        </w:tc>
        <w:tc>
          <w:tcPr>
            <w:tcW w:type="dxa" w:w="1178"/>
          </w:tcPr>
          <w:p>
            <w:r>
              <w:rPr>
                <w:sz w:val="14"/>
              </w:rPr>
              <w:t>5,620</w:t>
            </w:r>
          </w:p>
        </w:tc>
        <w:tc>
          <w:tcPr>
            <w:tcW w:type="dxa" w:w="1178"/>
          </w:tcPr>
          <w:p>
            <w:r>
              <w:rPr>
                <w:sz w:val="14"/>
              </w:rPr>
              <w:t>2,687</w:t>
            </w:r>
          </w:p>
        </w:tc>
        <w:tc>
          <w:tcPr>
            <w:tcW w:type="dxa" w:w="1178"/>
          </w:tcPr>
          <w:p>
            <w:r>
              <w:rPr>
                <w:sz w:val="14"/>
              </w:rPr>
              <w:t>4,595</w:t>
            </w:r>
          </w:p>
        </w:tc>
        <w:tc>
          <w:tcPr>
            <w:tcW w:type="dxa" w:w="1178"/>
          </w:tcPr>
          <w:p>
            <w:r>
              <w:rPr>
                <w:sz w:val="14"/>
              </w:rPr>
              <w:t>2,197</w:t>
            </w:r>
          </w:p>
        </w:tc>
        <w:tc>
          <w:tcPr>
            <w:tcW w:type="dxa" w:w="1178"/>
          </w:tcPr>
          <w:p>
            <w:r>
              <w:rPr>
                <w:sz w:val="14"/>
              </w:rPr>
              <w:t>381</w:t>
            </w:r>
          </w:p>
        </w:tc>
        <w:tc>
          <w:tcPr>
            <w:tcW w:type="dxa" w:w="1178"/>
          </w:tcPr>
          <w:p>
            <w:r>
              <w:rPr>
                <w:sz w:val="14"/>
              </w:rPr>
              <w:t>2,508</w:t>
            </w:r>
          </w:p>
        </w:tc>
        <w:tc>
          <w:tcPr>
            <w:tcW w:type="dxa" w:w="1178"/>
          </w:tcPr>
          <w:p>
            <w:r>
              <w:rPr>
                <w:sz w:val="14"/>
              </w:rPr>
              <w:t>1,707</w:t>
            </w:r>
          </w:p>
        </w:tc>
        <w:tc>
          <w:tcPr>
            <w:tcW w:type="dxa" w:w="1178"/>
          </w:tcPr>
          <w:p>
            <w:r>
              <w:rPr>
                <w:sz w:val="14"/>
              </w:rPr>
              <w:t>3,138</w:t>
            </w:r>
          </w:p>
        </w:tc>
        <w:tc>
          <w:tcPr>
            <w:tcW w:type="dxa" w:w="1178"/>
          </w:tcPr>
          <w:p>
            <w:r>
              <w:rPr>
                <w:sz w:val="14"/>
              </w:rPr>
              <w:t>1,407</w:t>
            </w:r>
          </w:p>
        </w:tc>
        <w:tc>
          <w:tcPr>
            <w:tcW w:type="dxa" w:w="1178"/>
          </w:tcPr>
          <w:p>
            <w:r>
              <w:rPr>
                <w:sz w:val="14"/>
              </w:rPr>
              <w:t>753</w:t>
            </w:r>
          </w:p>
        </w:tc>
        <w:tc>
          <w:tcPr>
            <w:tcW w:type="dxa" w:w="1178"/>
          </w:tcPr>
          <w:p>
            <w:r>
              <w:rPr>
                <w:sz w:val="14"/>
              </w:rPr>
              <w:t>81.8 %</w:t>
            </w:r>
          </w:p>
        </w:tc>
      </w:tr>
      <w:tr>
        <w:tc>
          <w:tcPr>
            <w:tcW w:type="dxa" w:w="1178"/>
          </w:tcPr>
          <w:p>
            <w:r>
              <w:rPr>
                <w:sz w:val="14"/>
              </w:rPr>
              <w:t>2050 HS</w:t>
            </w:r>
          </w:p>
        </w:tc>
        <w:tc>
          <w:tcPr>
            <w:tcW w:type="dxa" w:w="1178"/>
          </w:tcPr>
          <w:p>
            <w:r>
              <w:rPr>
                <w:sz w:val="14"/>
              </w:rPr>
              <w:t>5,956</w:t>
            </w:r>
          </w:p>
        </w:tc>
        <w:tc>
          <w:tcPr>
            <w:tcW w:type="dxa" w:w="1178"/>
          </w:tcPr>
          <w:p>
            <w:r>
              <w:rPr>
                <w:sz w:val="14"/>
              </w:rPr>
              <w:t>2,848</w:t>
            </w:r>
          </w:p>
        </w:tc>
        <w:tc>
          <w:tcPr>
            <w:tcW w:type="dxa" w:w="1178"/>
          </w:tcPr>
          <w:p>
            <w:r>
              <w:rPr>
                <w:sz w:val="14"/>
              </w:rPr>
              <w:t>4,918</w:t>
            </w:r>
          </w:p>
        </w:tc>
        <w:tc>
          <w:tcPr>
            <w:tcW w:type="dxa" w:w="1178"/>
          </w:tcPr>
          <w:p>
            <w:r>
              <w:rPr>
                <w:sz w:val="14"/>
              </w:rPr>
              <w:t>2,352</w:t>
            </w:r>
          </w:p>
        </w:tc>
        <w:tc>
          <w:tcPr>
            <w:tcW w:type="dxa" w:w="1178"/>
          </w:tcPr>
          <w:p>
            <w:r>
              <w:rPr>
                <w:sz w:val="14"/>
              </w:rPr>
              <w:t>421</w:t>
            </w:r>
          </w:p>
        </w:tc>
        <w:tc>
          <w:tcPr>
            <w:tcW w:type="dxa" w:w="1178"/>
          </w:tcPr>
          <w:p>
            <w:r>
              <w:rPr>
                <w:sz w:val="14"/>
              </w:rPr>
              <w:t>2,733</w:t>
            </w:r>
          </w:p>
        </w:tc>
        <w:tc>
          <w:tcPr>
            <w:tcW w:type="dxa" w:w="1178"/>
          </w:tcPr>
          <w:p>
            <w:r>
              <w:rPr>
                <w:sz w:val="14"/>
              </w:rPr>
              <w:t>1,764</w:t>
            </w:r>
          </w:p>
        </w:tc>
        <w:tc>
          <w:tcPr>
            <w:tcW w:type="dxa" w:w="1178"/>
          </w:tcPr>
          <w:p>
            <w:r>
              <w:rPr>
                <w:sz w:val="14"/>
              </w:rPr>
              <w:t>3,409</w:t>
            </w:r>
          </w:p>
        </w:tc>
        <w:tc>
          <w:tcPr>
            <w:tcW w:type="dxa" w:w="1178"/>
          </w:tcPr>
          <w:p>
            <w:r>
              <w:rPr>
                <w:sz w:val="14"/>
              </w:rPr>
              <w:t>1,398</w:t>
            </w:r>
          </w:p>
        </w:tc>
        <w:tc>
          <w:tcPr>
            <w:tcW w:type="dxa" w:w="1178"/>
          </w:tcPr>
          <w:p>
            <w:r>
              <w:rPr>
                <w:sz w:val="14"/>
              </w:rPr>
              <w:t>748</w:t>
            </w:r>
          </w:p>
        </w:tc>
        <w:tc>
          <w:tcPr>
            <w:tcW w:type="dxa" w:w="1178"/>
          </w:tcPr>
          <w:p>
            <w:r>
              <w:rPr>
                <w:sz w:val="14"/>
              </w:rPr>
              <w:t>82.6 %</w:t>
            </w:r>
          </w:p>
        </w:tc>
      </w:tr>
    </w:tbl>
    <w:p/>
    <w:p>
      <w:pPr>
        <w:sectPr>
          <w:pgSz w:w="15840" w:h="12240" w:orient="landscape"/>
          <w:pgMar w:top="1440" w:right="850" w:bottom="1440" w:left="850" w:header="720" w:footer="720" w:gutter="0"/>
          <w:cols w:space="720"/>
          <w:docGrid w:linePitch="360"/>
        </w:sectPr>
      </w:pPr>
    </w:p>
    <w:p>
      <w:r>
        <w:t>Reading the tables. "Before" is the scenario's no-build market (car, bus incl. rail, BRT = Metronit) on the corridor TAZ pairs; the three shift columns are the trips the pivot moves to the LRT from each; "after" is what remains plus the LRT. "car → transit" is the trips the logsum improvement moves out of the car; "car → LRT" is the part of them the LRT itself carries (the rest board the bus or Metronit path of their pair). "BRT → LRT" and "bus → LRT" are the LRT trips drawn from existing transit on the pairs whose transit path is Metronit-based or bus-based; the three LRT columns add up to the LRT total. Taxi-type trips (about 700) are carried unchanged and are outside the shares. The extension columns count the LRT trips of the same run that ride at least one segment between S01 and S24 (from either end of the line), and separately those with both ends at extension stations. The last two columns of the demand table are the bus-slowdown sensitivity of 4.9 (mixed-traffic buses 10 % slower in 2040 and 20 % in 2050, Metronit and LRT unchanged); the 2022 row has no such case.</w:t>
      </w:r>
    </w:p>
    <w:p>
      <w:r>
        <w:t>A note on the car column. The AM shift from the car doubles between 2040 BU and 2050 BU (684 → 1,421) and between 2040 BU and 2040 HS (684 → 1,387) while the market grows by 16 % and 4 %. This is not a demand effect but the aggregation effect of caveat 27 seen across scenarios: the incremental shift of a TAZ pair is proportional to S·(1 − S) of its smoothed transit share, and the forecast sets of step 23 seed trips into TAZ pairs that are empty in 2022 (small-base and transforming TAZs receive the super-zone pattern), so the number of corridor pairs with both car and transit trips rises from 1,620 (2022) to 2,084 (2040 BU), 2,942 (2050 BU), 4,970 (2040 HS) and 5,688 (2050 HS) and the trip-weighted S·(1 − S) from 0.048 to 0.062. The PM sets, grown pair by pair from the PM base, keep the 2022 pair set and show a smooth car column (666 → 880). The car shift should therefore be read as an order of magnitude (300–1,300 trips, 0.4–1.5 % of the corridor car trips), not compared between scenarios (caveat 29).</w:t>
      </w:r>
    </w:p>
    <w:p>
      <w:r>
        <w:drawing>
          <wp:inline xmlns:a="http://schemas.openxmlformats.org/drawingml/2006/main" xmlns:pic="http://schemas.openxmlformats.org/drawingml/2006/picture">
            <wp:extent cx="4320000" cy="3085714"/>
            <wp:docPr id="11" name="Picture 11"/>
            <wp:cNvGraphicFramePr>
              <a:graphicFrameLocks noChangeAspect="1"/>
            </wp:cNvGraphicFramePr>
            <a:graphic>
              <a:graphicData uri="http://schemas.openxmlformats.org/drawingml/2006/picture">
                <pic:pic>
                  <pic:nvPicPr>
                    <pic:cNvPr id="0" name="demand_by_scenario_AM.png"/>
                    <pic:cNvPicPr/>
                  </pic:nvPicPr>
                  <pic:blipFill>
                    <a:blip r:embed="rId19"/>
                    <a:stretch>
                      <a:fillRect/>
                    </a:stretch>
                  </pic:blipFill>
                  <pic:spPr>
                    <a:xfrm>
                      <a:off x="0" y="0"/>
                      <a:ext cx="4320000" cy="3085714"/>
                    </a:xfrm>
                    <a:prstGeom prst="rect"/>
                  </pic:spPr>
                </pic:pic>
              </a:graphicData>
            </a:graphic>
          </wp:inline>
        </w:drawing>
      </w:r>
    </w:p>
    <w:p>
      <w:r>
        <w:rPr>
          <w:i/>
          <w:sz w:val="16"/>
        </w:rPr>
        <w:t>Figure 4.1a — Transit demand on the corridor by scenario, AM peak hour: no-build transit, total transit after the LRT, LRT trips, and the LRT trips using the extension (same scale as 4.1b).</w:t>
      </w:r>
    </w:p>
    <w:p>
      <w:r>
        <w:drawing>
          <wp:inline xmlns:a="http://schemas.openxmlformats.org/drawingml/2006/main" xmlns:pic="http://schemas.openxmlformats.org/drawingml/2006/picture">
            <wp:extent cx="4320000" cy="3085714"/>
            <wp:docPr id="12" name="Picture 12"/>
            <wp:cNvGraphicFramePr>
              <a:graphicFrameLocks noChangeAspect="1"/>
            </wp:cNvGraphicFramePr>
            <a:graphic>
              <a:graphicData uri="http://schemas.openxmlformats.org/drawingml/2006/picture">
                <pic:pic>
                  <pic:nvPicPr>
                    <pic:cNvPr id="0" name="demand_by_scenario_PM.png"/>
                    <pic:cNvPicPr/>
                  </pic:nvPicPr>
                  <pic:blipFill>
                    <a:blip r:embed="rId20"/>
                    <a:stretch>
                      <a:fillRect/>
                    </a:stretch>
                  </pic:blipFill>
                  <pic:spPr>
                    <a:xfrm>
                      <a:off x="0" y="0"/>
                      <a:ext cx="4320000" cy="3085714"/>
                    </a:xfrm>
                    <a:prstGeom prst="rect"/>
                  </pic:spPr>
                </pic:pic>
              </a:graphicData>
            </a:graphic>
          </wp:inline>
        </w:drawing>
      </w:r>
    </w:p>
    <w:p>
      <w:r>
        <w:rPr>
          <w:i/>
          <w:sz w:val="16"/>
        </w:rPr>
        <w:t>Figure 4.1b — The same for the PM peak hour.</w:t>
      </w:r>
    </w:p>
    <w:p>
      <w:r>
        <w:drawing>
          <wp:inline xmlns:a="http://schemas.openxmlformats.org/drawingml/2006/main" xmlns:pic="http://schemas.openxmlformats.org/drawingml/2006/picture">
            <wp:extent cx="4320000" cy="3085714"/>
            <wp:docPr id="13" name="Picture 13"/>
            <wp:cNvGraphicFramePr>
              <a:graphicFrameLocks noChangeAspect="1"/>
            </wp:cNvGraphicFramePr>
            <a:graphic>
              <a:graphicData uri="http://schemas.openxmlformats.org/drawingml/2006/picture">
                <pic:pic>
                  <pic:nvPicPr>
                    <pic:cNvPr id="0" name="shift_sources_AM.png"/>
                    <pic:cNvPicPr/>
                  </pic:nvPicPr>
                  <pic:blipFill>
                    <a:blip r:embed="rId21"/>
                    <a:stretch>
                      <a:fillRect/>
                    </a:stretch>
                  </pic:blipFill>
                  <pic:spPr>
                    <a:xfrm>
                      <a:off x="0" y="0"/>
                      <a:ext cx="4320000" cy="3085714"/>
                    </a:xfrm>
                    <a:prstGeom prst="rect"/>
                  </pic:spPr>
                </pic:pic>
              </a:graphicData>
            </a:graphic>
          </wp:inline>
        </w:drawing>
      </w:r>
    </w:p>
    <w:p>
      <w:r>
        <w:rPr>
          <w:i/>
          <w:sz w:val="16"/>
        </w:rPr>
        <w:t>Figure 4.2a — Where the LRT trips come from (car, Metronit, bus), whole line and the part using the extension, by scenario, AM peak hour (same scale as 4.2b).</w:t>
      </w:r>
    </w:p>
    <w:p>
      <w:r>
        <w:drawing>
          <wp:inline xmlns:a="http://schemas.openxmlformats.org/drawingml/2006/main" xmlns:pic="http://schemas.openxmlformats.org/drawingml/2006/picture">
            <wp:extent cx="4320000" cy="3085714"/>
            <wp:docPr id="14" name="Picture 14"/>
            <wp:cNvGraphicFramePr>
              <a:graphicFrameLocks noChangeAspect="1"/>
            </wp:cNvGraphicFramePr>
            <a:graphic>
              <a:graphicData uri="http://schemas.openxmlformats.org/drawingml/2006/picture">
                <pic:pic>
                  <pic:nvPicPr>
                    <pic:cNvPr id="0" name="shift_sources_PM.png"/>
                    <pic:cNvPicPr/>
                  </pic:nvPicPr>
                  <pic:blipFill>
                    <a:blip r:embed="rId22"/>
                    <a:stretch>
                      <a:fillRect/>
                    </a:stretch>
                  </pic:blipFill>
                  <pic:spPr>
                    <a:xfrm>
                      <a:off x="0" y="0"/>
                      <a:ext cx="4320000" cy="3085714"/>
                    </a:xfrm>
                    <a:prstGeom prst="rect"/>
                  </pic:spPr>
                </pic:pic>
              </a:graphicData>
            </a:graphic>
          </wp:inline>
        </w:drawing>
      </w:r>
    </w:p>
    <w:p>
      <w:r>
        <w:rPr>
          <w:i/>
          <w:sz w:val="16"/>
        </w:rPr>
        <w:t>Figure 4.2b — The same for the PM peak hour.</w:t>
      </w:r>
    </w:p>
    <w:p>
      <w:pPr>
        <w:pStyle w:val="Heading2"/>
      </w:pPr>
      <w:r>
        <w:t>4.3 Where the demand comes from — markets</w:t>
      </w:r>
    </w:p>
    <w:p>
      <w:r>
        <w:t>The LRT trips of the reference case grouped by the corridor areas of their two ends (Output/alternatives/AM/BU_2050/main_ext_prioritized/t_lrt_area_v2.csv; both directions added), and the ten largest area pairs. "Haifa" is Matam to Hamifrats (areas 202–210); the Krayot (areas 101–104, 301–304) are off the line and reach it by bus or Metronit feeder; the main route is Bazan-Hutsot to Nazareth (211–217). "Crossing Hamifrats" is the load on the S24–M02 segment in both directions, i.e. every trip that rides from one side of the junction to the other.</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4"/>
              </w:rPr>
              <w:t>market</w:t>
            </w:r>
          </w:p>
        </w:tc>
        <w:tc>
          <w:tcPr>
            <w:tcW w:type="dxa" w:w="3324"/>
          </w:tcPr>
          <w:p>
            <w:r>
              <w:rPr>
                <w:b/>
                <w:sz w:val="14"/>
              </w:rPr>
              <w:t>LRT trips (3 h)</w:t>
            </w:r>
          </w:p>
        </w:tc>
        <w:tc>
          <w:tcPr>
            <w:tcW w:type="dxa" w:w="3324"/>
          </w:tcPr>
          <w:p>
            <w:r>
              <w:rPr>
                <w:b/>
                <w:sz w:val="14"/>
              </w:rPr>
              <w:t>share of all LRT trips</w:t>
            </w:r>
          </w:p>
        </w:tc>
      </w:tr>
      <w:tr>
        <w:tc>
          <w:tcPr>
            <w:tcW w:type="dxa" w:w="3324"/>
          </w:tcPr>
          <w:p>
            <w:r>
              <w:rPr>
                <w:sz w:val="14"/>
              </w:rPr>
              <w:t>Haifa internal (both ends Matam – Hamifrats)</w:t>
            </w:r>
          </w:p>
        </w:tc>
        <w:tc>
          <w:tcPr>
            <w:tcW w:type="dxa" w:w="3324"/>
          </w:tcPr>
          <w:p>
            <w:r>
              <w:rPr>
                <w:sz w:val="14"/>
              </w:rPr>
              <w:t>1,663</w:t>
            </w:r>
          </w:p>
        </w:tc>
        <w:tc>
          <w:tcPr>
            <w:tcW w:type="dxa" w:w="3324"/>
          </w:tcPr>
          <w:p>
            <w:r>
              <w:rPr>
                <w:sz w:val="14"/>
              </w:rPr>
              <w:t>22 %</w:t>
            </w:r>
          </w:p>
        </w:tc>
      </w:tr>
      <w:tr>
        <w:tc>
          <w:tcPr>
            <w:tcW w:type="dxa" w:w="3324"/>
          </w:tcPr>
          <w:p>
            <w:r>
              <w:rPr>
                <w:sz w:val="14"/>
              </w:rPr>
              <w:t>Tirat Carmel ↔ Haifa</w:t>
            </w:r>
          </w:p>
        </w:tc>
        <w:tc>
          <w:tcPr>
            <w:tcW w:type="dxa" w:w="3324"/>
          </w:tcPr>
          <w:p>
            <w:r>
              <w:rPr>
                <w:sz w:val="14"/>
              </w:rPr>
              <w:t>2,189</w:t>
            </w:r>
          </w:p>
        </w:tc>
        <w:tc>
          <w:tcPr>
            <w:tcW w:type="dxa" w:w="3324"/>
          </w:tcPr>
          <w:p>
            <w:r>
              <w:rPr>
                <w:sz w:val="14"/>
              </w:rPr>
              <w:t>29 %</w:t>
            </w:r>
          </w:p>
        </w:tc>
      </w:tr>
      <w:tr>
        <w:tc>
          <w:tcPr>
            <w:tcW w:type="dxa" w:w="3324"/>
          </w:tcPr>
          <w:p>
            <w:r>
              <w:rPr>
                <w:sz w:val="14"/>
              </w:rPr>
              <w:t>Krayot ↔ Haifa (Krayot by feeder)</w:t>
            </w:r>
          </w:p>
        </w:tc>
        <w:tc>
          <w:tcPr>
            <w:tcW w:type="dxa" w:w="3324"/>
          </w:tcPr>
          <w:p>
            <w:r>
              <w:rPr>
                <w:sz w:val="14"/>
              </w:rPr>
              <w:t>1,665</w:t>
            </w:r>
          </w:p>
        </w:tc>
        <w:tc>
          <w:tcPr>
            <w:tcW w:type="dxa" w:w="3324"/>
          </w:tcPr>
          <w:p>
            <w:r>
              <w:rPr>
                <w:sz w:val="14"/>
              </w:rPr>
              <w:t>22 %</w:t>
            </w:r>
          </w:p>
        </w:tc>
      </w:tr>
      <w:tr>
        <w:tc>
          <w:tcPr>
            <w:tcW w:type="dxa" w:w="3324"/>
          </w:tcPr>
          <w:p>
            <w:r>
              <w:rPr>
                <w:sz w:val="14"/>
              </w:rPr>
              <w:t>Main route (Kiryat Ata – Nazareth) ↔ Haifa</w:t>
            </w:r>
          </w:p>
        </w:tc>
        <w:tc>
          <w:tcPr>
            <w:tcW w:type="dxa" w:w="3324"/>
          </w:tcPr>
          <w:p>
            <w:r>
              <w:rPr>
                <w:sz w:val="14"/>
              </w:rPr>
              <w:t>891</w:t>
            </w:r>
          </w:p>
        </w:tc>
        <w:tc>
          <w:tcPr>
            <w:tcW w:type="dxa" w:w="3324"/>
          </w:tcPr>
          <w:p>
            <w:r>
              <w:rPr>
                <w:sz w:val="14"/>
              </w:rPr>
              <w:t>12 %</w:t>
            </w:r>
          </w:p>
        </w:tc>
      </w:tr>
      <w:tr>
        <w:tc>
          <w:tcPr>
            <w:tcW w:type="dxa" w:w="3324"/>
          </w:tcPr>
          <w:p>
            <w:r>
              <w:rPr>
                <w:sz w:val="14"/>
              </w:rPr>
              <w:t>Main route ↔ Krayot / Tirat Carmel</w:t>
            </w:r>
          </w:p>
        </w:tc>
        <w:tc>
          <w:tcPr>
            <w:tcW w:type="dxa" w:w="3324"/>
          </w:tcPr>
          <w:p>
            <w:r>
              <w:rPr>
                <w:sz w:val="14"/>
              </w:rPr>
              <w:t>522</w:t>
            </w:r>
          </w:p>
        </w:tc>
        <w:tc>
          <w:tcPr>
            <w:tcW w:type="dxa" w:w="3324"/>
          </w:tcPr>
          <w:p>
            <w:r>
              <w:rPr>
                <w:sz w:val="14"/>
              </w:rPr>
              <w:t>7 %</w:t>
            </w:r>
          </w:p>
        </w:tc>
      </w:tr>
      <w:tr>
        <w:tc>
          <w:tcPr>
            <w:tcW w:type="dxa" w:w="3324"/>
          </w:tcPr>
          <w:p>
            <w:r>
              <w:rPr>
                <w:sz w:val="14"/>
              </w:rPr>
              <w:t>within the main route</w:t>
            </w:r>
          </w:p>
        </w:tc>
        <w:tc>
          <w:tcPr>
            <w:tcW w:type="dxa" w:w="3324"/>
          </w:tcPr>
          <w:p>
            <w:r>
              <w:rPr>
                <w:sz w:val="14"/>
              </w:rPr>
              <w:t>306</w:t>
            </w:r>
          </w:p>
        </w:tc>
        <w:tc>
          <w:tcPr>
            <w:tcW w:type="dxa" w:w="3324"/>
          </w:tcPr>
          <w:p>
            <w:r>
              <w:rPr>
                <w:sz w:val="14"/>
              </w:rPr>
              <w:t>4 %</w:t>
            </w:r>
          </w:p>
        </w:tc>
      </w:tr>
      <w:tr>
        <w:tc>
          <w:tcPr>
            <w:tcW w:type="dxa" w:w="3324"/>
          </w:tcPr>
          <w:p>
            <w:r>
              <w:rPr>
                <w:sz w:val="14"/>
              </w:rPr>
              <w:t>Krayot ↔ Tirat Carmel</w:t>
            </w:r>
          </w:p>
        </w:tc>
        <w:tc>
          <w:tcPr>
            <w:tcW w:type="dxa" w:w="3324"/>
          </w:tcPr>
          <w:p>
            <w:r>
              <w:rPr>
                <w:sz w:val="14"/>
              </w:rPr>
              <w:t>193</w:t>
            </w:r>
          </w:p>
        </w:tc>
        <w:tc>
          <w:tcPr>
            <w:tcW w:type="dxa" w:w="3324"/>
          </w:tcPr>
          <w:p>
            <w:r>
              <w:rPr>
                <w:sz w:val="14"/>
              </w:rPr>
              <w:t>3 %</w:t>
            </w:r>
          </w:p>
        </w:tc>
      </w:tr>
      <w:tr>
        <w:tc>
          <w:tcPr>
            <w:tcW w:type="dxa" w:w="3324"/>
          </w:tcPr>
          <w:p>
            <w:r>
              <w:rPr>
                <w:sz w:val="14"/>
              </w:rPr>
              <w:t>crossing Hamifrats (ride the S24–M02 segment)</w:t>
            </w:r>
          </w:p>
        </w:tc>
        <w:tc>
          <w:tcPr>
            <w:tcW w:type="dxa" w:w="3324"/>
          </w:tcPr>
          <w:p>
            <w:r>
              <w:rPr>
                <w:sz w:val="14"/>
              </w:rPr>
              <w:t>2,849</w:t>
            </w:r>
          </w:p>
        </w:tc>
        <w:tc>
          <w:tcPr>
            <w:tcW w:type="dxa" w:w="3324"/>
          </w:tcPr>
          <w:p>
            <w:r>
              <w:rPr>
                <w:sz w:val="14"/>
              </w:rPr>
              <w:t>38 %</w:t>
            </w:r>
          </w:p>
        </w:tc>
      </w:tr>
      <w:tr>
        <w:tc>
          <w:tcPr>
            <w:tcW w:type="dxa" w:w="3324"/>
          </w:tcPr>
          <w:p>
            <w:r>
              <w:rPr>
                <w:sz w:val="14"/>
              </w:rPr>
              <w:t>purely extension to extension (both ends at S01–S24)</w:t>
            </w:r>
          </w:p>
        </w:tc>
        <w:tc>
          <w:tcPr>
            <w:tcW w:type="dxa" w:w="3324"/>
          </w:tcPr>
          <w:p>
            <w:r>
              <w:rPr>
                <w:sz w:val="14"/>
              </w:rPr>
              <w:t>3,851</w:t>
            </w:r>
          </w:p>
        </w:tc>
        <w:tc>
          <w:tcPr>
            <w:tcW w:type="dxa" w:w="3324"/>
          </w:tcPr>
          <w:p>
            <w:r>
              <w:rPr>
                <w:sz w:val="14"/>
              </w:rPr>
              <w:t>52 %</w:t>
            </w:r>
          </w:p>
        </w:tc>
      </w:tr>
      <w:tr>
        <w:tc>
          <w:tcPr>
            <w:tcW w:type="dxa" w:w="3324"/>
          </w:tcPr>
          <w:p>
            <w:r>
              <w:rPr>
                <w:sz w:val="14"/>
              </w:rPr>
              <w:t>using the extension at all</w:t>
            </w:r>
          </w:p>
        </w:tc>
        <w:tc>
          <w:tcPr>
            <w:tcW w:type="dxa" w:w="3324"/>
          </w:tcPr>
          <w:p>
            <w:r>
              <w:rPr>
                <w:sz w:val="14"/>
              </w:rPr>
              <w:t>6,003</w:t>
            </w:r>
          </w:p>
        </w:tc>
        <w:tc>
          <w:tcPr>
            <w:tcW w:type="dxa" w:w="3324"/>
          </w:tcPr>
          <w:p>
            <w:r>
              <w:rPr>
                <w:sz w:val="14"/>
              </w:rPr>
              <w:t>81 %</w:t>
            </w:r>
          </w:p>
        </w:tc>
      </w:tr>
    </w:tbl>
    <w:p>
      <w:r>
        <w:rPr>
          <w:sz w:val="16"/>
        </w:rPr>
        <w:t>Table 4.5 — Markets of the LRT trips, AM three hours, 2050 BU (total 7,432).</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4"/>
              </w:rPr>
              <w:t>market</w:t>
            </w:r>
          </w:p>
        </w:tc>
        <w:tc>
          <w:tcPr>
            <w:tcW w:type="dxa" w:w="3324"/>
          </w:tcPr>
          <w:p>
            <w:r>
              <w:rPr>
                <w:b/>
                <w:sz w:val="14"/>
              </w:rPr>
              <w:t>LRT trips (3 h)</w:t>
            </w:r>
          </w:p>
        </w:tc>
        <w:tc>
          <w:tcPr>
            <w:tcW w:type="dxa" w:w="3324"/>
          </w:tcPr>
          <w:p>
            <w:r>
              <w:rPr>
                <w:b/>
                <w:sz w:val="14"/>
              </w:rPr>
              <w:t>share of all LRT trips</w:t>
            </w:r>
          </w:p>
        </w:tc>
      </w:tr>
      <w:tr>
        <w:tc>
          <w:tcPr>
            <w:tcW w:type="dxa" w:w="3324"/>
          </w:tcPr>
          <w:p>
            <w:r>
              <w:rPr>
                <w:sz w:val="14"/>
              </w:rPr>
              <w:t>Haifa internal (both ends Matam – Hamifrats)</w:t>
            </w:r>
          </w:p>
        </w:tc>
        <w:tc>
          <w:tcPr>
            <w:tcW w:type="dxa" w:w="3324"/>
          </w:tcPr>
          <w:p>
            <w:r>
              <w:rPr>
                <w:sz w:val="14"/>
              </w:rPr>
              <w:t>3,027</w:t>
            </w:r>
          </w:p>
        </w:tc>
        <w:tc>
          <w:tcPr>
            <w:tcW w:type="dxa" w:w="3324"/>
          </w:tcPr>
          <w:p>
            <w:r>
              <w:rPr>
                <w:sz w:val="14"/>
              </w:rPr>
              <w:t>33 %</w:t>
            </w:r>
          </w:p>
        </w:tc>
      </w:tr>
      <w:tr>
        <w:tc>
          <w:tcPr>
            <w:tcW w:type="dxa" w:w="3324"/>
          </w:tcPr>
          <w:p>
            <w:r>
              <w:rPr>
                <w:sz w:val="14"/>
              </w:rPr>
              <w:t>Tirat Carmel ↔ Haifa</w:t>
            </w:r>
          </w:p>
        </w:tc>
        <w:tc>
          <w:tcPr>
            <w:tcW w:type="dxa" w:w="3324"/>
          </w:tcPr>
          <w:p>
            <w:r>
              <w:rPr>
                <w:sz w:val="14"/>
              </w:rPr>
              <w:t>1,041</w:t>
            </w:r>
          </w:p>
        </w:tc>
        <w:tc>
          <w:tcPr>
            <w:tcW w:type="dxa" w:w="3324"/>
          </w:tcPr>
          <w:p>
            <w:r>
              <w:rPr>
                <w:sz w:val="14"/>
              </w:rPr>
              <w:t>11 %</w:t>
            </w:r>
          </w:p>
        </w:tc>
      </w:tr>
      <w:tr>
        <w:tc>
          <w:tcPr>
            <w:tcW w:type="dxa" w:w="3324"/>
          </w:tcPr>
          <w:p>
            <w:r>
              <w:rPr>
                <w:sz w:val="14"/>
              </w:rPr>
              <w:t>Krayot ↔ Haifa (Krayot by feeder)</w:t>
            </w:r>
          </w:p>
        </w:tc>
        <w:tc>
          <w:tcPr>
            <w:tcW w:type="dxa" w:w="3324"/>
          </w:tcPr>
          <w:p>
            <w:r>
              <w:rPr>
                <w:sz w:val="14"/>
              </w:rPr>
              <w:t>2,030</w:t>
            </w:r>
          </w:p>
        </w:tc>
        <w:tc>
          <w:tcPr>
            <w:tcW w:type="dxa" w:w="3324"/>
          </w:tcPr>
          <w:p>
            <w:r>
              <w:rPr>
                <w:sz w:val="14"/>
              </w:rPr>
              <w:t>22 %</w:t>
            </w:r>
          </w:p>
        </w:tc>
      </w:tr>
      <w:tr>
        <w:tc>
          <w:tcPr>
            <w:tcW w:type="dxa" w:w="3324"/>
          </w:tcPr>
          <w:p>
            <w:r>
              <w:rPr>
                <w:sz w:val="14"/>
              </w:rPr>
              <w:t>Main route (Kiryat Ata – Nazareth) ↔ Haifa</w:t>
            </w:r>
          </w:p>
        </w:tc>
        <w:tc>
          <w:tcPr>
            <w:tcW w:type="dxa" w:w="3324"/>
          </w:tcPr>
          <w:p>
            <w:r>
              <w:rPr>
                <w:sz w:val="14"/>
              </w:rPr>
              <w:t>1,533</w:t>
            </w:r>
          </w:p>
        </w:tc>
        <w:tc>
          <w:tcPr>
            <w:tcW w:type="dxa" w:w="3324"/>
          </w:tcPr>
          <w:p>
            <w:r>
              <w:rPr>
                <w:sz w:val="14"/>
              </w:rPr>
              <w:t>17 %</w:t>
            </w:r>
          </w:p>
        </w:tc>
      </w:tr>
      <w:tr>
        <w:tc>
          <w:tcPr>
            <w:tcW w:type="dxa" w:w="3324"/>
          </w:tcPr>
          <w:p>
            <w:r>
              <w:rPr>
                <w:sz w:val="14"/>
              </w:rPr>
              <w:t>Main route ↔ Krayot / Tirat Carmel</w:t>
            </w:r>
          </w:p>
        </w:tc>
        <w:tc>
          <w:tcPr>
            <w:tcW w:type="dxa" w:w="3324"/>
          </w:tcPr>
          <w:p>
            <w:r>
              <w:rPr>
                <w:sz w:val="14"/>
              </w:rPr>
              <w:t>846</w:t>
            </w:r>
          </w:p>
        </w:tc>
        <w:tc>
          <w:tcPr>
            <w:tcW w:type="dxa" w:w="3324"/>
          </w:tcPr>
          <w:p>
            <w:r>
              <w:rPr>
                <w:sz w:val="14"/>
              </w:rPr>
              <w:t>9 %</w:t>
            </w:r>
          </w:p>
        </w:tc>
      </w:tr>
      <w:tr>
        <w:tc>
          <w:tcPr>
            <w:tcW w:type="dxa" w:w="3324"/>
          </w:tcPr>
          <w:p>
            <w:r>
              <w:rPr>
                <w:sz w:val="14"/>
              </w:rPr>
              <w:t>within the main route</w:t>
            </w:r>
          </w:p>
        </w:tc>
        <w:tc>
          <w:tcPr>
            <w:tcW w:type="dxa" w:w="3324"/>
          </w:tcPr>
          <w:p>
            <w:r>
              <w:rPr>
                <w:sz w:val="14"/>
              </w:rPr>
              <w:t>639</w:t>
            </w:r>
          </w:p>
        </w:tc>
        <w:tc>
          <w:tcPr>
            <w:tcW w:type="dxa" w:w="3324"/>
          </w:tcPr>
          <w:p>
            <w:r>
              <w:rPr>
                <w:sz w:val="14"/>
              </w:rPr>
              <w:t>7 %</w:t>
            </w:r>
          </w:p>
        </w:tc>
      </w:tr>
      <w:tr>
        <w:tc>
          <w:tcPr>
            <w:tcW w:type="dxa" w:w="3324"/>
          </w:tcPr>
          <w:p>
            <w:r>
              <w:rPr>
                <w:sz w:val="14"/>
              </w:rPr>
              <w:t>Krayot ↔ Tirat Carmel</w:t>
            </w:r>
          </w:p>
        </w:tc>
        <w:tc>
          <w:tcPr>
            <w:tcW w:type="dxa" w:w="3324"/>
          </w:tcPr>
          <w:p>
            <w:r>
              <w:rPr>
                <w:sz w:val="14"/>
              </w:rPr>
              <w:t>105</w:t>
            </w:r>
          </w:p>
        </w:tc>
        <w:tc>
          <w:tcPr>
            <w:tcW w:type="dxa" w:w="3324"/>
          </w:tcPr>
          <w:p>
            <w:r>
              <w:rPr>
                <w:sz w:val="14"/>
              </w:rPr>
              <w:t>1 %</w:t>
            </w:r>
          </w:p>
        </w:tc>
      </w:tr>
      <w:tr>
        <w:tc>
          <w:tcPr>
            <w:tcW w:type="dxa" w:w="3324"/>
          </w:tcPr>
          <w:p>
            <w:r>
              <w:rPr>
                <w:sz w:val="14"/>
              </w:rPr>
              <w:t>crossing Hamifrats (ride the S24–M02 segment)</w:t>
            </w:r>
          </w:p>
        </w:tc>
        <w:tc>
          <w:tcPr>
            <w:tcW w:type="dxa" w:w="3324"/>
          </w:tcPr>
          <w:p>
            <w:r>
              <w:rPr>
                <w:sz w:val="14"/>
              </w:rPr>
              <w:t>3,711</w:t>
            </w:r>
          </w:p>
        </w:tc>
        <w:tc>
          <w:tcPr>
            <w:tcW w:type="dxa" w:w="3324"/>
          </w:tcPr>
          <w:p>
            <w:r>
              <w:rPr>
                <w:sz w:val="14"/>
              </w:rPr>
              <w:t>40 %</w:t>
            </w:r>
          </w:p>
        </w:tc>
      </w:tr>
      <w:tr>
        <w:tc>
          <w:tcPr>
            <w:tcW w:type="dxa" w:w="3324"/>
          </w:tcPr>
          <w:p>
            <w:r>
              <w:rPr>
                <w:sz w:val="14"/>
              </w:rPr>
              <w:t>purely extension to extension (both ends at S01–S24)</w:t>
            </w:r>
          </w:p>
        </w:tc>
        <w:tc>
          <w:tcPr>
            <w:tcW w:type="dxa" w:w="3324"/>
          </w:tcPr>
          <w:p>
            <w:r>
              <w:rPr>
                <w:sz w:val="14"/>
              </w:rPr>
              <w:t>4,068</w:t>
            </w:r>
          </w:p>
        </w:tc>
        <w:tc>
          <w:tcPr>
            <w:tcW w:type="dxa" w:w="3324"/>
          </w:tcPr>
          <w:p>
            <w:r>
              <w:rPr>
                <w:sz w:val="14"/>
              </w:rPr>
              <w:t>44 %</w:t>
            </w:r>
          </w:p>
        </w:tc>
      </w:tr>
      <w:tr>
        <w:tc>
          <w:tcPr>
            <w:tcW w:type="dxa" w:w="3324"/>
          </w:tcPr>
          <w:p>
            <w:r>
              <w:rPr>
                <w:sz w:val="14"/>
              </w:rPr>
              <w:t>using the extension at all</w:t>
            </w:r>
          </w:p>
        </w:tc>
        <w:tc>
          <w:tcPr>
            <w:tcW w:type="dxa" w:w="3324"/>
          </w:tcPr>
          <w:p>
            <w:r>
              <w:rPr>
                <w:sz w:val="14"/>
              </w:rPr>
              <w:t>7,010</w:t>
            </w:r>
          </w:p>
        </w:tc>
        <w:tc>
          <w:tcPr>
            <w:tcW w:type="dxa" w:w="3324"/>
          </w:tcPr>
          <w:p>
            <w:r>
              <w:rPr>
                <w:sz w:val="14"/>
              </w:rPr>
              <w:t>76 %</w:t>
            </w:r>
          </w:p>
        </w:tc>
      </w:tr>
    </w:tbl>
    <w:p>
      <w:r>
        <w:rPr>
          <w:sz w:val="16"/>
        </w:rPr>
        <w:t>Table 4.6 — Markets of the LRT trips, AM three hours, 2050 HS (total 9,225).</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4"/>
              </w:rPr>
              <w:t>rank</w:t>
            </w:r>
          </w:p>
        </w:tc>
        <w:tc>
          <w:tcPr>
            <w:tcW w:type="dxa" w:w="2493"/>
          </w:tcPr>
          <w:p>
            <w:r>
              <w:rPr>
                <w:b/>
                <w:sz w:val="14"/>
              </w:rPr>
              <w:t>area pair (both directions)</w:t>
            </w:r>
          </w:p>
        </w:tc>
        <w:tc>
          <w:tcPr>
            <w:tcW w:type="dxa" w:w="2493"/>
          </w:tcPr>
          <w:p>
            <w:r>
              <w:rPr>
                <w:b/>
                <w:sz w:val="14"/>
              </w:rPr>
              <w:t>LRT trips (3 h)</w:t>
            </w:r>
          </w:p>
        </w:tc>
        <w:tc>
          <w:tcPr>
            <w:tcW w:type="dxa" w:w="2493"/>
          </w:tcPr>
          <w:p>
            <w:r>
              <w:rPr>
                <w:b/>
                <w:sz w:val="14"/>
              </w:rPr>
              <w:t>share of all LRT trips</w:t>
            </w:r>
          </w:p>
        </w:tc>
      </w:tr>
      <w:tr>
        <w:tc>
          <w:tcPr>
            <w:tcW w:type="dxa" w:w="2493"/>
          </w:tcPr>
          <w:p>
            <w:r>
              <w:rPr>
                <w:sz w:val="14"/>
              </w:rPr>
              <w:t>1</w:t>
            </w:r>
          </w:p>
        </w:tc>
        <w:tc>
          <w:tcPr>
            <w:tcW w:type="dxa" w:w="2493"/>
          </w:tcPr>
          <w:p>
            <w:r>
              <w:rPr>
                <w:sz w:val="14"/>
              </w:rPr>
              <w:t>TiratCarmel – BatGalim-KiryatEliezer</w:t>
            </w:r>
          </w:p>
        </w:tc>
        <w:tc>
          <w:tcPr>
            <w:tcW w:type="dxa" w:w="2493"/>
          </w:tcPr>
          <w:p>
            <w:r>
              <w:rPr>
                <w:sz w:val="14"/>
              </w:rPr>
              <w:t>820</w:t>
            </w:r>
          </w:p>
        </w:tc>
        <w:tc>
          <w:tcPr>
            <w:tcW w:type="dxa" w:w="2493"/>
          </w:tcPr>
          <w:p>
            <w:r>
              <w:rPr>
                <w:sz w:val="14"/>
              </w:rPr>
              <w:t>11.0 %</w:t>
            </w:r>
          </w:p>
        </w:tc>
      </w:tr>
      <w:tr>
        <w:tc>
          <w:tcPr>
            <w:tcW w:type="dxa" w:w="2493"/>
          </w:tcPr>
          <w:p>
            <w:r>
              <w:rPr>
                <w:sz w:val="14"/>
              </w:rPr>
              <w:t>2</w:t>
            </w:r>
          </w:p>
        </w:tc>
        <w:tc>
          <w:tcPr>
            <w:tcW w:type="dxa" w:w="2493"/>
          </w:tcPr>
          <w:p>
            <w:r>
              <w:rPr>
                <w:sz w:val="14"/>
              </w:rPr>
              <w:t>TiratCarmel – Matam-NeotPeres</w:t>
            </w:r>
          </w:p>
        </w:tc>
        <w:tc>
          <w:tcPr>
            <w:tcW w:type="dxa" w:w="2493"/>
          </w:tcPr>
          <w:p>
            <w:r>
              <w:rPr>
                <w:sz w:val="14"/>
              </w:rPr>
              <w:t>481</w:t>
            </w:r>
          </w:p>
        </w:tc>
        <w:tc>
          <w:tcPr>
            <w:tcW w:type="dxa" w:w="2493"/>
          </w:tcPr>
          <w:p>
            <w:r>
              <w:rPr>
                <w:sz w:val="14"/>
              </w:rPr>
              <w:t>6.5 %</w:t>
            </w:r>
          </w:p>
        </w:tc>
      </w:tr>
      <w:tr>
        <w:tc>
          <w:tcPr>
            <w:tcW w:type="dxa" w:w="2493"/>
          </w:tcPr>
          <w:p>
            <w:r>
              <w:rPr>
                <w:sz w:val="14"/>
              </w:rPr>
              <w:t>3</w:t>
            </w:r>
          </w:p>
        </w:tc>
        <w:tc>
          <w:tcPr>
            <w:tcW w:type="dxa" w:w="2493"/>
          </w:tcPr>
          <w:p>
            <w:r>
              <w:rPr>
                <w:sz w:val="14"/>
              </w:rPr>
              <w:t>TiratCarmel – LowerCity</w:t>
            </w:r>
          </w:p>
        </w:tc>
        <w:tc>
          <w:tcPr>
            <w:tcW w:type="dxa" w:w="2493"/>
          </w:tcPr>
          <w:p>
            <w:r>
              <w:rPr>
                <w:sz w:val="14"/>
              </w:rPr>
              <w:t>222</w:t>
            </w:r>
          </w:p>
        </w:tc>
        <w:tc>
          <w:tcPr>
            <w:tcW w:type="dxa" w:w="2493"/>
          </w:tcPr>
          <w:p>
            <w:r>
              <w:rPr>
                <w:sz w:val="14"/>
              </w:rPr>
              <w:t>3.0 %</w:t>
            </w:r>
          </w:p>
        </w:tc>
      </w:tr>
      <w:tr>
        <w:tc>
          <w:tcPr>
            <w:tcW w:type="dxa" w:w="2493"/>
          </w:tcPr>
          <w:p>
            <w:r>
              <w:rPr>
                <w:sz w:val="14"/>
              </w:rPr>
              <w:t>4</w:t>
            </w:r>
          </w:p>
        </w:tc>
        <w:tc>
          <w:tcPr>
            <w:tcW w:type="dxa" w:w="2493"/>
          </w:tcPr>
          <w:p>
            <w:r>
              <w:rPr>
                <w:sz w:val="14"/>
              </w:rPr>
              <w:t>TiratCarmel – Hecht-Shprintzak</w:t>
            </w:r>
          </w:p>
        </w:tc>
        <w:tc>
          <w:tcPr>
            <w:tcW w:type="dxa" w:w="2493"/>
          </w:tcPr>
          <w:p>
            <w:r>
              <w:rPr>
                <w:sz w:val="14"/>
              </w:rPr>
              <w:t>164</w:t>
            </w:r>
          </w:p>
        </w:tc>
        <w:tc>
          <w:tcPr>
            <w:tcW w:type="dxa" w:w="2493"/>
          </w:tcPr>
          <w:p>
            <w:r>
              <w:rPr>
                <w:sz w:val="14"/>
              </w:rPr>
              <w:t>2.2 %</w:t>
            </w:r>
          </w:p>
        </w:tc>
      </w:tr>
      <w:tr>
        <w:tc>
          <w:tcPr>
            <w:tcW w:type="dxa" w:w="2493"/>
          </w:tcPr>
          <w:p>
            <w:r>
              <w:rPr>
                <w:sz w:val="14"/>
              </w:rPr>
              <w:t>5</w:t>
            </w:r>
          </w:p>
        </w:tc>
        <w:tc>
          <w:tcPr>
            <w:tcW w:type="dxa" w:w="2493"/>
          </w:tcPr>
          <w:p>
            <w:r>
              <w:rPr>
                <w:sz w:val="14"/>
              </w:rPr>
              <w:t>Matam-NeotPeres – BatGalim-KiryatEliezer</w:t>
            </w:r>
          </w:p>
        </w:tc>
        <w:tc>
          <w:tcPr>
            <w:tcW w:type="dxa" w:w="2493"/>
          </w:tcPr>
          <w:p>
            <w:r>
              <w:rPr>
                <w:sz w:val="14"/>
              </w:rPr>
              <w:t>153</w:t>
            </w:r>
          </w:p>
        </w:tc>
        <w:tc>
          <w:tcPr>
            <w:tcW w:type="dxa" w:w="2493"/>
          </w:tcPr>
          <w:p>
            <w:r>
              <w:rPr>
                <w:sz w:val="14"/>
              </w:rPr>
              <w:t>2.1 %</w:t>
            </w:r>
          </w:p>
        </w:tc>
      </w:tr>
      <w:tr>
        <w:tc>
          <w:tcPr>
            <w:tcW w:type="dxa" w:w="2493"/>
          </w:tcPr>
          <w:p>
            <w:r>
              <w:rPr>
                <w:sz w:val="14"/>
              </w:rPr>
              <w:t>6</w:t>
            </w:r>
          </w:p>
        </w:tc>
        <w:tc>
          <w:tcPr>
            <w:tcW w:type="dxa" w:w="2493"/>
          </w:tcPr>
          <w:p>
            <w:r>
              <w:rPr>
                <w:sz w:val="14"/>
              </w:rPr>
              <w:t>TiratCarmel – Namal-Giborim</w:t>
            </w:r>
          </w:p>
        </w:tc>
        <w:tc>
          <w:tcPr>
            <w:tcW w:type="dxa" w:w="2493"/>
          </w:tcPr>
          <w:p>
            <w:r>
              <w:rPr>
                <w:sz w:val="14"/>
              </w:rPr>
              <w:t>131</w:t>
            </w:r>
          </w:p>
        </w:tc>
        <w:tc>
          <w:tcPr>
            <w:tcW w:type="dxa" w:w="2493"/>
          </w:tcPr>
          <w:p>
            <w:r>
              <w:rPr>
                <w:sz w:val="14"/>
              </w:rPr>
              <w:t>1.8 %</w:t>
            </w:r>
          </w:p>
        </w:tc>
      </w:tr>
      <w:tr>
        <w:tc>
          <w:tcPr>
            <w:tcW w:type="dxa" w:w="2493"/>
          </w:tcPr>
          <w:p>
            <w:r>
              <w:rPr>
                <w:sz w:val="14"/>
              </w:rPr>
              <w:t>7</w:t>
            </w:r>
          </w:p>
        </w:tc>
        <w:tc>
          <w:tcPr>
            <w:tcW w:type="dxa" w:w="2493"/>
          </w:tcPr>
          <w:p>
            <w:r>
              <w:rPr>
                <w:sz w:val="14"/>
              </w:rPr>
              <w:t>Hamifrats – Shefaram</w:t>
            </w:r>
          </w:p>
        </w:tc>
        <w:tc>
          <w:tcPr>
            <w:tcW w:type="dxa" w:w="2493"/>
          </w:tcPr>
          <w:p>
            <w:r>
              <w:rPr>
                <w:sz w:val="14"/>
              </w:rPr>
              <w:t>126</w:t>
            </w:r>
          </w:p>
        </w:tc>
        <w:tc>
          <w:tcPr>
            <w:tcW w:type="dxa" w:w="2493"/>
          </w:tcPr>
          <w:p>
            <w:r>
              <w:rPr>
                <w:sz w:val="14"/>
              </w:rPr>
              <w:t>1.7 %</w:t>
            </w:r>
          </w:p>
        </w:tc>
      </w:tr>
      <w:tr>
        <w:tc>
          <w:tcPr>
            <w:tcW w:type="dxa" w:w="2493"/>
          </w:tcPr>
          <w:p>
            <w:r>
              <w:rPr>
                <w:sz w:val="14"/>
              </w:rPr>
              <w:t>8</w:t>
            </w:r>
          </w:p>
        </w:tc>
        <w:tc>
          <w:tcPr>
            <w:tcW w:type="dxa" w:w="2493"/>
          </w:tcPr>
          <w:p>
            <w:r>
              <w:rPr>
                <w:sz w:val="14"/>
              </w:rPr>
              <w:t>Hecht-Shprintzak – BatGalim-KiryatEliezer</w:t>
            </w:r>
          </w:p>
        </w:tc>
        <w:tc>
          <w:tcPr>
            <w:tcW w:type="dxa" w:w="2493"/>
          </w:tcPr>
          <w:p>
            <w:r>
              <w:rPr>
                <w:sz w:val="14"/>
              </w:rPr>
              <w:t>113</w:t>
            </w:r>
          </w:p>
        </w:tc>
        <w:tc>
          <w:tcPr>
            <w:tcW w:type="dxa" w:w="2493"/>
          </w:tcPr>
          <w:p>
            <w:r>
              <w:rPr>
                <w:sz w:val="14"/>
              </w:rPr>
              <w:t>1.5 %</w:t>
            </w:r>
          </w:p>
        </w:tc>
      </w:tr>
      <w:tr>
        <w:tc>
          <w:tcPr>
            <w:tcW w:type="dxa" w:w="2493"/>
          </w:tcPr>
          <w:p>
            <w:r>
              <w:rPr>
                <w:sz w:val="14"/>
              </w:rPr>
              <w:t>9</w:t>
            </w:r>
          </w:p>
        </w:tc>
        <w:tc>
          <w:tcPr>
            <w:tcW w:type="dxa" w:w="2493"/>
          </w:tcPr>
          <w:p>
            <w:r>
              <w:rPr>
                <w:sz w:val="14"/>
              </w:rPr>
              <w:t>TiratCarmel – Hamifrats</w:t>
            </w:r>
          </w:p>
        </w:tc>
        <w:tc>
          <w:tcPr>
            <w:tcW w:type="dxa" w:w="2493"/>
          </w:tcPr>
          <w:p>
            <w:r>
              <w:rPr>
                <w:sz w:val="14"/>
              </w:rPr>
              <w:t>108</w:t>
            </w:r>
          </w:p>
        </w:tc>
        <w:tc>
          <w:tcPr>
            <w:tcW w:type="dxa" w:w="2493"/>
          </w:tcPr>
          <w:p>
            <w:r>
              <w:rPr>
                <w:sz w:val="14"/>
              </w:rPr>
              <w:t>1.5 %</w:t>
            </w:r>
          </w:p>
        </w:tc>
      </w:tr>
      <w:tr>
        <w:tc>
          <w:tcPr>
            <w:tcW w:type="dxa" w:w="2493"/>
          </w:tcPr>
          <w:p>
            <w:r>
              <w:rPr>
                <w:sz w:val="14"/>
              </w:rPr>
              <w:t>10</w:t>
            </w:r>
          </w:p>
        </w:tc>
        <w:tc>
          <w:tcPr>
            <w:tcW w:type="dxa" w:w="2493"/>
          </w:tcPr>
          <w:p>
            <w:r>
              <w:rPr>
                <w:sz w:val="14"/>
              </w:rPr>
              <w:t>TiratCarmel – HofCarmel-NeveDavid</w:t>
            </w:r>
          </w:p>
        </w:tc>
        <w:tc>
          <w:tcPr>
            <w:tcW w:type="dxa" w:w="2493"/>
          </w:tcPr>
          <w:p>
            <w:r>
              <w:rPr>
                <w:sz w:val="14"/>
              </w:rPr>
              <w:t>108</w:t>
            </w:r>
          </w:p>
        </w:tc>
        <w:tc>
          <w:tcPr>
            <w:tcW w:type="dxa" w:w="2493"/>
          </w:tcPr>
          <w:p>
            <w:r>
              <w:rPr>
                <w:sz w:val="14"/>
              </w:rPr>
              <w:t>1.5 %</w:t>
            </w:r>
          </w:p>
        </w:tc>
      </w:tr>
    </w:tbl>
    <w:p>
      <w:r>
        <w:rPr>
          <w:sz w:val="16"/>
        </w:rPr>
        <w:t>Table 4.7 — The ten largest area pairs of the LRT trips, AM three hours, 2050 BU.</w:t>
      </w:r>
    </w:p>
    <w:p>
      <w:r>
        <w:t>Reading. In 2050 BU the market has three legs of similar size: Tirat Carmel ↔ Haifa (29 %), Haifa internal (22 %) and the Krayot reaching Haifa by feeder (22 %); the main route's own areas add 12 % to Haifa and a few percent among themselves. 38 % of the trips cross Hamifrats and 52 % stay between extension stations. Tirat Carmel ↔ Bat Galim is the single largest pair. The HS 2050 set reads differently — Haifa internal a third, Tirat Carmel a tenth — because the high scenario moves population and jobs into Haifa's TAZs and seeds trips into pairs empty today (caveat 29); the composition, not only the total, is scenario-dependent, which is one reason to plan on the BU reference.</w:t>
      </w:r>
    </w:p>
    <w:p>
      <w:pPr>
        <w:pStyle w:val="Heading2"/>
      </w:pPr>
      <w:r>
        <w:t>4.4 What happens to the Metronit</w:t>
      </w:r>
    </w:p>
    <w:p>
      <w:r>
        <w:t>The model keeps every bus and Metronit line as it runs today (the June 2026 timetable) in every scenario-year and adds the LRT as a new path. Nothing is cut. The 3,731 trips shown as moving from the Metronit in 2050 BU (33 % of the corridor Metronit trips) are travellers on pairs whose best transit path today is the Metronit and for whom the LRT path is cheaper in generalized cost: a faster ride on the trunk, a station nearer their ends, or both. They choose the LRT while the Metronit still runs beside it. The remaining 7,816 Metronit trips stay because their path is still the cheaper one.</w:t>
      </w:r>
    </w:p>
    <w:p>
      <w:r>
        <w:t>Four consequences for reading the numbers:</w:t>
      </w:r>
    </w:p>
    <w:p>
      <w:pPr>
        <w:pStyle w:val="ListBullet"/>
      </w:pPr>
      <w:r>
        <w:t>The LRT and the Metronit coexist in the model on the whole trunk from Hof HaCarmel to the Krayot. The LRT's riders are, for the most part, today's transit riders on a better vehicle: the transit market itself grows only by the car shift, a few hundred to about a thousand trips in three hours. The LRT replaces existing transit capacity on the trunk far more than it creates a market.</w:t>
      </w:r>
    </w:p>
    <w:p>
      <w:pPr>
        <w:pStyle w:val="ListBullet"/>
      </w:pPr>
      <w:r>
        <w:t>Part of the "Metronit" and "bus" shift is a change of technology for one leg of the trip, not a new transit trip: the LRT path may begin or end with a Metronit or bus feeder (penalty 4 / 8 minutes), and such a trip is counted as an LRT trip. The Krayot market (1,665 trips) is almost entirely of this kind: Metronit riders who transfer to the LRT at Hamifrats or on the trunk. A rider count for the LRT is therefore a boarding count, not a count of trips that exist only because of the LRT.</w:t>
      </w:r>
    </w:p>
    <w:p>
      <w:pPr>
        <w:pStyle w:val="ListBullet"/>
      </w:pPr>
      <w:r>
        <w:t>If the Metronit were reduced on the overlap after opening, the riders it keeps in the model (the pairs where it is still cheaper) would have to move to the LRT or to the bus: the LRT loads on the trunk would rise, bounded by the Metronit's corridor trips before the LRT (11,282 in 2050 BU AM). The reverse, a feeder reorganisation that brings Metronit lines to the LRT stations, would raise the LRT's access quality and its draw. Neither is modelled; the report's figures are for the coexistence case, which is the conservative one for the LRT.</w:t>
      </w:r>
    </w:p>
    <w:p>
      <w:pPr>
        <w:pStyle w:val="ListBullet"/>
      </w:pPr>
      <w:r>
        <w:t>Whether the LRT and the Metronit are intended to coexist on the trunk is a network-planning decision outside this study. It changes the LRT's loads by up to the Metronit's trunk volume, more than any demand uncertainty in this report, and it should be settled before the figures are used for capacity.</w:t>
      </w:r>
    </w:p>
    <w:p>
      <w:pPr>
        <w:pStyle w:val="Heading2"/>
      </w:pPr>
      <w:r>
        <w:t>4.5 Flow on the line — LRT, both directions</w:t>
      </w:r>
    </w:p>
    <w:p>
      <w:r>
        <w:t>Passengers on each segment of the line in the peak hour, by direction: towards Nazareth (S01 → S24 → M20) and towards Tirat Carmel (M20 → M01 → S01). The dashed line marks the junction of the extension (S24) with the main route (M01, the same station at Hamifrats). Source: lrt_line_loads.csv in each run folder (the LRT trips between the cheapest-access stations of each TAZ pair), scaled to the peak hour by the network bus factor of the direction.</w:t>
      </w:r>
    </w:p>
    <w:p>
      <w:pPr>
        <w:sectPr>
          <w:pgSz w:w="12240" w:h="15840"/>
          <w:pgMar w:top="1440" w:right="1134" w:bottom="1440" w:left="1134" w:header="720" w:footer="720" w:gutter="0"/>
          <w:cols w:space="720"/>
          <w:docGrid w:linePitch="360"/>
        </w:sectPr>
      </w:pPr>
    </w:p>
    <w:p>
      <w:r>
        <w:t>Every chart of this section uses the same vertical scale (1,400 passengers per peak hour), so the scenario-years can be compared by eye. One chart per scenario-year and period with both directions, then one chart per direction with the four forecast scenario-years side by side.</w:t>
      </w:r>
    </w:p>
    <w:p>
      <w:r>
        <w:drawing>
          <wp:inline xmlns:a="http://schemas.openxmlformats.org/drawingml/2006/main" xmlns:pic="http://schemas.openxmlformats.org/drawingml/2006/picture">
            <wp:extent cx="9000000" cy="2907692"/>
            <wp:docPr id="15" name="Picture 15"/>
            <wp:cNvGraphicFramePr>
              <a:graphicFrameLocks noChangeAspect="1"/>
            </wp:cNvGraphicFramePr>
            <a:graphic>
              <a:graphicData uri="http://schemas.openxmlformats.org/drawingml/2006/picture">
                <pic:pic>
                  <pic:nvPicPr>
                    <pic:cNvPr id="0" name="flow_lrt_AM_2022.png"/>
                    <pic:cNvPicPr/>
                  </pic:nvPicPr>
                  <pic:blipFill>
                    <a:blip r:embed="rId23"/>
                    <a:stretch>
                      <a:fillRect/>
                    </a:stretch>
                  </pic:blipFill>
                  <pic:spPr>
                    <a:xfrm>
                      <a:off x="0" y="0"/>
                      <a:ext cx="9000000" cy="2907692"/>
                    </a:xfrm>
                    <a:prstGeom prst="rect"/>
                  </pic:spPr>
                </pic:pic>
              </a:graphicData>
            </a:graphic>
          </wp:inline>
        </w:drawing>
      </w:r>
    </w:p>
    <w:p>
      <w:r>
        <w:rPr>
          <w:i/>
          <w:sz w:val="16"/>
        </w:rPr>
        <w:t>Figure 4.3 — LRT flow by segment and direction, 2022, AM peak hour.</w:t>
      </w:r>
    </w:p>
    <w:p>
      <w:r>
        <w:drawing>
          <wp:inline xmlns:a="http://schemas.openxmlformats.org/drawingml/2006/main" xmlns:pic="http://schemas.openxmlformats.org/drawingml/2006/picture">
            <wp:extent cx="9000000" cy="2907692"/>
            <wp:docPr id="16" name="Picture 16"/>
            <wp:cNvGraphicFramePr>
              <a:graphicFrameLocks noChangeAspect="1"/>
            </wp:cNvGraphicFramePr>
            <a:graphic>
              <a:graphicData uri="http://schemas.openxmlformats.org/drawingml/2006/picture">
                <pic:pic>
                  <pic:nvPicPr>
                    <pic:cNvPr id="0" name="flow_lrt_AM_BU_2040.png"/>
                    <pic:cNvPicPr/>
                  </pic:nvPicPr>
                  <pic:blipFill>
                    <a:blip r:embed="rId24"/>
                    <a:stretch>
                      <a:fillRect/>
                    </a:stretch>
                  </pic:blipFill>
                  <pic:spPr>
                    <a:xfrm>
                      <a:off x="0" y="0"/>
                      <a:ext cx="9000000" cy="2907692"/>
                    </a:xfrm>
                    <a:prstGeom prst="rect"/>
                  </pic:spPr>
                </pic:pic>
              </a:graphicData>
            </a:graphic>
          </wp:inline>
        </w:drawing>
      </w:r>
    </w:p>
    <w:p>
      <w:r>
        <w:rPr>
          <w:i/>
          <w:sz w:val="16"/>
        </w:rPr>
        <w:t>Figure 4.4 — LRT flow by segment and direction, 2040 BU, AM peak hour.</w:t>
      </w:r>
    </w:p>
    <w:p>
      <w:r>
        <w:drawing>
          <wp:inline xmlns:a="http://schemas.openxmlformats.org/drawingml/2006/main" xmlns:pic="http://schemas.openxmlformats.org/drawingml/2006/picture">
            <wp:extent cx="9000000" cy="2907692"/>
            <wp:docPr id="17" name="Picture 17"/>
            <wp:cNvGraphicFramePr>
              <a:graphicFrameLocks noChangeAspect="1"/>
            </wp:cNvGraphicFramePr>
            <a:graphic>
              <a:graphicData uri="http://schemas.openxmlformats.org/drawingml/2006/picture">
                <pic:pic>
                  <pic:nvPicPr>
                    <pic:cNvPr id="0" name="flow_lrt_AM_BU_2050.png"/>
                    <pic:cNvPicPr/>
                  </pic:nvPicPr>
                  <pic:blipFill>
                    <a:blip r:embed="rId25"/>
                    <a:stretch>
                      <a:fillRect/>
                    </a:stretch>
                  </pic:blipFill>
                  <pic:spPr>
                    <a:xfrm>
                      <a:off x="0" y="0"/>
                      <a:ext cx="9000000" cy="2907692"/>
                    </a:xfrm>
                    <a:prstGeom prst="rect"/>
                  </pic:spPr>
                </pic:pic>
              </a:graphicData>
            </a:graphic>
          </wp:inline>
        </w:drawing>
      </w:r>
    </w:p>
    <w:p>
      <w:r>
        <w:rPr>
          <w:i/>
          <w:sz w:val="16"/>
        </w:rPr>
        <w:t>Figure 4.5 — LRT flow by segment and direction, 2050 BU, AM peak hour.</w:t>
      </w:r>
    </w:p>
    <w:p>
      <w:r>
        <w:drawing>
          <wp:inline xmlns:a="http://schemas.openxmlformats.org/drawingml/2006/main" xmlns:pic="http://schemas.openxmlformats.org/drawingml/2006/picture">
            <wp:extent cx="9000000" cy="2907692"/>
            <wp:docPr id="18" name="Picture 18"/>
            <wp:cNvGraphicFramePr>
              <a:graphicFrameLocks noChangeAspect="1"/>
            </wp:cNvGraphicFramePr>
            <a:graphic>
              <a:graphicData uri="http://schemas.openxmlformats.org/drawingml/2006/picture">
                <pic:pic>
                  <pic:nvPicPr>
                    <pic:cNvPr id="0" name="flow_lrt_AM_HS_2040.png"/>
                    <pic:cNvPicPr/>
                  </pic:nvPicPr>
                  <pic:blipFill>
                    <a:blip r:embed="rId26"/>
                    <a:stretch>
                      <a:fillRect/>
                    </a:stretch>
                  </pic:blipFill>
                  <pic:spPr>
                    <a:xfrm>
                      <a:off x="0" y="0"/>
                      <a:ext cx="9000000" cy="2907692"/>
                    </a:xfrm>
                    <a:prstGeom prst="rect"/>
                  </pic:spPr>
                </pic:pic>
              </a:graphicData>
            </a:graphic>
          </wp:inline>
        </w:drawing>
      </w:r>
    </w:p>
    <w:p>
      <w:r>
        <w:rPr>
          <w:i/>
          <w:sz w:val="16"/>
        </w:rPr>
        <w:t>Figure 4.6 — LRT flow by segment and direction, 2040 HS, AM peak hour.</w:t>
      </w:r>
    </w:p>
    <w:p>
      <w:r>
        <w:drawing>
          <wp:inline xmlns:a="http://schemas.openxmlformats.org/drawingml/2006/main" xmlns:pic="http://schemas.openxmlformats.org/drawingml/2006/picture">
            <wp:extent cx="9000000" cy="2907692"/>
            <wp:docPr id="19" name="Picture 19"/>
            <wp:cNvGraphicFramePr>
              <a:graphicFrameLocks noChangeAspect="1"/>
            </wp:cNvGraphicFramePr>
            <a:graphic>
              <a:graphicData uri="http://schemas.openxmlformats.org/drawingml/2006/picture">
                <pic:pic>
                  <pic:nvPicPr>
                    <pic:cNvPr id="0" name="flow_lrt_AM_HS_2050.png"/>
                    <pic:cNvPicPr/>
                  </pic:nvPicPr>
                  <pic:blipFill>
                    <a:blip r:embed="rId27"/>
                    <a:stretch>
                      <a:fillRect/>
                    </a:stretch>
                  </pic:blipFill>
                  <pic:spPr>
                    <a:xfrm>
                      <a:off x="0" y="0"/>
                      <a:ext cx="9000000" cy="2907692"/>
                    </a:xfrm>
                    <a:prstGeom prst="rect"/>
                  </pic:spPr>
                </pic:pic>
              </a:graphicData>
            </a:graphic>
          </wp:inline>
        </w:drawing>
      </w:r>
    </w:p>
    <w:p>
      <w:r>
        <w:rPr>
          <w:i/>
          <w:sz w:val="16"/>
        </w:rPr>
        <w:t>Figure 4.7 — LRT flow by segment and direction, 2050 HS, AM peak hour.</w:t>
      </w:r>
    </w:p>
    <w:p>
      <w:r>
        <w:drawing>
          <wp:inline xmlns:a="http://schemas.openxmlformats.org/drawingml/2006/main" xmlns:pic="http://schemas.openxmlformats.org/drawingml/2006/picture">
            <wp:extent cx="9000000" cy="2907692"/>
            <wp:docPr id="20" name="Picture 20"/>
            <wp:cNvGraphicFramePr>
              <a:graphicFrameLocks noChangeAspect="1"/>
            </wp:cNvGraphicFramePr>
            <a:graphic>
              <a:graphicData uri="http://schemas.openxmlformats.org/drawingml/2006/picture">
                <pic:pic>
                  <pic:nvPicPr>
                    <pic:cNvPr id="0" name="flow_lrt_AM_scenarios_dir1.png"/>
                    <pic:cNvPicPr/>
                  </pic:nvPicPr>
                  <pic:blipFill>
                    <a:blip r:embed="rId28"/>
                    <a:stretch>
                      <a:fillRect/>
                    </a:stretch>
                  </pic:blipFill>
                  <pic:spPr>
                    <a:xfrm>
                      <a:off x="0" y="0"/>
                      <a:ext cx="9000000" cy="2907692"/>
                    </a:xfrm>
                    <a:prstGeom prst="rect"/>
                  </pic:spPr>
                </pic:pic>
              </a:graphicData>
            </a:graphic>
          </wp:inline>
        </w:drawing>
      </w:r>
    </w:p>
    <w:p>
      <w:r>
        <w:rPr>
          <w:i/>
          <w:sz w:val="16"/>
        </w:rPr>
        <w:t>Figure 4.8 — LRT flow by segment, towards Nazareth (S01 → M20), the four scenario-years, AM peak hour.</w:t>
      </w:r>
    </w:p>
    <w:p>
      <w:r>
        <w:drawing>
          <wp:inline xmlns:a="http://schemas.openxmlformats.org/drawingml/2006/main" xmlns:pic="http://schemas.openxmlformats.org/drawingml/2006/picture">
            <wp:extent cx="9000000" cy="2907692"/>
            <wp:docPr id="21" name="Picture 21"/>
            <wp:cNvGraphicFramePr>
              <a:graphicFrameLocks noChangeAspect="1"/>
            </wp:cNvGraphicFramePr>
            <a:graphic>
              <a:graphicData uri="http://schemas.openxmlformats.org/drawingml/2006/picture">
                <pic:pic>
                  <pic:nvPicPr>
                    <pic:cNvPr id="0" name="flow_lrt_AM_scenarios_dir2.png"/>
                    <pic:cNvPicPr/>
                  </pic:nvPicPr>
                  <pic:blipFill>
                    <a:blip r:embed="rId29"/>
                    <a:stretch>
                      <a:fillRect/>
                    </a:stretch>
                  </pic:blipFill>
                  <pic:spPr>
                    <a:xfrm>
                      <a:off x="0" y="0"/>
                      <a:ext cx="9000000" cy="2907692"/>
                    </a:xfrm>
                    <a:prstGeom prst="rect"/>
                  </pic:spPr>
                </pic:pic>
              </a:graphicData>
            </a:graphic>
          </wp:inline>
        </w:drawing>
      </w:r>
    </w:p>
    <w:p>
      <w:r>
        <w:rPr>
          <w:i/>
          <w:sz w:val="16"/>
        </w:rPr>
        <w:t>Figure 4.9 — LRT flow by segment, towards Tirat Carmel (M20 → S01), the four scenario-years, AM peak hour.</w:t>
      </w:r>
    </w:p>
    <w:p>
      <w:r>
        <w:drawing>
          <wp:inline xmlns:a="http://schemas.openxmlformats.org/drawingml/2006/main" xmlns:pic="http://schemas.openxmlformats.org/drawingml/2006/picture">
            <wp:extent cx="9000000" cy="2907692"/>
            <wp:docPr id="22" name="Picture 22"/>
            <wp:cNvGraphicFramePr>
              <a:graphicFrameLocks noChangeAspect="1"/>
            </wp:cNvGraphicFramePr>
            <a:graphic>
              <a:graphicData uri="http://schemas.openxmlformats.org/drawingml/2006/picture">
                <pic:pic>
                  <pic:nvPicPr>
                    <pic:cNvPr id="0" name="flow_lrt_PM_2022.png"/>
                    <pic:cNvPicPr/>
                  </pic:nvPicPr>
                  <pic:blipFill>
                    <a:blip r:embed="rId30"/>
                    <a:stretch>
                      <a:fillRect/>
                    </a:stretch>
                  </pic:blipFill>
                  <pic:spPr>
                    <a:xfrm>
                      <a:off x="0" y="0"/>
                      <a:ext cx="9000000" cy="2907692"/>
                    </a:xfrm>
                    <a:prstGeom prst="rect"/>
                  </pic:spPr>
                </pic:pic>
              </a:graphicData>
            </a:graphic>
          </wp:inline>
        </w:drawing>
      </w:r>
    </w:p>
    <w:p>
      <w:r>
        <w:rPr>
          <w:i/>
          <w:sz w:val="16"/>
        </w:rPr>
        <w:t>Figure 4.10 — LRT flow by segment and direction, 2022, PM peak hour.</w:t>
      </w:r>
    </w:p>
    <w:p>
      <w:r>
        <w:drawing>
          <wp:inline xmlns:a="http://schemas.openxmlformats.org/drawingml/2006/main" xmlns:pic="http://schemas.openxmlformats.org/drawingml/2006/picture">
            <wp:extent cx="9000000" cy="2907692"/>
            <wp:docPr id="23" name="Picture 23"/>
            <wp:cNvGraphicFramePr>
              <a:graphicFrameLocks noChangeAspect="1"/>
            </wp:cNvGraphicFramePr>
            <a:graphic>
              <a:graphicData uri="http://schemas.openxmlformats.org/drawingml/2006/picture">
                <pic:pic>
                  <pic:nvPicPr>
                    <pic:cNvPr id="0" name="flow_lrt_PM_BU_2040.png"/>
                    <pic:cNvPicPr/>
                  </pic:nvPicPr>
                  <pic:blipFill>
                    <a:blip r:embed="rId31"/>
                    <a:stretch>
                      <a:fillRect/>
                    </a:stretch>
                  </pic:blipFill>
                  <pic:spPr>
                    <a:xfrm>
                      <a:off x="0" y="0"/>
                      <a:ext cx="9000000" cy="2907692"/>
                    </a:xfrm>
                    <a:prstGeom prst="rect"/>
                  </pic:spPr>
                </pic:pic>
              </a:graphicData>
            </a:graphic>
          </wp:inline>
        </w:drawing>
      </w:r>
    </w:p>
    <w:p>
      <w:r>
        <w:rPr>
          <w:i/>
          <w:sz w:val="16"/>
        </w:rPr>
        <w:t>Figure 4.11 — LRT flow by segment and direction, 2040 BU, PM peak hour.</w:t>
      </w:r>
    </w:p>
    <w:p>
      <w:r>
        <w:drawing>
          <wp:inline xmlns:a="http://schemas.openxmlformats.org/drawingml/2006/main" xmlns:pic="http://schemas.openxmlformats.org/drawingml/2006/picture">
            <wp:extent cx="9000000" cy="2907692"/>
            <wp:docPr id="24" name="Picture 24"/>
            <wp:cNvGraphicFramePr>
              <a:graphicFrameLocks noChangeAspect="1"/>
            </wp:cNvGraphicFramePr>
            <a:graphic>
              <a:graphicData uri="http://schemas.openxmlformats.org/drawingml/2006/picture">
                <pic:pic>
                  <pic:nvPicPr>
                    <pic:cNvPr id="0" name="flow_lrt_PM_BU_2050.png"/>
                    <pic:cNvPicPr/>
                  </pic:nvPicPr>
                  <pic:blipFill>
                    <a:blip r:embed="rId32"/>
                    <a:stretch>
                      <a:fillRect/>
                    </a:stretch>
                  </pic:blipFill>
                  <pic:spPr>
                    <a:xfrm>
                      <a:off x="0" y="0"/>
                      <a:ext cx="9000000" cy="2907692"/>
                    </a:xfrm>
                    <a:prstGeom prst="rect"/>
                  </pic:spPr>
                </pic:pic>
              </a:graphicData>
            </a:graphic>
          </wp:inline>
        </w:drawing>
      </w:r>
    </w:p>
    <w:p>
      <w:r>
        <w:rPr>
          <w:i/>
          <w:sz w:val="16"/>
        </w:rPr>
        <w:t>Figure 4.12 — LRT flow by segment and direction, 2050 BU, PM peak hour.</w:t>
      </w:r>
    </w:p>
    <w:p>
      <w:r>
        <w:drawing>
          <wp:inline xmlns:a="http://schemas.openxmlformats.org/drawingml/2006/main" xmlns:pic="http://schemas.openxmlformats.org/drawingml/2006/picture">
            <wp:extent cx="9000000" cy="2907692"/>
            <wp:docPr id="25" name="Picture 25"/>
            <wp:cNvGraphicFramePr>
              <a:graphicFrameLocks noChangeAspect="1"/>
            </wp:cNvGraphicFramePr>
            <a:graphic>
              <a:graphicData uri="http://schemas.openxmlformats.org/drawingml/2006/picture">
                <pic:pic>
                  <pic:nvPicPr>
                    <pic:cNvPr id="0" name="flow_lrt_PM_HS_2040.png"/>
                    <pic:cNvPicPr/>
                  </pic:nvPicPr>
                  <pic:blipFill>
                    <a:blip r:embed="rId33"/>
                    <a:stretch>
                      <a:fillRect/>
                    </a:stretch>
                  </pic:blipFill>
                  <pic:spPr>
                    <a:xfrm>
                      <a:off x="0" y="0"/>
                      <a:ext cx="9000000" cy="2907692"/>
                    </a:xfrm>
                    <a:prstGeom prst="rect"/>
                  </pic:spPr>
                </pic:pic>
              </a:graphicData>
            </a:graphic>
          </wp:inline>
        </w:drawing>
      </w:r>
    </w:p>
    <w:p>
      <w:r>
        <w:rPr>
          <w:i/>
          <w:sz w:val="16"/>
        </w:rPr>
        <w:t>Figure 4.13 — LRT flow by segment and direction, 2040 HS, PM peak hour.</w:t>
      </w:r>
    </w:p>
    <w:p>
      <w:r>
        <w:drawing>
          <wp:inline xmlns:a="http://schemas.openxmlformats.org/drawingml/2006/main" xmlns:pic="http://schemas.openxmlformats.org/drawingml/2006/picture">
            <wp:extent cx="9000000" cy="2907692"/>
            <wp:docPr id="26" name="Picture 26"/>
            <wp:cNvGraphicFramePr>
              <a:graphicFrameLocks noChangeAspect="1"/>
            </wp:cNvGraphicFramePr>
            <a:graphic>
              <a:graphicData uri="http://schemas.openxmlformats.org/drawingml/2006/picture">
                <pic:pic>
                  <pic:nvPicPr>
                    <pic:cNvPr id="0" name="flow_lrt_PM_HS_2050.png"/>
                    <pic:cNvPicPr/>
                  </pic:nvPicPr>
                  <pic:blipFill>
                    <a:blip r:embed="rId34"/>
                    <a:stretch>
                      <a:fillRect/>
                    </a:stretch>
                  </pic:blipFill>
                  <pic:spPr>
                    <a:xfrm>
                      <a:off x="0" y="0"/>
                      <a:ext cx="9000000" cy="2907692"/>
                    </a:xfrm>
                    <a:prstGeom prst="rect"/>
                  </pic:spPr>
                </pic:pic>
              </a:graphicData>
            </a:graphic>
          </wp:inline>
        </w:drawing>
      </w:r>
    </w:p>
    <w:p>
      <w:r>
        <w:rPr>
          <w:i/>
          <w:sz w:val="16"/>
        </w:rPr>
        <w:t>Figure 4.14 — LRT flow by segment and direction, 2050 HS, PM peak hour.</w:t>
      </w:r>
    </w:p>
    <w:p>
      <w:r>
        <w:drawing>
          <wp:inline xmlns:a="http://schemas.openxmlformats.org/drawingml/2006/main" xmlns:pic="http://schemas.openxmlformats.org/drawingml/2006/picture">
            <wp:extent cx="9000000" cy="2907692"/>
            <wp:docPr id="27" name="Picture 27"/>
            <wp:cNvGraphicFramePr>
              <a:graphicFrameLocks noChangeAspect="1"/>
            </wp:cNvGraphicFramePr>
            <a:graphic>
              <a:graphicData uri="http://schemas.openxmlformats.org/drawingml/2006/picture">
                <pic:pic>
                  <pic:nvPicPr>
                    <pic:cNvPr id="0" name="flow_lrt_PM_scenarios_dir1.png"/>
                    <pic:cNvPicPr/>
                  </pic:nvPicPr>
                  <pic:blipFill>
                    <a:blip r:embed="rId35"/>
                    <a:stretch>
                      <a:fillRect/>
                    </a:stretch>
                  </pic:blipFill>
                  <pic:spPr>
                    <a:xfrm>
                      <a:off x="0" y="0"/>
                      <a:ext cx="9000000" cy="2907692"/>
                    </a:xfrm>
                    <a:prstGeom prst="rect"/>
                  </pic:spPr>
                </pic:pic>
              </a:graphicData>
            </a:graphic>
          </wp:inline>
        </w:drawing>
      </w:r>
    </w:p>
    <w:p>
      <w:r>
        <w:rPr>
          <w:i/>
          <w:sz w:val="16"/>
        </w:rPr>
        <w:t>Figure 4.15 — LRT flow by segment, towards Nazareth (S01 → M20), the four scenario-years, PM peak hour.</w:t>
      </w:r>
    </w:p>
    <w:p>
      <w:r>
        <w:drawing>
          <wp:inline xmlns:a="http://schemas.openxmlformats.org/drawingml/2006/main" xmlns:pic="http://schemas.openxmlformats.org/drawingml/2006/picture">
            <wp:extent cx="9000000" cy="2907692"/>
            <wp:docPr id="28" name="Picture 28"/>
            <wp:cNvGraphicFramePr>
              <a:graphicFrameLocks noChangeAspect="1"/>
            </wp:cNvGraphicFramePr>
            <a:graphic>
              <a:graphicData uri="http://schemas.openxmlformats.org/drawingml/2006/picture">
                <pic:pic>
                  <pic:nvPicPr>
                    <pic:cNvPr id="0" name="flow_lrt_PM_scenarios_dir2.png"/>
                    <pic:cNvPicPr/>
                  </pic:nvPicPr>
                  <pic:blipFill>
                    <a:blip r:embed="rId36"/>
                    <a:stretch>
                      <a:fillRect/>
                    </a:stretch>
                  </pic:blipFill>
                  <pic:spPr>
                    <a:xfrm>
                      <a:off x="0" y="0"/>
                      <a:ext cx="9000000" cy="2907692"/>
                    </a:xfrm>
                    <a:prstGeom prst="rect"/>
                  </pic:spPr>
                </pic:pic>
              </a:graphicData>
            </a:graphic>
          </wp:inline>
        </w:drawing>
      </w:r>
    </w:p>
    <w:p>
      <w:r>
        <w:rPr>
          <w:i/>
          <w:sz w:val="16"/>
        </w:rPr>
        <w:t>Figure 4.16 — LRT flow by segment, towards Tirat Carmel (M20 → S01), the four scenario-years, PM peak hour.</w:t>
      </w:r>
    </w:p>
    <w:p>
      <w:r>
        <w:t>The same flows between the corridor areas along the line: each bar is the load on the segment that crosses from one area to the next (Tirat Carmel → Matam-Neot Peres … Hamovil → Nazareth), in the peak hour, one vertical scale (1,400) for every area chart of the section. Source: {kind}_area_link_loads_peak_hour.csv in each run folder.</w:t>
      </w:r>
    </w:p>
    <w:p>
      <w:r>
        <w:drawing>
          <wp:inline xmlns:a="http://schemas.openxmlformats.org/drawingml/2006/main" xmlns:pic="http://schemas.openxmlformats.org/drawingml/2006/picture">
            <wp:extent cx="9000000" cy="3184615"/>
            <wp:docPr id="29" name="Picture 29"/>
            <wp:cNvGraphicFramePr>
              <a:graphicFrameLocks noChangeAspect="1"/>
            </wp:cNvGraphicFramePr>
            <a:graphic>
              <a:graphicData uri="http://schemas.openxmlformats.org/drawingml/2006/picture">
                <pic:pic>
                  <pic:nvPicPr>
                    <pic:cNvPr id="0" name="areaflow_lrt_AM_2022.png"/>
                    <pic:cNvPicPr/>
                  </pic:nvPicPr>
                  <pic:blipFill>
                    <a:blip r:embed="rId37"/>
                    <a:stretch>
                      <a:fillRect/>
                    </a:stretch>
                  </pic:blipFill>
                  <pic:spPr>
                    <a:xfrm>
                      <a:off x="0" y="0"/>
                      <a:ext cx="9000000" cy="3184615"/>
                    </a:xfrm>
                    <a:prstGeom prst="rect"/>
                  </pic:spPr>
                </pic:pic>
              </a:graphicData>
            </a:graphic>
          </wp:inline>
        </w:drawing>
      </w:r>
    </w:p>
    <w:p>
      <w:r>
        <w:rPr>
          <w:i/>
          <w:sz w:val="16"/>
        </w:rPr>
        <w:t>Figure 4.17 — LRT flow between corridor areas, 2022, AM peak hour.</w:t>
      </w:r>
    </w:p>
    <w:p>
      <w:r>
        <w:drawing>
          <wp:inline xmlns:a="http://schemas.openxmlformats.org/drawingml/2006/main" xmlns:pic="http://schemas.openxmlformats.org/drawingml/2006/picture">
            <wp:extent cx="9000000" cy="3184615"/>
            <wp:docPr id="30" name="Picture 30"/>
            <wp:cNvGraphicFramePr>
              <a:graphicFrameLocks noChangeAspect="1"/>
            </wp:cNvGraphicFramePr>
            <a:graphic>
              <a:graphicData uri="http://schemas.openxmlformats.org/drawingml/2006/picture">
                <pic:pic>
                  <pic:nvPicPr>
                    <pic:cNvPr id="0" name="areaflow_lrt_AM_BU_2040.png"/>
                    <pic:cNvPicPr/>
                  </pic:nvPicPr>
                  <pic:blipFill>
                    <a:blip r:embed="rId38"/>
                    <a:stretch>
                      <a:fillRect/>
                    </a:stretch>
                  </pic:blipFill>
                  <pic:spPr>
                    <a:xfrm>
                      <a:off x="0" y="0"/>
                      <a:ext cx="9000000" cy="3184615"/>
                    </a:xfrm>
                    <a:prstGeom prst="rect"/>
                  </pic:spPr>
                </pic:pic>
              </a:graphicData>
            </a:graphic>
          </wp:inline>
        </w:drawing>
      </w:r>
    </w:p>
    <w:p>
      <w:r>
        <w:rPr>
          <w:i/>
          <w:sz w:val="16"/>
        </w:rPr>
        <w:t>Figure 4.18 — LRT flow between corridor areas, 2040 BU, AM peak hour.</w:t>
      </w:r>
    </w:p>
    <w:p>
      <w:r>
        <w:drawing>
          <wp:inline xmlns:a="http://schemas.openxmlformats.org/drawingml/2006/main" xmlns:pic="http://schemas.openxmlformats.org/drawingml/2006/picture">
            <wp:extent cx="9000000" cy="3184615"/>
            <wp:docPr id="31" name="Picture 31"/>
            <wp:cNvGraphicFramePr>
              <a:graphicFrameLocks noChangeAspect="1"/>
            </wp:cNvGraphicFramePr>
            <a:graphic>
              <a:graphicData uri="http://schemas.openxmlformats.org/drawingml/2006/picture">
                <pic:pic>
                  <pic:nvPicPr>
                    <pic:cNvPr id="0" name="areaflow_lrt_AM_BU_2050.png"/>
                    <pic:cNvPicPr/>
                  </pic:nvPicPr>
                  <pic:blipFill>
                    <a:blip r:embed="rId39"/>
                    <a:stretch>
                      <a:fillRect/>
                    </a:stretch>
                  </pic:blipFill>
                  <pic:spPr>
                    <a:xfrm>
                      <a:off x="0" y="0"/>
                      <a:ext cx="9000000" cy="3184615"/>
                    </a:xfrm>
                    <a:prstGeom prst="rect"/>
                  </pic:spPr>
                </pic:pic>
              </a:graphicData>
            </a:graphic>
          </wp:inline>
        </w:drawing>
      </w:r>
    </w:p>
    <w:p>
      <w:r>
        <w:rPr>
          <w:i/>
          <w:sz w:val="16"/>
        </w:rPr>
        <w:t>Figure 4.19 — LRT flow between corridor areas, 2050 BU, AM peak hour.</w:t>
      </w:r>
    </w:p>
    <w:p>
      <w:r>
        <w:drawing>
          <wp:inline xmlns:a="http://schemas.openxmlformats.org/drawingml/2006/main" xmlns:pic="http://schemas.openxmlformats.org/drawingml/2006/picture">
            <wp:extent cx="9000000" cy="3184615"/>
            <wp:docPr id="32" name="Picture 32"/>
            <wp:cNvGraphicFramePr>
              <a:graphicFrameLocks noChangeAspect="1"/>
            </wp:cNvGraphicFramePr>
            <a:graphic>
              <a:graphicData uri="http://schemas.openxmlformats.org/drawingml/2006/picture">
                <pic:pic>
                  <pic:nvPicPr>
                    <pic:cNvPr id="0" name="areaflow_lrt_AM_HS_2040.png"/>
                    <pic:cNvPicPr/>
                  </pic:nvPicPr>
                  <pic:blipFill>
                    <a:blip r:embed="rId40"/>
                    <a:stretch>
                      <a:fillRect/>
                    </a:stretch>
                  </pic:blipFill>
                  <pic:spPr>
                    <a:xfrm>
                      <a:off x="0" y="0"/>
                      <a:ext cx="9000000" cy="3184615"/>
                    </a:xfrm>
                    <a:prstGeom prst="rect"/>
                  </pic:spPr>
                </pic:pic>
              </a:graphicData>
            </a:graphic>
          </wp:inline>
        </w:drawing>
      </w:r>
    </w:p>
    <w:p>
      <w:r>
        <w:rPr>
          <w:i/>
          <w:sz w:val="16"/>
        </w:rPr>
        <w:t>Figure 4.20 — LRT flow between corridor areas, 2040 HS, AM peak hour.</w:t>
      </w:r>
    </w:p>
    <w:p>
      <w:r>
        <w:drawing>
          <wp:inline xmlns:a="http://schemas.openxmlformats.org/drawingml/2006/main" xmlns:pic="http://schemas.openxmlformats.org/drawingml/2006/picture">
            <wp:extent cx="9000000" cy="3184615"/>
            <wp:docPr id="33" name="Picture 33"/>
            <wp:cNvGraphicFramePr>
              <a:graphicFrameLocks noChangeAspect="1"/>
            </wp:cNvGraphicFramePr>
            <a:graphic>
              <a:graphicData uri="http://schemas.openxmlformats.org/drawingml/2006/picture">
                <pic:pic>
                  <pic:nvPicPr>
                    <pic:cNvPr id="0" name="areaflow_lrt_AM_HS_2050.png"/>
                    <pic:cNvPicPr/>
                  </pic:nvPicPr>
                  <pic:blipFill>
                    <a:blip r:embed="rId41"/>
                    <a:stretch>
                      <a:fillRect/>
                    </a:stretch>
                  </pic:blipFill>
                  <pic:spPr>
                    <a:xfrm>
                      <a:off x="0" y="0"/>
                      <a:ext cx="9000000" cy="3184615"/>
                    </a:xfrm>
                    <a:prstGeom prst="rect"/>
                  </pic:spPr>
                </pic:pic>
              </a:graphicData>
            </a:graphic>
          </wp:inline>
        </w:drawing>
      </w:r>
    </w:p>
    <w:p>
      <w:r>
        <w:rPr>
          <w:i/>
          <w:sz w:val="16"/>
        </w:rPr>
        <w:t>Figure 4.21 — LRT flow between corridor areas, 2050 HS, AM peak hour.</w:t>
      </w:r>
    </w:p>
    <w:p>
      <w:r>
        <w:drawing>
          <wp:inline xmlns:a="http://schemas.openxmlformats.org/drawingml/2006/main" xmlns:pic="http://schemas.openxmlformats.org/drawingml/2006/picture">
            <wp:extent cx="9000000" cy="3184615"/>
            <wp:docPr id="34" name="Picture 34"/>
            <wp:cNvGraphicFramePr>
              <a:graphicFrameLocks noChangeAspect="1"/>
            </wp:cNvGraphicFramePr>
            <a:graphic>
              <a:graphicData uri="http://schemas.openxmlformats.org/drawingml/2006/picture">
                <pic:pic>
                  <pic:nvPicPr>
                    <pic:cNvPr id="0" name="areaflow_lrt_AM_scenarios_dir1.png"/>
                    <pic:cNvPicPr/>
                  </pic:nvPicPr>
                  <pic:blipFill>
                    <a:blip r:embed="rId42"/>
                    <a:stretch>
                      <a:fillRect/>
                    </a:stretch>
                  </pic:blipFill>
                  <pic:spPr>
                    <a:xfrm>
                      <a:off x="0" y="0"/>
                      <a:ext cx="9000000" cy="3184615"/>
                    </a:xfrm>
                    <a:prstGeom prst="rect"/>
                  </pic:spPr>
                </pic:pic>
              </a:graphicData>
            </a:graphic>
          </wp:inline>
        </w:drawing>
      </w:r>
    </w:p>
    <w:p>
      <w:r>
        <w:rPr>
          <w:i/>
          <w:sz w:val="16"/>
        </w:rPr>
        <w:t>Figure 4.22 — LRT flow between corridor areas, towards Nazareth (S01 → M20), the four scenario-years, AM peak hour.</w:t>
      </w:r>
    </w:p>
    <w:p>
      <w:r>
        <w:drawing>
          <wp:inline xmlns:a="http://schemas.openxmlformats.org/drawingml/2006/main" xmlns:pic="http://schemas.openxmlformats.org/drawingml/2006/picture">
            <wp:extent cx="9000000" cy="3184615"/>
            <wp:docPr id="35" name="Picture 35"/>
            <wp:cNvGraphicFramePr>
              <a:graphicFrameLocks noChangeAspect="1"/>
            </wp:cNvGraphicFramePr>
            <a:graphic>
              <a:graphicData uri="http://schemas.openxmlformats.org/drawingml/2006/picture">
                <pic:pic>
                  <pic:nvPicPr>
                    <pic:cNvPr id="0" name="areaflow_lrt_AM_scenarios_dir2.png"/>
                    <pic:cNvPicPr/>
                  </pic:nvPicPr>
                  <pic:blipFill>
                    <a:blip r:embed="rId43"/>
                    <a:stretch>
                      <a:fillRect/>
                    </a:stretch>
                  </pic:blipFill>
                  <pic:spPr>
                    <a:xfrm>
                      <a:off x="0" y="0"/>
                      <a:ext cx="9000000" cy="3184615"/>
                    </a:xfrm>
                    <a:prstGeom prst="rect"/>
                  </pic:spPr>
                </pic:pic>
              </a:graphicData>
            </a:graphic>
          </wp:inline>
        </w:drawing>
      </w:r>
    </w:p>
    <w:p>
      <w:r>
        <w:rPr>
          <w:i/>
          <w:sz w:val="16"/>
        </w:rPr>
        <w:t>Figure 4.23 — LRT flow between corridor areas, towards Tirat Carmel (M20 → S01), the four scenario-years, AM peak hour.</w:t>
      </w:r>
    </w:p>
    <w:p>
      <w:r>
        <w:drawing>
          <wp:inline xmlns:a="http://schemas.openxmlformats.org/drawingml/2006/main" xmlns:pic="http://schemas.openxmlformats.org/drawingml/2006/picture">
            <wp:extent cx="9000000" cy="3184615"/>
            <wp:docPr id="36" name="Picture 36"/>
            <wp:cNvGraphicFramePr>
              <a:graphicFrameLocks noChangeAspect="1"/>
            </wp:cNvGraphicFramePr>
            <a:graphic>
              <a:graphicData uri="http://schemas.openxmlformats.org/drawingml/2006/picture">
                <pic:pic>
                  <pic:nvPicPr>
                    <pic:cNvPr id="0" name="areaflow_lrt_PM_2022.png"/>
                    <pic:cNvPicPr/>
                  </pic:nvPicPr>
                  <pic:blipFill>
                    <a:blip r:embed="rId44"/>
                    <a:stretch>
                      <a:fillRect/>
                    </a:stretch>
                  </pic:blipFill>
                  <pic:spPr>
                    <a:xfrm>
                      <a:off x="0" y="0"/>
                      <a:ext cx="9000000" cy="3184615"/>
                    </a:xfrm>
                    <a:prstGeom prst="rect"/>
                  </pic:spPr>
                </pic:pic>
              </a:graphicData>
            </a:graphic>
          </wp:inline>
        </w:drawing>
      </w:r>
    </w:p>
    <w:p>
      <w:r>
        <w:rPr>
          <w:i/>
          <w:sz w:val="16"/>
        </w:rPr>
        <w:t>Figure 4.24 — LRT flow between corridor areas, 2022, PM peak hour.</w:t>
      </w:r>
    </w:p>
    <w:p>
      <w:r>
        <w:drawing>
          <wp:inline xmlns:a="http://schemas.openxmlformats.org/drawingml/2006/main" xmlns:pic="http://schemas.openxmlformats.org/drawingml/2006/picture">
            <wp:extent cx="9000000" cy="3184615"/>
            <wp:docPr id="37" name="Picture 37"/>
            <wp:cNvGraphicFramePr>
              <a:graphicFrameLocks noChangeAspect="1"/>
            </wp:cNvGraphicFramePr>
            <a:graphic>
              <a:graphicData uri="http://schemas.openxmlformats.org/drawingml/2006/picture">
                <pic:pic>
                  <pic:nvPicPr>
                    <pic:cNvPr id="0" name="areaflow_lrt_PM_BU_2040.png"/>
                    <pic:cNvPicPr/>
                  </pic:nvPicPr>
                  <pic:blipFill>
                    <a:blip r:embed="rId45"/>
                    <a:stretch>
                      <a:fillRect/>
                    </a:stretch>
                  </pic:blipFill>
                  <pic:spPr>
                    <a:xfrm>
                      <a:off x="0" y="0"/>
                      <a:ext cx="9000000" cy="3184615"/>
                    </a:xfrm>
                    <a:prstGeom prst="rect"/>
                  </pic:spPr>
                </pic:pic>
              </a:graphicData>
            </a:graphic>
          </wp:inline>
        </w:drawing>
      </w:r>
    </w:p>
    <w:p>
      <w:r>
        <w:rPr>
          <w:i/>
          <w:sz w:val="16"/>
        </w:rPr>
        <w:t>Figure 4.25 — LRT flow between corridor areas, 2040 BU, PM peak hour.</w:t>
      </w:r>
    </w:p>
    <w:p>
      <w:r>
        <w:drawing>
          <wp:inline xmlns:a="http://schemas.openxmlformats.org/drawingml/2006/main" xmlns:pic="http://schemas.openxmlformats.org/drawingml/2006/picture">
            <wp:extent cx="9000000" cy="3184615"/>
            <wp:docPr id="38" name="Picture 38"/>
            <wp:cNvGraphicFramePr>
              <a:graphicFrameLocks noChangeAspect="1"/>
            </wp:cNvGraphicFramePr>
            <a:graphic>
              <a:graphicData uri="http://schemas.openxmlformats.org/drawingml/2006/picture">
                <pic:pic>
                  <pic:nvPicPr>
                    <pic:cNvPr id="0" name="areaflow_lrt_PM_BU_2050.png"/>
                    <pic:cNvPicPr/>
                  </pic:nvPicPr>
                  <pic:blipFill>
                    <a:blip r:embed="rId46"/>
                    <a:stretch>
                      <a:fillRect/>
                    </a:stretch>
                  </pic:blipFill>
                  <pic:spPr>
                    <a:xfrm>
                      <a:off x="0" y="0"/>
                      <a:ext cx="9000000" cy="3184615"/>
                    </a:xfrm>
                    <a:prstGeom prst="rect"/>
                  </pic:spPr>
                </pic:pic>
              </a:graphicData>
            </a:graphic>
          </wp:inline>
        </w:drawing>
      </w:r>
    </w:p>
    <w:p>
      <w:r>
        <w:rPr>
          <w:i/>
          <w:sz w:val="16"/>
        </w:rPr>
        <w:t>Figure 4.26 — LRT flow between corridor areas, 2050 BU, PM peak hour.</w:t>
      </w:r>
    </w:p>
    <w:p>
      <w:r>
        <w:drawing>
          <wp:inline xmlns:a="http://schemas.openxmlformats.org/drawingml/2006/main" xmlns:pic="http://schemas.openxmlformats.org/drawingml/2006/picture">
            <wp:extent cx="9000000" cy="3184615"/>
            <wp:docPr id="39" name="Picture 39"/>
            <wp:cNvGraphicFramePr>
              <a:graphicFrameLocks noChangeAspect="1"/>
            </wp:cNvGraphicFramePr>
            <a:graphic>
              <a:graphicData uri="http://schemas.openxmlformats.org/drawingml/2006/picture">
                <pic:pic>
                  <pic:nvPicPr>
                    <pic:cNvPr id="0" name="areaflow_lrt_PM_HS_2040.png"/>
                    <pic:cNvPicPr/>
                  </pic:nvPicPr>
                  <pic:blipFill>
                    <a:blip r:embed="rId47"/>
                    <a:stretch>
                      <a:fillRect/>
                    </a:stretch>
                  </pic:blipFill>
                  <pic:spPr>
                    <a:xfrm>
                      <a:off x="0" y="0"/>
                      <a:ext cx="9000000" cy="3184615"/>
                    </a:xfrm>
                    <a:prstGeom prst="rect"/>
                  </pic:spPr>
                </pic:pic>
              </a:graphicData>
            </a:graphic>
          </wp:inline>
        </w:drawing>
      </w:r>
    </w:p>
    <w:p>
      <w:r>
        <w:rPr>
          <w:i/>
          <w:sz w:val="16"/>
        </w:rPr>
        <w:t>Figure 4.27 — LRT flow between corridor areas, 2040 HS, PM peak hour.</w:t>
      </w:r>
    </w:p>
    <w:p>
      <w:r>
        <w:drawing>
          <wp:inline xmlns:a="http://schemas.openxmlformats.org/drawingml/2006/main" xmlns:pic="http://schemas.openxmlformats.org/drawingml/2006/picture">
            <wp:extent cx="9000000" cy="3184615"/>
            <wp:docPr id="40" name="Picture 40"/>
            <wp:cNvGraphicFramePr>
              <a:graphicFrameLocks noChangeAspect="1"/>
            </wp:cNvGraphicFramePr>
            <a:graphic>
              <a:graphicData uri="http://schemas.openxmlformats.org/drawingml/2006/picture">
                <pic:pic>
                  <pic:nvPicPr>
                    <pic:cNvPr id="0" name="areaflow_lrt_PM_HS_2050.png"/>
                    <pic:cNvPicPr/>
                  </pic:nvPicPr>
                  <pic:blipFill>
                    <a:blip r:embed="rId48"/>
                    <a:stretch>
                      <a:fillRect/>
                    </a:stretch>
                  </pic:blipFill>
                  <pic:spPr>
                    <a:xfrm>
                      <a:off x="0" y="0"/>
                      <a:ext cx="9000000" cy="3184615"/>
                    </a:xfrm>
                    <a:prstGeom prst="rect"/>
                  </pic:spPr>
                </pic:pic>
              </a:graphicData>
            </a:graphic>
          </wp:inline>
        </w:drawing>
      </w:r>
    </w:p>
    <w:p>
      <w:r>
        <w:rPr>
          <w:i/>
          <w:sz w:val="16"/>
        </w:rPr>
        <w:t>Figure 4.28 — LRT flow between corridor areas, 2050 HS, PM peak hour.</w:t>
      </w:r>
    </w:p>
    <w:p>
      <w:r>
        <w:drawing>
          <wp:inline xmlns:a="http://schemas.openxmlformats.org/drawingml/2006/main" xmlns:pic="http://schemas.openxmlformats.org/drawingml/2006/picture">
            <wp:extent cx="9000000" cy="3184615"/>
            <wp:docPr id="41" name="Picture 41"/>
            <wp:cNvGraphicFramePr>
              <a:graphicFrameLocks noChangeAspect="1"/>
            </wp:cNvGraphicFramePr>
            <a:graphic>
              <a:graphicData uri="http://schemas.openxmlformats.org/drawingml/2006/picture">
                <pic:pic>
                  <pic:nvPicPr>
                    <pic:cNvPr id="0" name="areaflow_lrt_PM_scenarios_dir1.png"/>
                    <pic:cNvPicPr/>
                  </pic:nvPicPr>
                  <pic:blipFill>
                    <a:blip r:embed="rId49"/>
                    <a:stretch>
                      <a:fillRect/>
                    </a:stretch>
                  </pic:blipFill>
                  <pic:spPr>
                    <a:xfrm>
                      <a:off x="0" y="0"/>
                      <a:ext cx="9000000" cy="3184615"/>
                    </a:xfrm>
                    <a:prstGeom prst="rect"/>
                  </pic:spPr>
                </pic:pic>
              </a:graphicData>
            </a:graphic>
          </wp:inline>
        </w:drawing>
      </w:r>
    </w:p>
    <w:p>
      <w:r>
        <w:rPr>
          <w:i/>
          <w:sz w:val="16"/>
        </w:rPr>
        <w:t>Figure 4.29 — LRT flow between corridor areas, towards Nazareth (S01 → M20), the four scenario-years, PM peak hour.</w:t>
      </w:r>
    </w:p>
    <w:p>
      <w:r>
        <w:drawing>
          <wp:inline xmlns:a="http://schemas.openxmlformats.org/drawingml/2006/main" xmlns:pic="http://schemas.openxmlformats.org/drawingml/2006/picture">
            <wp:extent cx="9000000" cy="3184615"/>
            <wp:docPr id="42" name="Picture 42"/>
            <wp:cNvGraphicFramePr>
              <a:graphicFrameLocks noChangeAspect="1"/>
            </wp:cNvGraphicFramePr>
            <a:graphic>
              <a:graphicData uri="http://schemas.openxmlformats.org/drawingml/2006/picture">
                <pic:pic>
                  <pic:nvPicPr>
                    <pic:cNvPr id="0" name="areaflow_lrt_PM_scenarios_dir2.png"/>
                    <pic:cNvPicPr/>
                  </pic:nvPicPr>
                  <pic:blipFill>
                    <a:blip r:embed="rId50"/>
                    <a:stretch>
                      <a:fillRect/>
                    </a:stretch>
                  </pic:blipFill>
                  <pic:spPr>
                    <a:xfrm>
                      <a:off x="0" y="0"/>
                      <a:ext cx="9000000" cy="3184615"/>
                    </a:xfrm>
                    <a:prstGeom prst="rect"/>
                  </pic:spPr>
                </pic:pic>
              </a:graphicData>
            </a:graphic>
          </wp:inline>
        </w:drawing>
      </w:r>
    </w:p>
    <w:p>
      <w:r>
        <w:rPr>
          <w:i/>
          <w:sz w:val="16"/>
        </w:rPr>
        <w:t>Figure 4.30 — LRT flow between corridor areas, towards Tirat Carmel (M20 → S01), the four scenario-years, PM peak hour.</w:t>
      </w:r>
    </w:p>
    <w:p>
      <w:pPr>
        <w:pStyle w:val="Heading2"/>
      </w:pPr>
      <w:r>
        <w:t>4.6 Flow on the line — total transit, both directions</w:t>
      </w:r>
    </w:p>
    <w:p>
      <w:r>
        <w:t>The same profile for all transit trips of the corridor market (bus, Metronit and LRT after the LRT is added), loaded along the line between the LRT stations nearest their ends — the transit demand the line's corridor carries, of which the LRT takes the share shown in 4.2. Source: transit_line_loads.csv in each run folder, scaled to the peak hour as above.</w:t>
      </w:r>
    </w:p>
    <w:p>
      <w:r>
        <w:t>Same layout and the same rule: one vertical scale (3,000 passengers per peak hour) for every chart of the section.</w:t>
      </w:r>
    </w:p>
    <w:p>
      <w:r>
        <w:drawing>
          <wp:inline xmlns:a="http://schemas.openxmlformats.org/drawingml/2006/main" xmlns:pic="http://schemas.openxmlformats.org/drawingml/2006/picture">
            <wp:extent cx="9000000" cy="2907692"/>
            <wp:docPr id="43" name="Picture 43"/>
            <wp:cNvGraphicFramePr>
              <a:graphicFrameLocks noChangeAspect="1"/>
            </wp:cNvGraphicFramePr>
            <a:graphic>
              <a:graphicData uri="http://schemas.openxmlformats.org/drawingml/2006/picture">
                <pic:pic>
                  <pic:nvPicPr>
                    <pic:cNvPr id="0" name="flow_transit_AM_2022.png"/>
                    <pic:cNvPicPr/>
                  </pic:nvPicPr>
                  <pic:blipFill>
                    <a:blip r:embed="rId51"/>
                    <a:stretch>
                      <a:fillRect/>
                    </a:stretch>
                  </pic:blipFill>
                  <pic:spPr>
                    <a:xfrm>
                      <a:off x="0" y="0"/>
                      <a:ext cx="9000000" cy="2907692"/>
                    </a:xfrm>
                    <a:prstGeom prst="rect"/>
                  </pic:spPr>
                </pic:pic>
              </a:graphicData>
            </a:graphic>
          </wp:inline>
        </w:drawing>
      </w:r>
    </w:p>
    <w:p>
      <w:r>
        <w:rPr>
          <w:i/>
          <w:sz w:val="16"/>
        </w:rPr>
        <w:t>Figure 4.31 — Total transit flow by segment and direction, 2022, AM peak hour.</w:t>
      </w:r>
    </w:p>
    <w:p>
      <w:r>
        <w:drawing>
          <wp:inline xmlns:a="http://schemas.openxmlformats.org/drawingml/2006/main" xmlns:pic="http://schemas.openxmlformats.org/drawingml/2006/picture">
            <wp:extent cx="9000000" cy="2907692"/>
            <wp:docPr id="44" name="Picture 44"/>
            <wp:cNvGraphicFramePr>
              <a:graphicFrameLocks noChangeAspect="1"/>
            </wp:cNvGraphicFramePr>
            <a:graphic>
              <a:graphicData uri="http://schemas.openxmlformats.org/drawingml/2006/picture">
                <pic:pic>
                  <pic:nvPicPr>
                    <pic:cNvPr id="0" name="flow_transit_AM_BU_2040.png"/>
                    <pic:cNvPicPr/>
                  </pic:nvPicPr>
                  <pic:blipFill>
                    <a:blip r:embed="rId52"/>
                    <a:stretch>
                      <a:fillRect/>
                    </a:stretch>
                  </pic:blipFill>
                  <pic:spPr>
                    <a:xfrm>
                      <a:off x="0" y="0"/>
                      <a:ext cx="9000000" cy="2907692"/>
                    </a:xfrm>
                    <a:prstGeom prst="rect"/>
                  </pic:spPr>
                </pic:pic>
              </a:graphicData>
            </a:graphic>
          </wp:inline>
        </w:drawing>
      </w:r>
    </w:p>
    <w:p>
      <w:r>
        <w:rPr>
          <w:i/>
          <w:sz w:val="16"/>
        </w:rPr>
        <w:t>Figure 4.32 — Total transit flow by segment and direction, 2040 BU, AM peak hour.</w:t>
      </w:r>
    </w:p>
    <w:p>
      <w:r>
        <w:drawing>
          <wp:inline xmlns:a="http://schemas.openxmlformats.org/drawingml/2006/main" xmlns:pic="http://schemas.openxmlformats.org/drawingml/2006/picture">
            <wp:extent cx="9000000" cy="2907692"/>
            <wp:docPr id="45" name="Picture 45"/>
            <wp:cNvGraphicFramePr>
              <a:graphicFrameLocks noChangeAspect="1"/>
            </wp:cNvGraphicFramePr>
            <a:graphic>
              <a:graphicData uri="http://schemas.openxmlformats.org/drawingml/2006/picture">
                <pic:pic>
                  <pic:nvPicPr>
                    <pic:cNvPr id="0" name="flow_transit_AM_BU_2050.png"/>
                    <pic:cNvPicPr/>
                  </pic:nvPicPr>
                  <pic:blipFill>
                    <a:blip r:embed="rId53"/>
                    <a:stretch>
                      <a:fillRect/>
                    </a:stretch>
                  </pic:blipFill>
                  <pic:spPr>
                    <a:xfrm>
                      <a:off x="0" y="0"/>
                      <a:ext cx="9000000" cy="2907692"/>
                    </a:xfrm>
                    <a:prstGeom prst="rect"/>
                  </pic:spPr>
                </pic:pic>
              </a:graphicData>
            </a:graphic>
          </wp:inline>
        </w:drawing>
      </w:r>
    </w:p>
    <w:p>
      <w:r>
        <w:rPr>
          <w:i/>
          <w:sz w:val="16"/>
        </w:rPr>
        <w:t>Figure 4.33 — Total transit flow by segment and direction, 2050 BU, AM peak hour.</w:t>
      </w:r>
    </w:p>
    <w:p>
      <w:r>
        <w:drawing>
          <wp:inline xmlns:a="http://schemas.openxmlformats.org/drawingml/2006/main" xmlns:pic="http://schemas.openxmlformats.org/drawingml/2006/picture">
            <wp:extent cx="9000000" cy="2907692"/>
            <wp:docPr id="46" name="Picture 46"/>
            <wp:cNvGraphicFramePr>
              <a:graphicFrameLocks noChangeAspect="1"/>
            </wp:cNvGraphicFramePr>
            <a:graphic>
              <a:graphicData uri="http://schemas.openxmlformats.org/drawingml/2006/picture">
                <pic:pic>
                  <pic:nvPicPr>
                    <pic:cNvPr id="0" name="flow_transit_AM_HS_2040.png"/>
                    <pic:cNvPicPr/>
                  </pic:nvPicPr>
                  <pic:blipFill>
                    <a:blip r:embed="rId54"/>
                    <a:stretch>
                      <a:fillRect/>
                    </a:stretch>
                  </pic:blipFill>
                  <pic:spPr>
                    <a:xfrm>
                      <a:off x="0" y="0"/>
                      <a:ext cx="9000000" cy="2907692"/>
                    </a:xfrm>
                    <a:prstGeom prst="rect"/>
                  </pic:spPr>
                </pic:pic>
              </a:graphicData>
            </a:graphic>
          </wp:inline>
        </w:drawing>
      </w:r>
    </w:p>
    <w:p>
      <w:r>
        <w:rPr>
          <w:i/>
          <w:sz w:val="16"/>
        </w:rPr>
        <w:t>Figure 4.34 — Total transit flow by segment and direction, 2040 HS, AM peak hour.</w:t>
      </w:r>
    </w:p>
    <w:p>
      <w:r>
        <w:drawing>
          <wp:inline xmlns:a="http://schemas.openxmlformats.org/drawingml/2006/main" xmlns:pic="http://schemas.openxmlformats.org/drawingml/2006/picture">
            <wp:extent cx="9000000" cy="2907692"/>
            <wp:docPr id="47" name="Picture 47"/>
            <wp:cNvGraphicFramePr>
              <a:graphicFrameLocks noChangeAspect="1"/>
            </wp:cNvGraphicFramePr>
            <a:graphic>
              <a:graphicData uri="http://schemas.openxmlformats.org/drawingml/2006/picture">
                <pic:pic>
                  <pic:nvPicPr>
                    <pic:cNvPr id="0" name="flow_transit_AM_HS_2050.png"/>
                    <pic:cNvPicPr/>
                  </pic:nvPicPr>
                  <pic:blipFill>
                    <a:blip r:embed="rId55"/>
                    <a:stretch>
                      <a:fillRect/>
                    </a:stretch>
                  </pic:blipFill>
                  <pic:spPr>
                    <a:xfrm>
                      <a:off x="0" y="0"/>
                      <a:ext cx="9000000" cy="2907692"/>
                    </a:xfrm>
                    <a:prstGeom prst="rect"/>
                  </pic:spPr>
                </pic:pic>
              </a:graphicData>
            </a:graphic>
          </wp:inline>
        </w:drawing>
      </w:r>
    </w:p>
    <w:p>
      <w:r>
        <w:rPr>
          <w:i/>
          <w:sz w:val="16"/>
        </w:rPr>
        <w:t>Figure 4.35 — Total transit flow by segment and direction, 2050 HS, AM peak hour.</w:t>
      </w:r>
    </w:p>
    <w:p>
      <w:r>
        <w:drawing>
          <wp:inline xmlns:a="http://schemas.openxmlformats.org/drawingml/2006/main" xmlns:pic="http://schemas.openxmlformats.org/drawingml/2006/picture">
            <wp:extent cx="9000000" cy="2907692"/>
            <wp:docPr id="48" name="Picture 48"/>
            <wp:cNvGraphicFramePr>
              <a:graphicFrameLocks noChangeAspect="1"/>
            </wp:cNvGraphicFramePr>
            <a:graphic>
              <a:graphicData uri="http://schemas.openxmlformats.org/drawingml/2006/picture">
                <pic:pic>
                  <pic:nvPicPr>
                    <pic:cNvPr id="0" name="flow_transit_AM_scenarios_dir1.png"/>
                    <pic:cNvPicPr/>
                  </pic:nvPicPr>
                  <pic:blipFill>
                    <a:blip r:embed="rId56"/>
                    <a:stretch>
                      <a:fillRect/>
                    </a:stretch>
                  </pic:blipFill>
                  <pic:spPr>
                    <a:xfrm>
                      <a:off x="0" y="0"/>
                      <a:ext cx="9000000" cy="2907692"/>
                    </a:xfrm>
                    <a:prstGeom prst="rect"/>
                  </pic:spPr>
                </pic:pic>
              </a:graphicData>
            </a:graphic>
          </wp:inline>
        </w:drawing>
      </w:r>
    </w:p>
    <w:p>
      <w:r>
        <w:rPr>
          <w:i/>
          <w:sz w:val="16"/>
        </w:rPr>
        <w:t>Figure 4.36 — Total transit flow by segment, towards Nazareth (S01 → M20), the four scenario-years, AM peak hour.</w:t>
      </w:r>
    </w:p>
    <w:p>
      <w:r>
        <w:drawing>
          <wp:inline xmlns:a="http://schemas.openxmlformats.org/drawingml/2006/main" xmlns:pic="http://schemas.openxmlformats.org/drawingml/2006/picture">
            <wp:extent cx="9000000" cy="2907692"/>
            <wp:docPr id="49" name="Picture 49"/>
            <wp:cNvGraphicFramePr>
              <a:graphicFrameLocks noChangeAspect="1"/>
            </wp:cNvGraphicFramePr>
            <a:graphic>
              <a:graphicData uri="http://schemas.openxmlformats.org/drawingml/2006/picture">
                <pic:pic>
                  <pic:nvPicPr>
                    <pic:cNvPr id="0" name="flow_transit_AM_scenarios_dir2.png"/>
                    <pic:cNvPicPr/>
                  </pic:nvPicPr>
                  <pic:blipFill>
                    <a:blip r:embed="rId57"/>
                    <a:stretch>
                      <a:fillRect/>
                    </a:stretch>
                  </pic:blipFill>
                  <pic:spPr>
                    <a:xfrm>
                      <a:off x="0" y="0"/>
                      <a:ext cx="9000000" cy="2907692"/>
                    </a:xfrm>
                    <a:prstGeom prst="rect"/>
                  </pic:spPr>
                </pic:pic>
              </a:graphicData>
            </a:graphic>
          </wp:inline>
        </w:drawing>
      </w:r>
    </w:p>
    <w:p>
      <w:r>
        <w:rPr>
          <w:i/>
          <w:sz w:val="16"/>
        </w:rPr>
        <w:t>Figure 4.37 — Total transit flow by segment, towards Tirat Carmel (M20 → S01), the four scenario-years, AM peak hour.</w:t>
      </w:r>
    </w:p>
    <w:p>
      <w:r>
        <w:drawing>
          <wp:inline xmlns:a="http://schemas.openxmlformats.org/drawingml/2006/main" xmlns:pic="http://schemas.openxmlformats.org/drawingml/2006/picture">
            <wp:extent cx="9000000" cy="2907692"/>
            <wp:docPr id="50" name="Picture 50"/>
            <wp:cNvGraphicFramePr>
              <a:graphicFrameLocks noChangeAspect="1"/>
            </wp:cNvGraphicFramePr>
            <a:graphic>
              <a:graphicData uri="http://schemas.openxmlformats.org/drawingml/2006/picture">
                <pic:pic>
                  <pic:nvPicPr>
                    <pic:cNvPr id="0" name="flow_transit_PM_2022.png"/>
                    <pic:cNvPicPr/>
                  </pic:nvPicPr>
                  <pic:blipFill>
                    <a:blip r:embed="rId58"/>
                    <a:stretch>
                      <a:fillRect/>
                    </a:stretch>
                  </pic:blipFill>
                  <pic:spPr>
                    <a:xfrm>
                      <a:off x="0" y="0"/>
                      <a:ext cx="9000000" cy="2907692"/>
                    </a:xfrm>
                    <a:prstGeom prst="rect"/>
                  </pic:spPr>
                </pic:pic>
              </a:graphicData>
            </a:graphic>
          </wp:inline>
        </w:drawing>
      </w:r>
    </w:p>
    <w:p>
      <w:r>
        <w:rPr>
          <w:i/>
          <w:sz w:val="16"/>
        </w:rPr>
        <w:t>Figure 4.38 — Total transit flow by segment and direction, 2022, PM peak hour.</w:t>
      </w:r>
    </w:p>
    <w:p>
      <w:r>
        <w:drawing>
          <wp:inline xmlns:a="http://schemas.openxmlformats.org/drawingml/2006/main" xmlns:pic="http://schemas.openxmlformats.org/drawingml/2006/picture">
            <wp:extent cx="9000000" cy="2907692"/>
            <wp:docPr id="51" name="Picture 51"/>
            <wp:cNvGraphicFramePr>
              <a:graphicFrameLocks noChangeAspect="1"/>
            </wp:cNvGraphicFramePr>
            <a:graphic>
              <a:graphicData uri="http://schemas.openxmlformats.org/drawingml/2006/picture">
                <pic:pic>
                  <pic:nvPicPr>
                    <pic:cNvPr id="0" name="flow_transit_PM_BU_2040.png"/>
                    <pic:cNvPicPr/>
                  </pic:nvPicPr>
                  <pic:blipFill>
                    <a:blip r:embed="rId59"/>
                    <a:stretch>
                      <a:fillRect/>
                    </a:stretch>
                  </pic:blipFill>
                  <pic:spPr>
                    <a:xfrm>
                      <a:off x="0" y="0"/>
                      <a:ext cx="9000000" cy="2907692"/>
                    </a:xfrm>
                    <a:prstGeom prst="rect"/>
                  </pic:spPr>
                </pic:pic>
              </a:graphicData>
            </a:graphic>
          </wp:inline>
        </w:drawing>
      </w:r>
    </w:p>
    <w:p>
      <w:r>
        <w:rPr>
          <w:i/>
          <w:sz w:val="16"/>
        </w:rPr>
        <w:t>Figure 4.39 — Total transit flow by segment and direction, 2040 BU, PM peak hour.</w:t>
      </w:r>
    </w:p>
    <w:p>
      <w:r>
        <w:drawing>
          <wp:inline xmlns:a="http://schemas.openxmlformats.org/drawingml/2006/main" xmlns:pic="http://schemas.openxmlformats.org/drawingml/2006/picture">
            <wp:extent cx="9000000" cy="2907692"/>
            <wp:docPr id="52" name="Picture 52"/>
            <wp:cNvGraphicFramePr>
              <a:graphicFrameLocks noChangeAspect="1"/>
            </wp:cNvGraphicFramePr>
            <a:graphic>
              <a:graphicData uri="http://schemas.openxmlformats.org/drawingml/2006/picture">
                <pic:pic>
                  <pic:nvPicPr>
                    <pic:cNvPr id="0" name="flow_transit_PM_BU_2050.png"/>
                    <pic:cNvPicPr/>
                  </pic:nvPicPr>
                  <pic:blipFill>
                    <a:blip r:embed="rId60"/>
                    <a:stretch>
                      <a:fillRect/>
                    </a:stretch>
                  </pic:blipFill>
                  <pic:spPr>
                    <a:xfrm>
                      <a:off x="0" y="0"/>
                      <a:ext cx="9000000" cy="2907692"/>
                    </a:xfrm>
                    <a:prstGeom prst="rect"/>
                  </pic:spPr>
                </pic:pic>
              </a:graphicData>
            </a:graphic>
          </wp:inline>
        </w:drawing>
      </w:r>
    </w:p>
    <w:p>
      <w:r>
        <w:rPr>
          <w:i/>
          <w:sz w:val="16"/>
        </w:rPr>
        <w:t>Figure 4.40 — Total transit flow by segment and direction, 2050 BU, PM peak hour.</w:t>
      </w:r>
    </w:p>
    <w:p>
      <w:r>
        <w:drawing>
          <wp:inline xmlns:a="http://schemas.openxmlformats.org/drawingml/2006/main" xmlns:pic="http://schemas.openxmlformats.org/drawingml/2006/picture">
            <wp:extent cx="9000000" cy="2907692"/>
            <wp:docPr id="53" name="Picture 53"/>
            <wp:cNvGraphicFramePr>
              <a:graphicFrameLocks noChangeAspect="1"/>
            </wp:cNvGraphicFramePr>
            <a:graphic>
              <a:graphicData uri="http://schemas.openxmlformats.org/drawingml/2006/picture">
                <pic:pic>
                  <pic:nvPicPr>
                    <pic:cNvPr id="0" name="flow_transit_PM_HS_2040.png"/>
                    <pic:cNvPicPr/>
                  </pic:nvPicPr>
                  <pic:blipFill>
                    <a:blip r:embed="rId61"/>
                    <a:stretch>
                      <a:fillRect/>
                    </a:stretch>
                  </pic:blipFill>
                  <pic:spPr>
                    <a:xfrm>
                      <a:off x="0" y="0"/>
                      <a:ext cx="9000000" cy="2907692"/>
                    </a:xfrm>
                    <a:prstGeom prst="rect"/>
                  </pic:spPr>
                </pic:pic>
              </a:graphicData>
            </a:graphic>
          </wp:inline>
        </w:drawing>
      </w:r>
    </w:p>
    <w:p>
      <w:r>
        <w:rPr>
          <w:i/>
          <w:sz w:val="16"/>
        </w:rPr>
        <w:t>Figure 4.41 — Total transit flow by segment and direction, 2040 HS, PM peak hour.</w:t>
      </w:r>
    </w:p>
    <w:p>
      <w:r>
        <w:drawing>
          <wp:inline xmlns:a="http://schemas.openxmlformats.org/drawingml/2006/main" xmlns:pic="http://schemas.openxmlformats.org/drawingml/2006/picture">
            <wp:extent cx="9000000" cy="2907692"/>
            <wp:docPr id="54" name="Picture 54"/>
            <wp:cNvGraphicFramePr>
              <a:graphicFrameLocks noChangeAspect="1"/>
            </wp:cNvGraphicFramePr>
            <a:graphic>
              <a:graphicData uri="http://schemas.openxmlformats.org/drawingml/2006/picture">
                <pic:pic>
                  <pic:nvPicPr>
                    <pic:cNvPr id="0" name="flow_transit_PM_HS_2050.png"/>
                    <pic:cNvPicPr/>
                  </pic:nvPicPr>
                  <pic:blipFill>
                    <a:blip r:embed="rId62"/>
                    <a:stretch>
                      <a:fillRect/>
                    </a:stretch>
                  </pic:blipFill>
                  <pic:spPr>
                    <a:xfrm>
                      <a:off x="0" y="0"/>
                      <a:ext cx="9000000" cy="2907692"/>
                    </a:xfrm>
                    <a:prstGeom prst="rect"/>
                  </pic:spPr>
                </pic:pic>
              </a:graphicData>
            </a:graphic>
          </wp:inline>
        </w:drawing>
      </w:r>
    </w:p>
    <w:p>
      <w:r>
        <w:rPr>
          <w:i/>
          <w:sz w:val="16"/>
        </w:rPr>
        <w:t>Figure 4.42 — Total transit flow by segment and direction, 2050 HS, PM peak hour.</w:t>
      </w:r>
    </w:p>
    <w:p>
      <w:r>
        <w:drawing>
          <wp:inline xmlns:a="http://schemas.openxmlformats.org/drawingml/2006/main" xmlns:pic="http://schemas.openxmlformats.org/drawingml/2006/picture">
            <wp:extent cx="9000000" cy="2907692"/>
            <wp:docPr id="55" name="Picture 55"/>
            <wp:cNvGraphicFramePr>
              <a:graphicFrameLocks noChangeAspect="1"/>
            </wp:cNvGraphicFramePr>
            <a:graphic>
              <a:graphicData uri="http://schemas.openxmlformats.org/drawingml/2006/picture">
                <pic:pic>
                  <pic:nvPicPr>
                    <pic:cNvPr id="0" name="flow_transit_PM_scenarios_dir1.png"/>
                    <pic:cNvPicPr/>
                  </pic:nvPicPr>
                  <pic:blipFill>
                    <a:blip r:embed="rId63"/>
                    <a:stretch>
                      <a:fillRect/>
                    </a:stretch>
                  </pic:blipFill>
                  <pic:spPr>
                    <a:xfrm>
                      <a:off x="0" y="0"/>
                      <a:ext cx="9000000" cy="2907692"/>
                    </a:xfrm>
                    <a:prstGeom prst="rect"/>
                  </pic:spPr>
                </pic:pic>
              </a:graphicData>
            </a:graphic>
          </wp:inline>
        </w:drawing>
      </w:r>
    </w:p>
    <w:p>
      <w:r>
        <w:rPr>
          <w:i/>
          <w:sz w:val="16"/>
        </w:rPr>
        <w:t>Figure 4.43 — Total transit flow by segment, towards Nazareth (S01 → M20), the four scenario-years, PM peak hour.</w:t>
      </w:r>
    </w:p>
    <w:p>
      <w:r>
        <w:drawing>
          <wp:inline xmlns:a="http://schemas.openxmlformats.org/drawingml/2006/main" xmlns:pic="http://schemas.openxmlformats.org/drawingml/2006/picture">
            <wp:extent cx="9000000" cy="2907692"/>
            <wp:docPr id="56" name="Picture 56"/>
            <wp:cNvGraphicFramePr>
              <a:graphicFrameLocks noChangeAspect="1"/>
            </wp:cNvGraphicFramePr>
            <a:graphic>
              <a:graphicData uri="http://schemas.openxmlformats.org/drawingml/2006/picture">
                <pic:pic>
                  <pic:nvPicPr>
                    <pic:cNvPr id="0" name="flow_transit_PM_scenarios_dir2.png"/>
                    <pic:cNvPicPr/>
                  </pic:nvPicPr>
                  <pic:blipFill>
                    <a:blip r:embed="rId64"/>
                    <a:stretch>
                      <a:fillRect/>
                    </a:stretch>
                  </pic:blipFill>
                  <pic:spPr>
                    <a:xfrm>
                      <a:off x="0" y="0"/>
                      <a:ext cx="9000000" cy="2907692"/>
                    </a:xfrm>
                    <a:prstGeom prst="rect"/>
                  </pic:spPr>
                </pic:pic>
              </a:graphicData>
            </a:graphic>
          </wp:inline>
        </w:drawing>
      </w:r>
    </w:p>
    <w:p>
      <w:r>
        <w:rPr>
          <w:i/>
          <w:sz w:val="16"/>
        </w:rPr>
        <w:t>Figure 4.44 — Total transit flow by segment, towards Tirat Carmel (M20 → S01), the four scenario-years, PM peak hour.</w:t>
      </w:r>
    </w:p>
    <w:p>
      <w:r>
        <w:t>The same between the corridor areas (one vertical scale, 3,000, for every area chart of the section).</w:t>
      </w:r>
    </w:p>
    <w:p>
      <w:r>
        <w:drawing>
          <wp:inline xmlns:a="http://schemas.openxmlformats.org/drawingml/2006/main" xmlns:pic="http://schemas.openxmlformats.org/drawingml/2006/picture">
            <wp:extent cx="9000000" cy="3184615"/>
            <wp:docPr id="57" name="Picture 57"/>
            <wp:cNvGraphicFramePr>
              <a:graphicFrameLocks noChangeAspect="1"/>
            </wp:cNvGraphicFramePr>
            <a:graphic>
              <a:graphicData uri="http://schemas.openxmlformats.org/drawingml/2006/picture">
                <pic:pic>
                  <pic:nvPicPr>
                    <pic:cNvPr id="0" name="areaflow_transit_AM_2022.png"/>
                    <pic:cNvPicPr/>
                  </pic:nvPicPr>
                  <pic:blipFill>
                    <a:blip r:embed="rId65"/>
                    <a:stretch>
                      <a:fillRect/>
                    </a:stretch>
                  </pic:blipFill>
                  <pic:spPr>
                    <a:xfrm>
                      <a:off x="0" y="0"/>
                      <a:ext cx="9000000" cy="3184615"/>
                    </a:xfrm>
                    <a:prstGeom prst="rect"/>
                  </pic:spPr>
                </pic:pic>
              </a:graphicData>
            </a:graphic>
          </wp:inline>
        </w:drawing>
      </w:r>
    </w:p>
    <w:p>
      <w:r>
        <w:rPr>
          <w:i/>
          <w:sz w:val="16"/>
        </w:rPr>
        <w:t>Figure 4.45 — Total transit flow between corridor areas, 2022, AM peak hour.</w:t>
      </w:r>
    </w:p>
    <w:p>
      <w:r>
        <w:drawing>
          <wp:inline xmlns:a="http://schemas.openxmlformats.org/drawingml/2006/main" xmlns:pic="http://schemas.openxmlformats.org/drawingml/2006/picture">
            <wp:extent cx="9000000" cy="3184615"/>
            <wp:docPr id="58" name="Picture 58"/>
            <wp:cNvGraphicFramePr>
              <a:graphicFrameLocks noChangeAspect="1"/>
            </wp:cNvGraphicFramePr>
            <a:graphic>
              <a:graphicData uri="http://schemas.openxmlformats.org/drawingml/2006/picture">
                <pic:pic>
                  <pic:nvPicPr>
                    <pic:cNvPr id="0" name="areaflow_transit_AM_BU_2040.png"/>
                    <pic:cNvPicPr/>
                  </pic:nvPicPr>
                  <pic:blipFill>
                    <a:blip r:embed="rId66"/>
                    <a:stretch>
                      <a:fillRect/>
                    </a:stretch>
                  </pic:blipFill>
                  <pic:spPr>
                    <a:xfrm>
                      <a:off x="0" y="0"/>
                      <a:ext cx="9000000" cy="3184615"/>
                    </a:xfrm>
                    <a:prstGeom prst="rect"/>
                  </pic:spPr>
                </pic:pic>
              </a:graphicData>
            </a:graphic>
          </wp:inline>
        </w:drawing>
      </w:r>
    </w:p>
    <w:p>
      <w:r>
        <w:rPr>
          <w:i/>
          <w:sz w:val="16"/>
        </w:rPr>
        <w:t>Figure 4.46 — Total transit flow between corridor areas, 2040 BU, AM peak hour.</w:t>
      </w:r>
    </w:p>
    <w:p>
      <w:r>
        <w:drawing>
          <wp:inline xmlns:a="http://schemas.openxmlformats.org/drawingml/2006/main" xmlns:pic="http://schemas.openxmlformats.org/drawingml/2006/picture">
            <wp:extent cx="9000000" cy="3184615"/>
            <wp:docPr id="59" name="Picture 59"/>
            <wp:cNvGraphicFramePr>
              <a:graphicFrameLocks noChangeAspect="1"/>
            </wp:cNvGraphicFramePr>
            <a:graphic>
              <a:graphicData uri="http://schemas.openxmlformats.org/drawingml/2006/picture">
                <pic:pic>
                  <pic:nvPicPr>
                    <pic:cNvPr id="0" name="areaflow_transit_AM_BU_2050.png"/>
                    <pic:cNvPicPr/>
                  </pic:nvPicPr>
                  <pic:blipFill>
                    <a:blip r:embed="rId67"/>
                    <a:stretch>
                      <a:fillRect/>
                    </a:stretch>
                  </pic:blipFill>
                  <pic:spPr>
                    <a:xfrm>
                      <a:off x="0" y="0"/>
                      <a:ext cx="9000000" cy="3184615"/>
                    </a:xfrm>
                    <a:prstGeom prst="rect"/>
                  </pic:spPr>
                </pic:pic>
              </a:graphicData>
            </a:graphic>
          </wp:inline>
        </w:drawing>
      </w:r>
    </w:p>
    <w:p>
      <w:r>
        <w:rPr>
          <w:i/>
          <w:sz w:val="16"/>
        </w:rPr>
        <w:t>Figure 4.47 — Total transit flow between corridor areas, 2050 BU, AM peak hour.</w:t>
      </w:r>
    </w:p>
    <w:p>
      <w:r>
        <w:drawing>
          <wp:inline xmlns:a="http://schemas.openxmlformats.org/drawingml/2006/main" xmlns:pic="http://schemas.openxmlformats.org/drawingml/2006/picture">
            <wp:extent cx="9000000" cy="3184615"/>
            <wp:docPr id="60" name="Picture 60"/>
            <wp:cNvGraphicFramePr>
              <a:graphicFrameLocks noChangeAspect="1"/>
            </wp:cNvGraphicFramePr>
            <a:graphic>
              <a:graphicData uri="http://schemas.openxmlformats.org/drawingml/2006/picture">
                <pic:pic>
                  <pic:nvPicPr>
                    <pic:cNvPr id="0" name="areaflow_transit_AM_HS_2040.png"/>
                    <pic:cNvPicPr/>
                  </pic:nvPicPr>
                  <pic:blipFill>
                    <a:blip r:embed="rId68"/>
                    <a:stretch>
                      <a:fillRect/>
                    </a:stretch>
                  </pic:blipFill>
                  <pic:spPr>
                    <a:xfrm>
                      <a:off x="0" y="0"/>
                      <a:ext cx="9000000" cy="3184615"/>
                    </a:xfrm>
                    <a:prstGeom prst="rect"/>
                  </pic:spPr>
                </pic:pic>
              </a:graphicData>
            </a:graphic>
          </wp:inline>
        </w:drawing>
      </w:r>
    </w:p>
    <w:p>
      <w:r>
        <w:rPr>
          <w:i/>
          <w:sz w:val="16"/>
        </w:rPr>
        <w:t>Figure 4.48 — Total transit flow between corridor areas, 2040 HS, AM peak hour.</w:t>
      </w:r>
    </w:p>
    <w:p>
      <w:r>
        <w:drawing>
          <wp:inline xmlns:a="http://schemas.openxmlformats.org/drawingml/2006/main" xmlns:pic="http://schemas.openxmlformats.org/drawingml/2006/picture">
            <wp:extent cx="9000000" cy="3184615"/>
            <wp:docPr id="61" name="Picture 61"/>
            <wp:cNvGraphicFramePr>
              <a:graphicFrameLocks noChangeAspect="1"/>
            </wp:cNvGraphicFramePr>
            <a:graphic>
              <a:graphicData uri="http://schemas.openxmlformats.org/drawingml/2006/picture">
                <pic:pic>
                  <pic:nvPicPr>
                    <pic:cNvPr id="0" name="areaflow_transit_AM_HS_2050.png"/>
                    <pic:cNvPicPr/>
                  </pic:nvPicPr>
                  <pic:blipFill>
                    <a:blip r:embed="rId69"/>
                    <a:stretch>
                      <a:fillRect/>
                    </a:stretch>
                  </pic:blipFill>
                  <pic:spPr>
                    <a:xfrm>
                      <a:off x="0" y="0"/>
                      <a:ext cx="9000000" cy="3184615"/>
                    </a:xfrm>
                    <a:prstGeom prst="rect"/>
                  </pic:spPr>
                </pic:pic>
              </a:graphicData>
            </a:graphic>
          </wp:inline>
        </w:drawing>
      </w:r>
    </w:p>
    <w:p>
      <w:r>
        <w:rPr>
          <w:i/>
          <w:sz w:val="16"/>
        </w:rPr>
        <w:t>Figure 4.49 — Total transit flow between corridor areas, 2050 HS, AM peak hour.</w:t>
      </w:r>
    </w:p>
    <w:p>
      <w:r>
        <w:drawing>
          <wp:inline xmlns:a="http://schemas.openxmlformats.org/drawingml/2006/main" xmlns:pic="http://schemas.openxmlformats.org/drawingml/2006/picture">
            <wp:extent cx="9000000" cy="3184615"/>
            <wp:docPr id="62" name="Picture 62"/>
            <wp:cNvGraphicFramePr>
              <a:graphicFrameLocks noChangeAspect="1"/>
            </wp:cNvGraphicFramePr>
            <a:graphic>
              <a:graphicData uri="http://schemas.openxmlformats.org/drawingml/2006/picture">
                <pic:pic>
                  <pic:nvPicPr>
                    <pic:cNvPr id="0" name="areaflow_transit_AM_scenarios_dir1.png"/>
                    <pic:cNvPicPr/>
                  </pic:nvPicPr>
                  <pic:blipFill>
                    <a:blip r:embed="rId70"/>
                    <a:stretch>
                      <a:fillRect/>
                    </a:stretch>
                  </pic:blipFill>
                  <pic:spPr>
                    <a:xfrm>
                      <a:off x="0" y="0"/>
                      <a:ext cx="9000000" cy="3184615"/>
                    </a:xfrm>
                    <a:prstGeom prst="rect"/>
                  </pic:spPr>
                </pic:pic>
              </a:graphicData>
            </a:graphic>
          </wp:inline>
        </w:drawing>
      </w:r>
    </w:p>
    <w:p>
      <w:r>
        <w:rPr>
          <w:i/>
          <w:sz w:val="16"/>
        </w:rPr>
        <w:t>Figure 4.50 — Total transit flow between corridor areas, towards Nazareth (S01 → M20), the four scenario-years, AM peak hour.</w:t>
      </w:r>
    </w:p>
    <w:p>
      <w:r>
        <w:drawing>
          <wp:inline xmlns:a="http://schemas.openxmlformats.org/drawingml/2006/main" xmlns:pic="http://schemas.openxmlformats.org/drawingml/2006/picture">
            <wp:extent cx="9000000" cy="3184615"/>
            <wp:docPr id="63" name="Picture 63"/>
            <wp:cNvGraphicFramePr>
              <a:graphicFrameLocks noChangeAspect="1"/>
            </wp:cNvGraphicFramePr>
            <a:graphic>
              <a:graphicData uri="http://schemas.openxmlformats.org/drawingml/2006/picture">
                <pic:pic>
                  <pic:nvPicPr>
                    <pic:cNvPr id="0" name="areaflow_transit_AM_scenarios_dir2.png"/>
                    <pic:cNvPicPr/>
                  </pic:nvPicPr>
                  <pic:blipFill>
                    <a:blip r:embed="rId71"/>
                    <a:stretch>
                      <a:fillRect/>
                    </a:stretch>
                  </pic:blipFill>
                  <pic:spPr>
                    <a:xfrm>
                      <a:off x="0" y="0"/>
                      <a:ext cx="9000000" cy="3184615"/>
                    </a:xfrm>
                    <a:prstGeom prst="rect"/>
                  </pic:spPr>
                </pic:pic>
              </a:graphicData>
            </a:graphic>
          </wp:inline>
        </w:drawing>
      </w:r>
    </w:p>
    <w:p>
      <w:r>
        <w:rPr>
          <w:i/>
          <w:sz w:val="16"/>
        </w:rPr>
        <w:t>Figure 4.51 — Total transit flow between corridor areas, towards Tirat Carmel (M20 → S01), the four scenario-years, AM peak hour.</w:t>
      </w:r>
    </w:p>
    <w:p>
      <w:r>
        <w:drawing>
          <wp:inline xmlns:a="http://schemas.openxmlformats.org/drawingml/2006/main" xmlns:pic="http://schemas.openxmlformats.org/drawingml/2006/picture">
            <wp:extent cx="9000000" cy="3184615"/>
            <wp:docPr id="64" name="Picture 64"/>
            <wp:cNvGraphicFramePr>
              <a:graphicFrameLocks noChangeAspect="1"/>
            </wp:cNvGraphicFramePr>
            <a:graphic>
              <a:graphicData uri="http://schemas.openxmlformats.org/drawingml/2006/picture">
                <pic:pic>
                  <pic:nvPicPr>
                    <pic:cNvPr id="0" name="areaflow_transit_PM_2022.png"/>
                    <pic:cNvPicPr/>
                  </pic:nvPicPr>
                  <pic:blipFill>
                    <a:blip r:embed="rId72"/>
                    <a:stretch>
                      <a:fillRect/>
                    </a:stretch>
                  </pic:blipFill>
                  <pic:spPr>
                    <a:xfrm>
                      <a:off x="0" y="0"/>
                      <a:ext cx="9000000" cy="3184615"/>
                    </a:xfrm>
                    <a:prstGeom prst="rect"/>
                  </pic:spPr>
                </pic:pic>
              </a:graphicData>
            </a:graphic>
          </wp:inline>
        </w:drawing>
      </w:r>
    </w:p>
    <w:p>
      <w:r>
        <w:rPr>
          <w:i/>
          <w:sz w:val="16"/>
        </w:rPr>
        <w:t>Figure 4.52 — Total transit flow between corridor areas, 2022, PM peak hour.</w:t>
      </w:r>
    </w:p>
    <w:p>
      <w:r>
        <w:drawing>
          <wp:inline xmlns:a="http://schemas.openxmlformats.org/drawingml/2006/main" xmlns:pic="http://schemas.openxmlformats.org/drawingml/2006/picture">
            <wp:extent cx="9000000" cy="3184615"/>
            <wp:docPr id="65" name="Picture 65"/>
            <wp:cNvGraphicFramePr>
              <a:graphicFrameLocks noChangeAspect="1"/>
            </wp:cNvGraphicFramePr>
            <a:graphic>
              <a:graphicData uri="http://schemas.openxmlformats.org/drawingml/2006/picture">
                <pic:pic>
                  <pic:nvPicPr>
                    <pic:cNvPr id="0" name="areaflow_transit_PM_BU_2040.png"/>
                    <pic:cNvPicPr/>
                  </pic:nvPicPr>
                  <pic:blipFill>
                    <a:blip r:embed="rId73"/>
                    <a:stretch>
                      <a:fillRect/>
                    </a:stretch>
                  </pic:blipFill>
                  <pic:spPr>
                    <a:xfrm>
                      <a:off x="0" y="0"/>
                      <a:ext cx="9000000" cy="3184615"/>
                    </a:xfrm>
                    <a:prstGeom prst="rect"/>
                  </pic:spPr>
                </pic:pic>
              </a:graphicData>
            </a:graphic>
          </wp:inline>
        </w:drawing>
      </w:r>
    </w:p>
    <w:p>
      <w:r>
        <w:rPr>
          <w:i/>
          <w:sz w:val="16"/>
        </w:rPr>
        <w:t>Figure 4.53 — Total transit flow between corridor areas, 2040 BU, PM peak hour.</w:t>
      </w:r>
    </w:p>
    <w:p>
      <w:r>
        <w:drawing>
          <wp:inline xmlns:a="http://schemas.openxmlformats.org/drawingml/2006/main" xmlns:pic="http://schemas.openxmlformats.org/drawingml/2006/picture">
            <wp:extent cx="9000000" cy="3184615"/>
            <wp:docPr id="66" name="Picture 66"/>
            <wp:cNvGraphicFramePr>
              <a:graphicFrameLocks noChangeAspect="1"/>
            </wp:cNvGraphicFramePr>
            <a:graphic>
              <a:graphicData uri="http://schemas.openxmlformats.org/drawingml/2006/picture">
                <pic:pic>
                  <pic:nvPicPr>
                    <pic:cNvPr id="0" name="areaflow_transit_PM_BU_2050.png"/>
                    <pic:cNvPicPr/>
                  </pic:nvPicPr>
                  <pic:blipFill>
                    <a:blip r:embed="rId74"/>
                    <a:stretch>
                      <a:fillRect/>
                    </a:stretch>
                  </pic:blipFill>
                  <pic:spPr>
                    <a:xfrm>
                      <a:off x="0" y="0"/>
                      <a:ext cx="9000000" cy="3184615"/>
                    </a:xfrm>
                    <a:prstGeom prst="rect"/>
                  </pic:spPr>
                </pic:pic>
              </a:graphicData>
            </a:graphic>
          </wp:inline>
        </w:drawing>
      </w:r>
    </w:p>
    <w:p>
      <w:r>
        <w:rPr>
          <w:i/>
          <w:sz w:val="16"/>
        </w:rPr>
        <w:t>Figure 4.54 — Total transit flow between corridor areas, 2050 BU, PM peak hour.</w:t>
      </w:r>
    </w:p>
    <w:p>
      <w:r>
        <w:drawing>
          <wp:inline xmlns:a="http://schemas.openxmlformats.org/drawingml/2006/main" xmlns:pic="http://schemas.openxmlformats.org/drawingml/2006/picture">
            <wp:extent cx="9000000" cy="3184615"/>
            <wp:docPr id="67" name="Picture 67"/>
            <wp:cNvGraphicFramePr>
              <a:graphicFrameLocks noChangeAspect="1"/>
            </wp:cNvGraphicFramePr>
            <a:graphic>
              <a:graphicData uri="http://schemas.openxmlformats.org/drawingml/2006/picture">
                <pic:pic>
                  <pic:nvPicPr>
                    <pic:cNvPr id="0" name="areaflow_transit_PM_HS_2040.png"/>
                    <pic:cNvPicPr/>
                  </pic:nvPicPr>
                  <pic:blipFill>
                    <a:blip r:embed="rId75"/>
                    <a:stretch>
                      <a:fillRect/>
                    </a:stretch>
                  </pic:blipFill>
                  <pic:spPr>
                    <a:xfrm>
                      <a:off x="0" y="0"/>
                      <a:ext cx="9000000" cy="3184615"/>
                    </a:xfrm>
                    <a:prstGeom prst="rect"/>
                  </pic:spPr>
                </pic:pic>
              </a:graphicData>
            </a:graphic>
          </wp:inline>
        </w:drawing>
      </w:r>
    </w:p>
    <w:p>
      <w:r>
        <w:rPr>
          <w:i/>
          <w:sz w:val="16"/>
        </w:rPr>
        <w:t>Figure 4.55 — Total transit flow between corridor areas, 2040 HS, PM peak hour.</w:t>
      </w:r>
    </w:p>
    <w:p>
      <w:r>
        <w:drawing>
          <wp:inline xmlns:a="http://schemas.openxmlformats.org/drawingml/2006/main" xmlns:pic="http://schemas.openxmlformats.org/drawingml/2006/picture">
            <wp:extent cx="9000000" cy="3184615"/>
            <wp:docPr id="68" name="Picture 68"/>
            <wp:cNvGraphicFramePr>
              <a:graphicFrameLocks noChangeAspect="1"/>
            </wp:cNvGraphicFramePr>
            <a:graphic>
              <a:graphicData uri="http://schemas.openxmlformats.org/drawingml/2006/picture">
                <pic:pic>
                  <pic:nvPicPr>
                    <pic:cNvPr id="0" name="areaflow_transit_PM_HS_2050.png"/>
                    <pic:cNvPicPr/>
                  </pic:nvPicPr>
                  <pic:blipFill>
                    <a:blip r:embed="rId76"/>
                    <a:stretch>
                      <a:fillRect/>
                    </a:stretch>
                  </pic:blipFill>
                  <pic:spPr>
                    <a:xfrm>
                      <a:off x="0" y="0"/>
                      <a:ext cx="9000000" cy="3184615"/>
                    </a:xfrm>
                    <a:prstGeom prst="rect"/>
                  </pic:spPr>
                </pic:pic>
              </a:graphicData>
            </a:graphic>
          </wp:inline>
        </w:drawing>
      </w:r>
    </w:p>
    <w:p>
      <w:r>
        <w:rPr>
          <w:i/>
          <w:sz w:val="16"/>
        </w:rPr>
        <w:t>Figure 4.56 — Total transit flow between corridor areas, 2050 HS, PM peak hour.</w:t>
      </w:r>
    </w:p>
    <w:p>
      <w:r>
        <w:drawing>
          <wp:inline xmlns:a="http://schemas.openxmlformats.org/drawingml/2006/main" xmlns:pic="http://schemas.openxmlformats.org/drawingml/2006/picture">
            <wp:extent cx="9000000" cy="3184615"/>
            <wp:docPr id="69" name="Picture 69"/>
            <wp:cNvGraphicFramePr>
              <a:graphicFrameLocks noChangeAspect="1"/>
            </wp:cNvGraphicFramePr>
            <a:graphic>
              <a:graphicData uri="http://schemas.openxmlformats.org/drawingml/2006/picture">
                <pic:pic>
                  <pic:nvPicPr>
                    <pic:cNvPr id="0" name="areaflow_transit_PM_scenarios_dir1.png"/>
                    <pic:cNvPicPr/>
                  </pic:nvPicPr>
                  <pic:blipFill>
                    <a:blip r:embed="rId77"/>
                    <a:stretch>
                      <a:fillRect/>
                    </a:stretch>
                  </pic:blipFill>
                  <pic:spPr>
                    <a:xfrm>
                      <a:off x="0" y="0"/>
                      <a:ext cx="9000000" cy="3184615"/>
                    </a:xfrm>
                    <a:prstGeom prst="rect"/>
                  </pic:spPr>
                </pic:pic>
              </a:graphicData>
            </a:graphic>
          </wp:inline>
        </w:drawing>
      </w:r>
    </w:p>
    <w:p>
      <w:r>
        <w:rPr>
          <w:i/>
          <w:sz w:val="16"/>
        </w:rPr>
        <w:t>Figure 4.57 — Total transit flow between corridor areas, towards Nazareth (S01 → M20), the four scenario-years, PM peak hour.</w:t>
      </w:r>
    </w:p>
    <w:p>
      <w:r>
        <w:drawing>
          <wp:inline xmlns:a="http://schemas.openxmlformats.org/drawingml/2006/main" xmlns:pic="http://schemas.openxmlformats.org/drawingml/2006/picture">
            <wp:extent cx="9000000" cy="3184615"/>
            <wp:docPr id="70" name="Picture 70"/>
            <wp:cNvGraphicFramePr>
              <a:graphicFrameLocks noChangeAspect="1"/>
            </wp:cNvGraphicFramePr>
            <a:graphic>
              <a:graphicData uri="http://schemas.openxmlformats.org/drawingml/2006/picture">
                <pic:pic>
                  <pic:nvPicPr>
                    <pic:cNvPr id="0" name="areaflow_transit_PM_scenarios_dir2.png"/>
                    <pic:cNvPicPr/>
                  </pic:nvPicPr>
                  <pic:blipFill>
                    <a:blip r:embed="rId78"/>
                    <a:stretch>
                      <a:fillRect/>
                    </a:stretch>
                  </pic:blipFill>
                  <pic:spPr>
                    <a:xfrm>
                      <a:off x="0" y="0"/>
                      <a:ext cx="9000000" cy="3184615"/>
                    </a:xfrm>
                    <a:prstGeom prst="rect"/>
                  </pic:spPr>
                </pic:pic>
              </a:graphicData>
            </a:graphic>
          </wp:inline>
        </w:drawing>
      </w:r>
    </w:p>
    <w:p>
      <w:r>
        <w:rPr>
          <w:i/>
          <w:sz w:val="16"/>
        </w:rPr>
        <w:t>Figure 4.58 — Total transit flow between corridor areas, towards Tirat Carmel (M20 → S01), the four scenario-years, PM peak hour.</w:t>
      </w:r>
    </w:p>
    <w:p>
      <w:pPr>
        <w:sectPr>
          <w:pgSz w:w="15840" w:h="12240" w:orient="landscape"/>
          <w:pgMar w:top="1440" w:right="850" w:bottom="1440" w:left="850" w:header="720" w:footer="720" w:gutter="0"/>
          <w:cols w:space="720"/>
          <w:docGrid w:linePitch="360"/>
        </w:sectPr>
      </w:pPr>
    </w:p>
    <w:p>
      <w:pPr>
        <w:pStyle w:val="Heading2"/>
      </w:pPr>
      <w:r>
        <w:t>4.7 Mode split on the route</w:t>
      </w:r>
    </w:p>
    <w:p>
      <w:r>
        <w:t>The split of the corridor market between car and transit after the LRT, with the LRT shown within transit, by scenario and period.</w:t>
      </w:r>
    </w:p>
    <w:p>
      <w:r>
        <w:drawing>
          <wp:inline xmlns:a="http://schemas.openxmlformats.org/drawingml/2006/main" xmlns:pic="http://schemas.openxmlformats.org/drawingml/2006/picture">
            <wp:extent cx="4320000" cy="3085714"/>
            <wp:docPr id="71" name="Picture 71"/>
            <wp:cNvGraphicFramePr>
              <a:graphicFrameLocks noChangeAspect="1"/>
            </wp:cNvGraphicFramePr>
            <a:graphic>
              <a:graphicData uri="http://schemas.openxmlformats.org/drawingml/2006/picture">
                <pic:pic>
                  <pic:nvPicPr>
                    <pic:cNvPr id="0" name="mode_split_AM.png"/>
                    <pic:cNvPicPr/>
                  </pic:nvPicPr>
                  <pic:blipFill>
                    <a:blip r:embed="rId79"/>
                    <a:stretch>
                      <a:fillRect/>
                    </a:stretch>
                  </pic:blipFill>
                  <pic:spPr>
                    <a:xfrm>
                      <a:off x="0" y="0"/>
                      <a:ext cx="4320000" cy="3085714"/>
                    </a:xfrm>
                    <a:prstGeom prst="rect"/>
                  </pic:spPr>
                </pic:pic>
              </a:graphicData>
            </a:graphic>
          </wp:inline>
        </w:drawing>
      </w:r>
    </w:p>
    <w:p>
      <w:r>
        <w:rPr>
          <w:i/>
          <w:sz w:val="16"/>
        </w:rPr>
        <w:t>Figure 4.11a — Mode split on the corridor after the LRT: car, bus, Metronit and LRT, AM.</w:t>
      </w:r>
    </w:p>
    <w:p>
      <w:r>
        <w:drawing>
          <wp:inline xmlns:a="http://schemas.openxmlformats.org/drawingml/2006/main" xmlns:pic="http://schemas.openxmlformats.org/drawingml/2006/picture">
            <wp:extent cx="4320000" cy="3085714"/>
            <wp:docPr id="72" name="Picture 72"/>
            <wp:cNvGraphicFramePr>
              <a:graphicFrameLocks noChangeAspect="1"/>
            </wp:cNvGraphicFramePr>
            <a:graphic>
              <a:graphicData uri="http://schemas.openxmlformats.org/drawingml/2006/picture">
                <pic:pic>
                  <pic:nvPicPr>
                    <pic:cNvPr id="0" name="mode_split_PM.png"/>
                    <pic:cNvPicPr/>
                  </pic:nvPicPr>
                  <pic:blipFill>
                    <a:blip r:embed="rId80"/>
                    <a:stretch>
                      <a:fillRect/>
                    </a:stretch>
                  </pic:blipFill>
                  <pic:spPr>
                    <a:xfrm>
                      <a:off x="0" y="0"/>
                      <a:ext cx="4320000" cy="3085714"/>
                    </a:xfrm>
                    <a:prstGeom prst="rect"/>
                  </pic:spPr>
                </pic:pic>
              </a:graphicData>
            </a:graphic>
          </wp:inline>
        </w:drawing>
      </w:r>
    </w:p>
    <w:p>
      <w:r>
        <w:rPr>
          <w:i/>
          <w:sz w:val="16"/>
        </w:rPr>
        <w:t>Figure 4.11b — The same for the PM.</w:t>
      </w:r>
    </w:p>
    <w:p>
      <w:pPr>
        <w:pStyle w:val="Heading2"/>
      </w:pPr>
      <w:r>
        <w:t>4.8 Sensitivity: the Unprioritized regime</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b/>
                <w:sz w:val="14"/>
              </w:rPr>
              <w:t>period</w:t>
            </w:r>
          </w:p>
        </w:tc>
        <w:tc>
          <w:tcPr>
            <w:tcW w:type="dxa" w:w="1108"/>
          </w:tcPr>
          <w:p>
            <w:r>
              <w:rPr>
                <w:b/>
                <w:sz w:val="14"/>
              </w:rPr>
              <w:t>scenario</w:t>
            </w:r>
          </w:p>
        </w:tc>
        <w:tc>
          <w:tcPr>
            <w:tcW w:type="dxa" w:w="1108"/>
          </w:tcPr>
          <w:p>
            <w:r>
              <w:rPr>
                <w:b/>
                <w:sz w:val="14"/>
              </w:rPr>
              <w:t>LRT Prioritized</w:t>
            </w:r>
          </w:p>
        </w:tc>
        <w:tc>
          <w:tcPr>
            <w:tcW w:type="dxa" w:w="1108"/>
          </w:tcPr>
          <w:p>
            <w:r>
              <w:rPr>
                <w:b/>
                <w:sz w:val="14"/>
              </w:rPr>
              <w:t>LRT Unprioritized</w:t>
            </w:r>
          </w:p>
        </w:tc>
        <w:tc>
          <w:tcPr>
            <w:tcW w:type="dxa" w:w="1108"/>
          </w:tcPr>
          <w:p>
            <w:r>
              <w:rPr>
                <w:b/>
                <w:sz w:val="14"/>
              </w:rPr>
              <w:t>ratio</w:t>
            </w:r>
          </w:p>
        </w:tc>
        <w:tc>
          <w:tcPr>
            <w:tcW w:type="dxa" w:w="1108"/>
          </w:tcPr>
          <w:p>
            <w:r>
              <w:rPr>
                <w:b/>
                <w:sz w:val="14"/>
              </w:rPr>
              <w:t>using the extension, Prioritized</w:t>
            </w:r>
          </w:p>
        </w:tc>
        <w:tc>
          <w:tcPr>
            <w:tcW w:type="dxa" w:w="1108"/>
          </w:tcPr>
          <w:p>
            <w:r>
              <w:rPr>
                <w:b/>
                <w:sz w:val="14"/>
              </w:rPr>
              <w:t>using the extension, Unprioritized</w:t>
            </w:r>
          </w:p>
        </w:tc>
        <w:tc>
          <w:tcPr>
            <w:tcW w:type="dxa" w:w="1108"/>
          </w:tcPr>
          <w:p>
            <w:r>
              <w:rPr>
                <w:b/>
                <w:sz w:val="14"/>
              </w:rPr>
              <w:t>from car, Prioritized</w:t>
            </w:r>
          </w:p>
        </w:tc>
        <w:tc>
          <w:tcPr>
            <w:tcW w:type="dxa" w:w="1108"/>
          </w:tcPr>
          <w:p>
            <w:r>
              <w:rPr>
                <w:b/>
                <w:sz w:val="14"/>
              </w:rPr>
              <w:t>from car, Unprioritized</w:t>
            </w:r>
          </w:p>
        </w:tc>
      </w:tr>
      <w:tr>
        <w:tc>
          <w:tcPr>
            <w:tcW w:type="dxa" w:w="1108"/>
          </w:tcPr>
          <w:p>
            <w:r>
              <w:rPr>
                <w:sz w:val="14"/>
              </w:rPr>
              <w:t>AM</w:t>
            </w:r>
          </w:p>
        </w:tc>
        <w:tc>
          <w:tcPr>
            <w:tcW w:type="dxa" w:w="1108"/>
          </w:tcPr>
          <w:p>
            <w:r>
              <w:rPr>
                <w:sz w:val="14"/>
              </w:rPr>
              <w:t>2040 BU</w:t>
            </w:r>
          </w:p>
        </w:tc>
        <w:tc>
          <w:tcPr>
            <w:tcW w:type="dxa" w:w="1108"/>
          </w:tcPr>
          <w:p>
            <w:r>
              <w:rPr>
                <w:sz w:val="14"/>
              </w:rPr>
              <w:t>6,309</w:t>
            </w:r>
          </w:p>
        </w:tc>
        <w:tc>
          <w:tcPr>
            <w:tcW w:type="dxa" w:w="1108"/>
          </w:tcPr>
          <w:p>
            <w:r>
              <w:rPr>
                <w:sz w:val="14"/>
              </w:rPr>
              <w:t>4,999</w:t>
            </w:r>
          </w:p>
        </w:tc>
        <w:tc>
          <w:tcPr>
            <w:tcW w:type="dxa" w:w="1108"/>
          </w:tcPr>
          <w:p>
            <w:r>
              <w:rPr>
                <w:sz w:val="14"/>
              </w:rPr>
              <w:t>0.79</w:t>
            </w:r>
          </w:p>
        </w:tc>
        <w:tc>
          <w:tcPr>
            <w:tcW w:type="dxa" w:w="1108"/>
          </w:tcPr>
          <w:p>
            <w:r>
              <w:rPr>
                <w:sz w:val="14"/>
              </w:rPr>
              <w:t>4,950</w:t>
            </w:r>
          </w:p>
        </w:tc>
        <w:tc>
          <w:tcPr>
            <w:tcW w:type="dxa" w:w="1108"/>
          </w:tcPr>
          <w:p>
            <w:r>
              <w:rPr>
                <w:sz w:val="14"/>
              </w:rPr>
              <w:t>3,640</w:t>
            </w:r>
          </w:p>
        </w:tc>
        <w:tc>
          <w:tcPr>
            <w:tcW w:type="dxa" w:w="1108"/>
          </w:tcPr>
          <w:p>
            <w:r>
              <w:rPr>
                <w:sz w:val="14"/>
              </w:rPr>
              <w:t>353</w:t>
            </w:r>
          </w:p>
        </w:tc>
        <w:tc>
          <w:tcPr>
            <w:tcW w:type="dxa" w:w="1108"/>
          </w:tcPr>
          <w:p>
            <w:r>
              <w:rPr>
                <w:sz w:val="14"/>
              </w:rPr>
              <w:t>237</w:t>
            </w:r>
          </w:p>
        </w:tc>
      </w:tr>
      <w:tr>
        <w:tc>
          <w:tcPr>
            <w:tcW w:type="dxa" w:w="1108"/>
          </w:tcPr>
          <w:p>
            <w:r>
              <w:rPr>
                <w:sz w:val="14"/>
              </w:rPr>
              <w:t>AM</w:t>
            </w:r>
          </w:p>
        </w:tc>
        <w:tc>
          <w:tcPr>
            <w:tcW w:type="dxa" w:w="1108"/>
          </w:tcPr>
          <w:p>
            <w:r>
              <w:rPr>
                <w:sz w:val="14"/>
              </w:rPr>
              <w:t>2050 BU</w:t>
            </w:r>
          </w:p>
        </w:tc>
        <w:tc>
          <w:tcPr>
            <w:tcW w:type="dxa" w:w="1108"/>
          </w:tcPr>
          <w:p>
            <w:r>
              <w:rPr>
                <w:sz w:val="14"/>
              </w:rPr>
              <w:t>7,433</w:t>
            </w:r>
          </w:p>
        </w:tc>
        <w:tc>
          <w:tcPr>
            <w:tcW w:type="dxa" w:w="1108"/>
          </w:tcPr>
          <w:p>
            <w:r>
              <w:rPr>
                <w:sz w:val="14"/>
              </w:rPr>
              <w:t>5,700</w:t>
            </w:r>
          </w:p>
        </w:tc>
        <w:tc>
          <w:tcPr>
            <w:tcW w:type="dxa" w:w="1108"/>
          </w:tcPr>
          <w:p>
            <w:r>
              <w:rPr>
                <w:sz w:val="14"/>
              </w:rPr>
              <w:t>0.77</w:t>
            </w:r>
          </w:p>
        </w:tc>
        <w:tc>
          <w:tcPr>
            <w:tcW w:type="dxa" w:w="1108"/>
          </w:tcPr>
          <w:p>
            <w:r>
              <w:rPr>
                <w:sz w:val="14"/>
              </w:rPr>
              <w:t>6,003</w:t>
            </w:r>
          </w:p>
        </w:tc>
        <w:tc>
          <w:tcPr>
            <w:tcW w:type="dxa" w:w="1108"/>
          </w:tcPr>
          <w:p>
            <w:r>
              <w:rPr>
                <w:sz w:val="14"/>
              </w:rPr>
              <w:t>4,271</w:t>
            </w:r>
          </w:p>
        </w:tc>
        <w:tc>
          <w:tcPr>
            <w:tcW w:type="dxa" w:w="1108"/>
          </w:tcPr>
          <w:p>
            <w:r>
              <w:rPr>
                <w:sz w:val="14"/>
              </w:rPr>
              <w:t>818</w:t>
            </w:r>
          </w:p>
        </w:tc>
        <w:tc>
          <w:tcPr>
            <w:tcW w:type="dxa" w:w="1108"/>
          </w:tcPr>
          <w:p>
            <w:r>
              <w:rPr>
                <w:sz w:val="14"/>
              </w:rPr>
              <w:t>450</w:t>
            </w:r>
          </w:p>
        </w:tc>
      </w:tr>
      <w:tr>
        <w:tc>
          <w:tcPr>
            <w:tcW w:type="dxa" w:w="1108"/>
          </w:tcPr>
          <w:p>
            <w:r>
              <w:rPr>
                <w:sz w:val="14"/>
              </w:rPr>
              <w:t>AM</w:t>
            </w:r>
          </w:p>
        </w:tc>
        <w:tc>
          <w:tcPr>
            <w:tcW w:type="dxa" w:w="1108"/>
          </w:tcPr>
          <w:p>
            <w:r>
              <w:rPr>
                <w:sz w:val="14"/>
              </w:rPr>
              <w:t>2040 HS</w:t>
            </w:r>
          </w:p>
        </w:tc>
        <w:tc>
          <w:tcPr>
            <w:tcW w:type="dxa" w:w="1108"/>
          </w:tcPr>
          <w:p>
            <w:r>
              <w:rPr>
                <w:sz w:val="14"/>
              </w:rPr>
              <w:t>7,476</w:t>
            </w:r>
          </w:p>
        </w:tc>
        <w:tc>
          <w:tcPr>
            <w:tcW w:type="dxa" w:w="1108"/>
          </w:tcPr>
          <w:p>
            <w:r>
              <w:rPr>
                <w:sz w:val="14"/>
              </w:rPr>
              <w:t>6,010</w:t>
            </w:r>
          </w:p>
        </w:tc>
        <w:tc>
          <w:tcPr>
            <w:tcW w:type="dxa" w:w="1108"/>
          </w:tcPr>
          <w:p>
            <w:r>
              <w:rPr>
                <w:sz w:val="14"/>
              </w:rPr>
              <w:t>0.80</w:t>
            </w:r>
          </w:p>
        </w:tc>
        <w:tc>
          <w:tcPr>
            <w:tcW w:type="dxa" w:w="1108"/>
          </w:tcPr>
          <w:p>
            <w:r>
              <w:rPr>
                <w:sz w:val="14"/>
              </w:rPr>
              <w:t>5,651</w:t>
            </w:r>
          </w:p>
        </w:tc>
        <w:tc>
          <w:tcPr>
            <w:tcW w:type="dxa" w:w="1108"/>
          </w:tcPr>
          <w:p>
            <w:r>
              <w:rPr>
                <w:sz w:val="14"/>
              </w:rPr>
              <w:t>4,185</w:t>
            </w:r>
          </w:p>
        </w:tc>
        <w:tc>
          <w:tcPr>
            <w:tcW w:type="dxa" w:w="1108"/>
          </w:tcPr>
          <w:p>
            <w:r>
              <w:rPr>
                <w:sz w:val="14"/>
              </w:rPr>
              <w:t>870</w:t>
            </w:r>
          </w:p>
        </w:tc>
        <w:tc>
          <w:tcPr>
            <w:tcW w:type="dxa" w:w="1108"/>
          </w:tcPr>
          <w:p>
            <w:r>
              <w:rPr>
                <w:sz w:val="14"/>
              </w:rPr>
              <w:t>628</w:t>
            </w:r>
          </w:p>
        </w:tc>
      </w:tr>
      <w:tr>
        <w:tc>
          <w:tcPr>
            <w:tcW w:type="dxa" w:w="1108"/>
          </w:tcPr>
          <w:p>
            <w:r>
              <w:rPr>
                <w:sz w:val="14"/>
              </w:rPr>
              <w:t>AM</w:t>
            </w:r>
          </w:p>
        </w:tc>
        <w:tc>
          <w:tcPr>
            <w:tcW w:type="dxa" w:w="1108"/>
          </w:tcPr>
          <w:p>
            <w:r>
              <w:rPr>
                <w:sz w:val="14"/>
              </w:rPr>
              <w:t>2050 HS</w:t>
            </w:r>
          </w:p>
        </w:tc>
        <w:tc>
          <w:tcPr>
            <w:tcW w:type="dxa" w:w="1108"/>
          </w:tcPr>
          <w:p>
            <w:r>
              <w:rPr>
                <w:sz w:val="14"/>
              </w:rPr>
              <w:t>9,225</w:t>
            </w:r>
          </w:p>
        </w:tc>
        <w:tc>
          <w:tcPr>
            <w:tcW w:type="dxa" w:w="1108"/>
          </w:tcPr>
          <w:p>
            <w:r>
              <w:rPr>
                <w:sz w:val="14"/>
              </w:rPr>
              <w:t>7,393</w:t>
            </w:r>
          </w:p>
        </w:tc>
        <w:tc>
          <w:tcPr>
            <w:tcW w:type="dxa" w:w="1108"/>
          </w:tcPr>
          <w:p>
            <w:r>
              <w:rPr>
                <w:sz w:val="14"/>
              </w:rPr>
              <w:t>0.80</w:t>
            </w:r>
          </w:p>
        </w:tc>
        <w:tc>
          <w:tcPr>
            <w:tcW w:type="dxa" w:w="1108"/>
          </w:tcPr>
          <w:p>
            <w:r>
              <w:rPr>
                <w:sz w:val="14"/>
              </w:rPr>
              <w:t>7,010</w:t>
            </w:r>
          </w:p>
        </w:tc>
        <w:tc>
          <w:tcPr>
            <w:tcW w:type="dxa" w:w="1108"/>
          </w:tcPr>
          <w:p>
            <w:r>
              <w:rPr>
                <w:sz w:val="14"/>
              </w:rPr>
              <w:t>5,179</w:t>
            </w:r>
          </w:p>
        </w:tc>
        <w:tc>
          <w:tcPr>
            <w:tcW w:type="dxa" w:w="1108"/>
          </w:tcPr>
          <w:p>
            <w:r>
              <w:rPr>
                <w:sz w:val="14"/>
              </w:rPr>
              <w:t>1,311</w:t>
            </w:r>
          </w:p>
        </w:tc>
        <w:tc>
          <w:tcPr>
            <w:tcW w:type="dxa" w:w="1108"/>
          </w:tcPr>
          <w:p>
            <w:r>
              <w:rPr>
                <w:sz w:val="14"/>
              </w:rPr>
              <w:t>934</w:t>
            </w:r>
          </w:p>
        </w:tc>
      </w:tr>
      <w:tr>
        <w:tc>
          <w:tcPr>
            <w:tcW w:type="dxa" w:w="1108"/>
          </w:tcPr>
          <w:p>
            <w:r>
              <w:rPr>
                <w:sz w:val="14"/>
              </w:rPr>
              <w:t>PM</w:t>
            </w:r>
          </w:p>
        </w:tc>
        <w:tc>
          <w:tcPr>
            <w:tcW w:type="dxa" w:w="1108"/>
          </w:tcPr>
          <w:p>
            <w:r>
              <w:rPr>
                <w:sz w:val="14"/>
              </w:rPr>
              <w:t>2040 BU</w:t>
            </w:r>
          </w:p>
        </w:tc>
        <w:tc>
          <w:tcPr>
            <w:tcW w:type="dxa" w:w="1108"/>
          </w:tcPr>
          <w:p>
            <w:r>
              <w:rPr>
                <w:sz w:val="14"/>
              </w:rPr>
              <w:t>5,358</w:t>
            </w:r>
          </w:p>
        </w:tc>
        <w:tc>
          <w:tcPr>
            <w:tcW w:type="dxa" w:w="1108"/>
          </w:tcPr>
          <w:p>
            <w:r>
              <w:rPr>
                <w:sz w:val="14"/>
              </w:rPr>
              <w:t>4,263</w:t>
            </w:r>
          </w:p>
        </w:tc>
        <w:tc>
          <w:tcPr>
            <w:tcW w:type="dxa" w:w="1108"/>
          </w:tcPr>
          <w:p>
            <w:r>
              <w:rPr>
                <w:sz w:val="14"/>
              </w:rPr>
              <w:t>0.80</w:t>
            </w:r>
          </w:p>
        </w:tc>
        <w:tc>
          <w:tcPr>
            <w:tcW w:type="dxa" w:w="1108"/>
          </w:tcPr>
          <w:p>
            <w:r>
              <w:rPr>
                <w:sz w:val="14"/>
              </w:rPr>
              <w:t>4,300</w:t>
            </w:r>
          </w:p>
        </w:tc>
        <w:tc>
          <w:tcPr>
            <w:tcW w:type="dxa" w:w="1108"/>
          </w:tcPr>
          <w:p>
            <w:r>
              <w:rPr>
                <w:sz w:val="14"/>
              </w:rPr>
              <w:t>3,205</w:t>
            </w:r>
          </w:p>
        </w:tc>
        <w:tc>
          <w:tcPr>
            <w:tcW w:type="dxa" w:w="1108"/>
          </w:tcPr>
          <w:p>
            <w:r>
              <w:rPr>
                <w:sz w:val="14"/>
              </w:rPr>
              <w:t>327</w:t>
            </w:r>
          </w:p>
        </w:tc>
        <w:tc>
          <w:tcPr>
            <w:tcW w:type="dxa" w:w="1108"/>
          </w:tcPr>
          <w:p>
            <w:r>
              <w:rPr>
                <w:sz w:val="14"/>
              </w:rPr>
              <w:t>222</w:t>
            </w:r>
          </w:p>
        </w:tc>
      </w:tr>
      <w:tr>
        <w:tc>
          <w:tcPr>
            <w:tcW w:type="dxa" w:w="1108"/>
          </w:tcPr>
          <w:p>
            <w:r>
              <w:rPr>
                <w:sz w:val="14"/>
              </w:rPr>
              <w:t>PM</w:t>
            </w:r>
          </w:p>
        </w:tc>
        <w:tc>
          <w:tcPr>
            <w:tcW w:type="dxa" w:w="1108"/>
          </w:tcPr>
          <w:p>
            <w:r>
              <w:rPr>
                <w:sz w:val="14"/>
              </w:rPr>
              <w:t>2050 BU</w:t>
            </w:r>
          </w:p>
        </w:tc>
        <w:tc>
          <w:tcPr>
            <w:tcW w:type="dxa" w:w="1108"/>
          </w:tcPr>
          <w:p>
            <w:r>
              <w:rPr>
                <w:sz w:val="14"/>
              </w:rPr>
              <w:t>6,135</w:t>
            </w:r>
          </w:p>
        </w:tc>
        <w:tc>
          <w:tcPr>
            <w:tcW w:type="dxa" w:w="1108"/>
          </w:tcPr>
          <w:p>
            <w:r>
              <w:rPr>
                <w:sz w:val="14"/>
              </w:rPr>
              <w:t>4,854</w:t>
            </w:r>
          </w:p>
        </w:tc>
        <w:tc>
          <w:tcPr>
            <w:tcW w:type="dxa" w:w="1108"/>
          </w:tcPr>
          <w:p>
            <w:r>
              <w:rPr>
                <w:sz w:val="14"/>
              </w:rPr>
              <w:t>0.79</w:t>
            </w:r>
          </w:p>
        </w:tc>
        <w:tc>
          <w:tcPr>
            <w:tcW w:type="dxa" w:w="1108"/>
          </w:tcPr>
          <w:p>
            <w:r>
              <w:rPr>
                <w:sz w:val="14"/>
              </w:rPr>
              <w:t>4,998</w:t>
            </w:r>
          </w:p>
        </w:tc>
        <w:tc>
          <w:tcPr>
            <w:tcW w:type="dxa" w:w="1108"/>
          </w:tcPr>
          <w:p>
            <w:r>
              <w:rPr>
                <w:sz w:val="14"/>
              </w:rPr>
              <w:t>3,717</w:t>
            </w:r>
          </w:p>
        </w:tc>
        <w:tc>
          <w:tcPr>
            <w:tcW w:type="dxa" w:w="1108"/>
          </w:tcPr>
          <w:p>
            <w:r>
              <w:rPr>
                <w:sz w:val="14"/>
              </w:rPr>
              <w:t>368</w:t>
            </w:r>
          </w:p>
        </w:tc>
        <w:tc>
          <w:tcPr>
            <w:tcW w:type="dxa" w:w="1108"/>
          </w:tcPr>
          <w:p>
            <w:r>
              <w:rPr>
                <w:sz w:val="14"/>
              </w:rPr>
              <w:t>246</w:t>
            </w:r>
          </w:p>
        </w:tc>
      </w:tr>
      <w:tr>
        <w:tc>
          <w:tcPr>
            <w:tcW w:type="dxa" w:w="1108"/>
          </w:tcPr>
          <w:p>
            <w:r>
              <w:rPr>
                <w:sz w:val="14"/>
              </w:rPr>
              <w:t>PM</w:t>
            </w:r>
          </w:p>
        </w:tc>
        <w:tc>
          <w:tcPr>
            <w:tcW w:type="dxa" w:w="1108"/>
          </w:tcPr>
          <w:p>
            <w:r>
              <w:rPr>
                <w:sz w:val="14"/>
              </w:rPr>
              <w:t>2040 HS</w:t>
            </w:r>
          </w:p>
        </w:tc>
        <w:tc>
          <w:tcPr>
            <w:tcW w:type="dxa" w:w="1108"/>
          </w:tcPr>
          <w:p>
            <w:r>
              <w:rPr>
                <w:sz w:val="14"/>
              </w:rPr>
              <w:t>5,620</w:t>
            </w:r>
          </w:p>
        </w:tc>
        <w:tc>
          <w:tcPr>
            <w:tcW w:type="dxa" w:w="1108"/>
          </w:tcPr>
          <w:p>
            <w:r>
              <w:rPr>
                <w:sz w:val="14"/>
              </w:rPr>
              <w:t>4,512</w:t>
            </w:r>
          </w:p>
        </w:tc>
        <w:tc>
          <w:tcPr>
            <w:tcW w:type="dxa" w:w="1108"/>
          </w:tcPr>
          <w:p>
            <w:r>
              <w:rPr>
                <w:sz w:val="14"/>
              </w:rPr>
              <w:t>0.80</w:t>
            </w:r>
          </w:p>
        </w:tc>
        <w:tc>
          <w:tcPr>
            <w:tcW w:type="dxa" w:w="1108"/>
          </w:tcPr>
          <w:p>
            <w:r>
              <w:rPr>
                <w:sz w:val="14"/>
              </w:rPr>
              <w:t>4,595</w:t>
            </w:r>
          </w:p>
        </w:tc>
        <w:tc>
          <w:tcPr>
            <w:tcW w:type="dxa" w:w="1108"/>
          </w:tcPr>
          <w:p>
            <w:r>
              <w:rPr>
                <w:sz w:val="14"/>
              </w:rPr>
              <w:t>3,488</w:t>
            </w:r>
          </w:p>
        </w:tc>
        <w:tc>
          <w:tcPr>
            <w:tcW w:type="dxa" w:w="1108"/>
          </w:tcPr>
          <w:p>
            <w:r>
              <w:rPr>
                <w:sz w:val="14"/>
              </w:rPr>
              <w:t>425</w:t>
            </w:r>
          </w:p>
        </w:tc>
        <w:tc>
          <w:tcPr>
            <w:tcW w:type="dxa" w:w="1108"/>
          </w:tcPr>
          <w:p>
            <w:r>
              <w:rPr>
                <w:sz w:val="14"/>
              </w:rPr>
              <w:t>290</w:t>
            </w:r>
          </w:p>
        </w:tc>
      </w:tr>
      <w:tr>
        <w:tc>
          <w:tcPr>
            <w:tcW w:type="dxa" w:w="1108"/>
          </w:tcPr>
          <w:p>
            <w:r>
              <w:rPr>
                <w:sz w:val="14"/>
              </w:rPr>
              <w:t>PM</w:t>
            </w:r>
          </w:p>
        </w:tc>
        <w:tc>
          <w:tcPr>
            <w:tcW w:type="dxa" w:w="1108"/>
          </w:tcPr>
          <w:p>
            <w:r>
              <w:rPr>
                <w:sz w:val="14"/>
              </w:rPr>
              <w:t>2050 HS</w:t>
            </w:r>
          </w:p>
        </w:tc>
        <w:tc>
          <w:tcPr>
            <w:tcW w:type="dxa" w:w="1108"/>
          </w:tcPr>
          <w:p>
            <w:r>
              <w:rPr>
                <w:sz w:val="14"/>
              </w:rPr>
              <w:t>5,956</w:t>
            </w:r>
          </w:p>
        </w:tc>
        <w:tc>
          <w:tcPr>
            <w:tcW w:type="dxa" w:w="1108"/>
          </w:tcPr>
          <w:p>
            <w:r>
              <w:rPr>
                <w:sz w:val="14"/>
              </w:rPr>
              <w:t>4,768</w:t>
            </w:r>
          </w:p>
        </w:tc>
        <w:tc>
          <w:tcPr>
            <w:tcW w:type="dxa" w:w="1108"/>
          </w:tcPr>
          <w:p>
            <w:r>
              <w:rPr>
                <w:sz w:val="14"/>
              </w:rPr>
              <w:t>0.80</w:t>
            </w:r>
          </w:p>
        </w:tc>
        <w:tc>
          <w:tcPr>
            <w:tcW w:type="dxa" w:w="1108"/>
          </w:tcPr>
          <w:p>
            <w:r>
              <w:rPr>
                <w:sz w:val="14"/>
              </w:rPr>
              <w:t>4,918</w:t>
            </w:r>
          </w:p>
        </w:tc>
        <w:tc>
          <w:tcPr>
            <w:tcW w:type="dxa" w:w="1108"/>
          </w:tcPr>
          <w:p>
            <w:r>
              <w:rPr>
                <w:sz w:val="14"/>
              </w:rPr>
              <w:t>3,730</w:t>
            </w:r>
          </w:p>
        </w:tc>
        <w:tc>
          <w:tcPr>
            <w:tcW w:type="dxa" w:w="1108"/>
          </w:tcPr>
          <w:p>
            <w:r>
              <w:rPr>
                <w:sz w:val="14"/>
              </w:rPr>
              <w:t>466</w:t>
            </w:r>
          </w:p>
        </w:tc>
        <w:tc>
          <w:tcPr>
            <w:tcW w:type="dxa" w:w="1108"/>
          </w:tcPr>
          <w:p>
            <w:r>
              <w:rPr>
                <w:sz w:val="14"/>
              </w:rPr>
              <w:t>316</w:t>
            </w:r>
          </w:p>
        </w:tc>
      </w:tr>
    </w:tbl>
    <w:p>
      <w:r>
        <w:rPr>
          <w:sz w:val="16"/>
        </w:rPr>
        <w:t>Table 4.8 — LRT trips in the two regimes of the extension. The Unprioritized regime (at-grade running, 65.8 min end to end on the extension against 40.7) loses about a fifth of the LRT trips, most of it on the extension itself.</w:t>
      </w:r>
    </w:p>
    <w:p>
      <w:pPr>
        <w:pStyle w:val="Heading2"/>
      </w:pPr>
      <w:r>
        <w:t>4.9 Sensitivity: slower buses in 2040 and 2050</w:t>
      </w:r>
    </w:p>
    <w:p>
      <w:r>
        <w:t>Every scenario year runs on the May 2026 level of service: the car and the buses are as fast in 2050 as today while the corridor demand grows by 30–60 %. This is the "do-minimum network" convention, kept because the 2040 road and transit network of the regional model is not available and degrading today's network with tomorrow's demand while leaving out every planned scheme would be the worse assumption. Two things follow. First, a slower car would change nothing in this model: the pivot moves trips on the change of the transit bundle only, and the car's level enters through the observed 2022 shares (caveat 25); making the car count needs a no-build mode-choice step (handover item D-11). Second, slower buses do count: a bus in mixed traffic that slows with the road raises the bus generalized cost, while the Metronit on its lanes and a Prioritized LRT keep their times, so both the LRT share within transit and the draw from the car rise. The central assumption is therefore conservative for the LRT.</w:t>
      </w:r>
    </w:p>
    <w:p>
      <w:r>
        <w:t>The sensitivity: step 45 rerun with the running time of every bus ride that is not the Metronit multiplied by 1.10 in 2040 and 1.20 in 2050 (both BU and HS), the Metronit and the LRT unchanged, the bus feeder legs of the LRT paths slowed with the buses. The factors are a reading of a standard volume–delay curve for a road demand growing by 1.3–1.6 × from about 80 % of capacity, not a calibrated value: the May 2026 car speeds hardly move by hour (caveat 24) and cannot calibrate one. Source: Output/alternatives_bus_slow/demand_summary.csv.</w:t>
      </w:r>
    </w:p>
    <w:tbl>
      <w:tblPr>
        <w:tblStyle w:val="LightGrid-Accent1"/>
        <w:tblW w:type="auto" w:w="0"/>
        <w:tblLook w:firstColumn="1" w:firstRow="1" w:lastColumn="0" w:lastRow="0" w:noHBand="0" w:noVBand="1" w:val="04A0"/>
      </w:tblPr>
      <w:tblGrid>
        <w:gridCol w:w="712"/>
        <w:gridCol w:w="712"/>
        <w:gridCol w:w="712"/>
        <w:gridCol w:w="712"/>
        <w:gridCol w:w="712"/>
        <w:gridCol w:w="712"/>
        <w:gridCol w:w="712"/>
        <w:gridCol w:w="712"/>
        <w:gridCol w:w="712"/>
        <w:gridCol w:w="712"/>
        <w:gridCol w:w="712"/>
        <w:gridCol w:w="712"/>
        <w:gridCol w:w="712"/>
        <w:gridCol w:w="712"/>
      </w:tblGrid>
      <w:tr>
        <w:tc>
          <w:tcPr>
            <w:tcW w:type="dxa" w:w="712"/>
          </w:tcPr>
          <w:p>
            <w:r>
              <w:rPr>
                <w:b/>
                <w:sz w:val="14"/>
              </w:rPr>
              <w:t>period</w:t>
            </w:r>
          </w:p>
        </w:tc>
        <w:tc>
          <w:tcPr>
            <w:tcW w:type="dxa" w:w="712"/>
          </w:tcPr>
          <w:p>
            <w:r>
              <w:rPr>
                <w:b/>
                <w:sz w:val="14"/>
              </w:rPr>
              <w:t>scenario</w:t>
            </w:r>
          </w:p>
        </w:tc>
        <w:tc>
          <w:tcPr>
            <w:tcW w:type="dxa" w:w="712"/>
          </w:tcPr>
          <w:p>
            <w:r>
              <w:rPr>
                <w:b/>
                <w:sz w:val="14"/>
              </w:rPr>
              <w:t>bus factor</w:t>
            </w:r>
          </w:p>
        </w:tc>
        <w:tc>
          <w:tcPr>
            <w:tcW w:type="dxa" w:w="712"/>
          </w:tcPr>
          <w:p>
            <w:r>
              <w:rPr>
                <w:b/>
                <w:sz w:val="14"/>
              </w:rPr>
              <w:t>LRT central</w:t>
            </w:r>
          </w:p>
        </w:tc>
        <w:tc>
          <w:tcPr>
            <w:tcW w:type="dxa" w:w="712"/>
          </w:tcPr>
          <w:p>
            <w:r>
              <w:rPr>
                <w:b/>
                <w:sz w:val="14"/>
              </w:rPr>
              <w:t>LRT, buses slower</w:t>
            </w:r>
          </w:p>
        </w:tc>
        <w:tc>
          <w:tcPr>
            <w:tcW w:type="dxa" w:w="712"/>
          </w:tcPr>
          <w:p>
            <w:r>
              <w:rPr>
                <w:b/>
                <w:sz w:val="14"/>
              </w:rPr>
              <w:t>ratio</w:t>
            </w:r>
          </w:p>
        </w:tc>
        <w:tc>
          <w:tcPr>
            <w:tcW w:type="dxa" w:w="712"/>
          </w:tcPr>
          <w:p>
            <w:r>
              <w:rPr>
                <w:b/>
                <w:sz w:val="14"/>
              </w:rPr>
              <w:t>from car, central</w:t>
            </w:r>
          </w:p>
        </w:tc>
        <w:tc>
          <w:tcPr>
            <w:tcW w:type="dxa" w:w="712"/>
          </w:tcPr>
          <w:p>
            <w:r>
              <w:rPr>
                <w:b/>
                <w:sz w:val="14"/>
              </w:rPr>
              <w:t>from car, buses slower</w:t>
            </w:r>
          </w:p>
        </w:tc>
        <w:tc>
          <w:tcPr>
            <w:tcW w:type="dxa" w:w="712"/>
          </w:tcPr>
          <w:p>
            <w:r>
              <w:rPr>
                <w:b/>
                <w:sz w:val="14"/>
              </w:rPr>
              <w:t>from bus/BRT, central</w:t>
            </w:r>
          </w:p>
        </w:tc>
        <w:tc>
          <w:tcPr>
            <w:tcW w:type="dxa" w:w="712"/>
          </w:tcPr>
          <w:p>
            <w:r>
              <w:rPr>
                <w:b/>
                <w:sz w:val="14"/>
              </w:rPr>
              <w:t>from bus/BRT, buses slower</w:t>
            </w:r>
          </w:p>
        </w:tc>
        <w:tc>
          <w:tcPr>
            <w:tcW w:type="dxa" w:w="712"/>
          </w:tcPr>
          <w:p>
            <w:r>
              <w:rPr>
                <w:b/>
                <w:sz w:val="14"/>
              </w:rPr>
              <w:t>using the extension, central</w:t>
            </w:r>
          </w:p>
        </w:tc>
        <w:tc>
          <w:tcPr>
            <w:tcW w:type="dxa" w:w="712"/>
          </w:tcPr>
          <w:p>
            <w:r>
              <w:rPr>
                <w:b/>
                <w:sz w:val="14"/>
              </w:rPr>
              <w:t>using the extension, buses slower</w:t>
            </w:r>
          </w:p>
        </w:tc>
        <w:tc>
          <w:tcPr>
            <w:tcW w:type="dxa" w:w="712"/>
          </w:tcPr>
          <w:p>
            <w:r>
              <w:rPr>
                <w:b/>
                <w:sz w:val="14"/>
              </w:rPr>
              <w:t>transit share after, central</w:t>
            </w:r>
          </w:p>
        </w:tc>
        <w:tc>
          <w:tcPr>
            <w:tcW w:type="dxa" w:w="712"/>
          </w:tcPr>
          <w:p>
            <w:r>
              <w:rPr>
                <w:b/>
                <w:sz w:val="14"/>
              </w:rPr>
              <w:t>transit share after, buses slower</w:t>
            </w:r>
          </w:p>
        </w:tc>
      </w:tr>
      <w:tr>
        <w:tc>
          <w:tcPr>
            <w:tcW w:type="dxa" w:w="712"/>
          </w:tcPr>
          <w:p>
            <w:r>
              <w:rPr>
                <w:sz w:val="14"/>
              </w:rPr>
              <w:t>AM</w:t>
            </w:r>
          </w:p>
        </w:tc>
        <w:tc>
          <w:tcPr>
            <w:tcW w:type="dxa" w:w="712"/>
          </w:tcPr>
          <w:p>
            <w:r>
              <w:rPr>
                <w:sz w:val="14"/>
              </w:rPr>
              <w:t>2040 BU</w:t>
            </w:r>
          </w:p>
        </w:tc>
        <w:tc>
          <w:tcPr>
            <w:tcW w:type="dxa" w:w="712"/>
          </w:tcPr>
          <w:p>
            <w:r>
              <w:rPr>
                <w:sz w:val="14"/>
              </w:rPr>
              <w:t>1.10</w:t>
            </w:r>
          </w:p>
        </w:tc>
        <w:tc>
          <w:tcPr>
            <w:tcW w:type="dxa" w:w="712"/>
          </w:tcPr>
          <w:p>
            <w:r>
              <w:rPr>
                <w:sz w:val="14"/>
              </w:rPr>
              <w:t>6,309</w:t>
            </w:r>
          </w:p>
        </w:tc>
        <w:tc>
          <w:tcPr>
            <w:tcW w:type="dxa" w:w="712"/>
          </w:tcPr>
          <w:p>
            <w:r>
              <w:rPr>
                <w:sz w:val="14"/>
              </w:rPr>
              <w:t>6,442</w:t>
            </w:r>
          </w:p>
        </w:tc>
        <w:tc>
          <w:tcPr>
            <w:tcW w:type="dxa" w:w="712"/>
          </w:tcPr>
          <w:p>
            <w:r>
              <w:rPr>
                <w:sz w:val="14"/>
              </w:rPr>
              <w:t>1.02</w:t>
            </w:r>
          </w:p>
        </w:tc>
        <w:tc>
          <w:tcPr>
            <w:tcW w:type="dxa" w:w="712"/>
          </w:tcPr>
          <w:p>
            <w:r>
              <w:rPr>
                <w:sz w:val="14"/>
              </w:rPr>
              <w:t>353</w:t>
            </w:r>
          </w:p>
        </w:tc>
        <w:tc>
          <w:tcPr>
            <w:tcW w:type="dxa" w:w="712"/>
          </w:tcPr>
          <w:p>
            <w:r>
              <w:rPr>
                <w:sz w:val="14"/>
              </w:rPr>
              <w:t>376</w:t>
            </w:r>
          </w:p>
        </w:tc>
        <w:tc>
          <w:tcPr>
            <w:tcW w:type="dxa" w:w="712"/>
          </w:tcPr>
          <w:p>
            <w:r>
              <w:rPr>
                <w:sz w:val="14"/>
              </w:rPr>
              <w:t>5,956</w:t>
            </w:r>
          </w:p>
        </w:tc>
        <w:tc>
          <w:tcPr>
            <w:tcW w:type="dxa" w:w="712"/>
          </w:tcPr>
          <w:p>
            <w:r>
              <w:rPr>
                <w:sz w:val="14"/>
              </w:rPr>
              <w:t>6,066</w:t>
            </w:r>
          </w:p>
        </w:tc>
        <w:tc>
          <w:tcPr>
            <w:tcW w:type="dxa" w:w="712"/>
          </w:tcPr>
          <w:p>
            <w:r>
              <w:rPr>
                <w:sz w:val="14"/>
              </w:rPr>
              <w:t>4,950</w:t>
            </w:r>
          </w:p>
        </w:tc>
        <w:tc>
          <w:tcPr>
            <w:tcW w:type="dxa" w:w="712"/>
          </w:tcPr>
          <w:p>
            <w:r>
              <w:rPr>
                <w:sz w:val="14"/>
              </w:rPr>
              <w:t>5,037</w:t>
            </w:r>
          </w:p>
        </w:tc>
        <w:tc>
          <w:tcPr>
            <w:tcW w:type="dxa" w:w="712"/>
          </w:tcPr>
          <w:p>
            <w:r>
              <w:rPr>
                <w:sz w:val="14"/>
              </w:rPr>
              <w:t>20.4 %</w:t>
            </w:r>
          </w:p>
        </w:tc>
        <w:tc>
          <w:tcPr>
            <w:tcW w:type="dxa" w:w="712"/>
          </w:tcPr>
          <w:p>
            <w:r>
              <w:rPr>
                <w:sz w:val="14"/>
              </w:rPr>
              <w:t>20.5 %</w:t>
            </w:r>
          </w:p>
        </w:tc>
      </w:tr>
      <w:tr>
        <w:tc>
          <w:tcPr>
            <w:tcW w:type="dxa" w:w="712"/>
          </w:tcPr>
          <w:p>
            <w:r>
              <w:rPr>
                <w:sz w:val="14"/>
              </w:rPr>
              <w:t>AM</w:t>
            </w:r>
          </w:p>
        </w:tc>
        <w:tc>
          <w:tcPr>
            <w:tcW w:type="dxa" w:w="712"/>
          </w:tcPr>
          <w:p>
            <w:r>
              <w:rPr>
                <w:sz w:val="14"/>
              </w:rPr>
              <w:t>2050 BU</w:t>
            </w:r>
          </w:p>
        </w:tc>
        <w:tc>
          <w:tcPr>
            <w:tcW w:type="dxa" w:w="712"/>
          </w:tcPr>
          <w:p>
            <w:r>
              <w:rPr>
                <w:sz w:val="14"/>
              </w:rPr>
              <w:t>1.20</w:t>
            </w:r>
          </w:p>
        </w:tc>
        <w:tc>
          <w:tcPr>
            <w:tcW w:type="dxa" w:w="712"/>
          </w:tcPr>
          <w:p>
            <w:r>
              <w:rPr>
                <w:sz w:val="14"/>
              </w:rPr>
              <w:t>7,433</w:t>
            </w:r>
          </w:p>
        </w:tc>
        <w:tc>
          <w:tcPr>
            <w:tcW w:type="dxa" w:w="712"/>
          </w:tcPr>
          <w:p>
            <w:r>
              <w:rPr>
                <w:sz w:val="14"/>
              </w:rPr>
              <w:t>7,804</w:t>
            </w:r>
          </w:p>
        </w:tc>
        <w:tc>
          <w:tcPr>
            <w:tcW w:type="dxa" w:w="712"/>
          </w:tcPr>
          <w:p>
            <w:r>
              <w:rPr>
                <w:sz w:val="14"/>
              </w:rPr>
              <w:t>1.05</w:t>
            </w:r>
          </w:p>
        </w:tc>
        <w:tc>
          <w:tcPr>
            <w:tcW w:type="dxa" w:w="712"/>
          </w:tcPr>
          <w:p>
            <w:r>
              <w:rPr>
                <w:sz w:val="14"/>
              </w:rPr>
              <w:t>818</w:t>
            </w:r>
          </w:p>
        </w:tc>
        <w:tc>
          <w:tcPr>
            <w:tcW w:type="dxa" w:w="712"/>
          </w:tcPr>
          <w:p>
            <w:r>
              <w:rPr>
                <w:sz w:val="14"/>
              </w:rPr>
              <w:t>948</w:t>
            </w:r>
          </w:p>
        </w:tc>
        <w:tc>
          <w:tcPr>
            <w:tcW w:type="dxa" w:w="712"/>
          </w:tcPr>
          <w:p>
            <w:r>
              <w:rPr>
                <w:sz w:val="14"/>
              </w:rPr>
              <w:t>6,614</w:t>
            </w:r>
          </w:p>
        </w:tc>
        <w:tc>
          <w:tcPr>
            <w:tcW w:type="dxa" w:w="712"/>
          </w:tcPr>
          <w:p>
            <w:r>
              <w:rPr>
                <w:sz w:val="14"/>
              </w:rPr>
              <w:t>6,856</w:t>
            </w:r>
          </w:p>
        </w:tc>
        <w:tc>
          <w:tcPr>
            <w:tcW w:type="dxa" w:w="712"/>
          </w:tcPr>
          <w:p>
            <w:r>
              <w:rPr>
                <w:sz w:val="14"/>
              </w:rPr>
              <w:t>6,003</w:t>
            </w:r>
          </w:p>
        </w:tc>
        <w:tc>
          <w:tcPr>
            <w:tcW w:type="dxa" w:w="712"/>
          </w:tcPr>
          <w:p>
            <w:r>
              <w:rPr>
                <w:sz w:val="14"/>
              </w:rPr>
              <w:t>6,283</w:t>
            </w:r>
          </w:p>
        </w:tc>
        <w:tc>
          <w:tcPr>
            <w:tcW w:type="dxa" w:w="712"/>
          </w:tcPr>
          <w:p>
            <w:r>
              <w:rPr>
                <w:sz w:val="14"/>
              </w:rPr>
              <w:t>20.6 %</w:t>
            </w:r>
          </w:p>
        </w:tc>
        <w:tc>
          <w:tcPr>
            <w:tcW w:type="dxa" w:w="712"/>
          </w:tcPr>
          <w:p>
            <w:r>
              <w:rPr>
                <w:sz w:val="14"/>
              </w:rPr>
              <w:t>20.7 %</w:t>
            </w:r>
          </w:p>
        </w:tc>
      </w:tr>
      <w:tr>
        <w:tc>
          <w:tcPr>
            <w:tcW w:type="dxa" w:w="712"/>
          </w:tcPr>
          <w:p>
            <w:r>
              <w:rPr>
                <w:sz w:val="14"/>
              </w:rPr>
              <w:t>AM</w:t>
            </w:r>
          </w:p>
        </w:tc>
        <w:tc>
          <w:tcPr>
            <w:tcW w:type="dxa" w:w="712"/>
          </w:tcPr>
          <w:p>
            <w:r>
              <w:rPr>
                <w:sz w:val="14"/>
              </w:rPr>
              <w:t>2040 HS</w:t>
            </w:r>
          </w:p>
        </w:tc>
        <w:tc>
          <w:tcPr>
            <w:tcW w:type="dxa" w:w="712"/>
          </w:tcPr>
          <w:p>
            <w:r>
              <w:rPr>
                <w:sz w:val="14"/>
              </w:rPr>
              <w:t>1.10</w:t>
            </w:r>
          </w:p>
        </w:tc>
        <w:tc>
          <w:tcPr>
            <w:tcW w:type="dxa" w:w="712"/>
          </w:tcPr>
          <w:p>
            <w:r>
              <w:rPr>
                <w:sz w:val="14"/>
              </w:rPr>
              <w:t>7,476</w:t>
            </w:r>
          </w:p>
        </w:tc>
        <w:tc>
          <w:tcPr>
            <w:tcW w:type="dxa" w:w="712"/>
          </w:tcPr>
          <w:p>
            <w:r>
              <w:rPr>
                <w:sz w:val="14"/>
              </w:rPr>
              <w:t>7,624</w:t>
            </w:r>
          </w:p>
        </w:tc>
        <w:tc>
          <w:tcPr>
            <w:tcW w:type="dxa" w:w="712"/>
          </w:tcPr>
          <w:p>
            <w:r>
              <w:rPr>
                <w:sz w:val="14"/>
              </w:rPr>
              <w:t>1.02</w:t>
            </w:r>
          </w:p>
        </w:tc>
        <w:tc>
          <w:tcPr>
            <w:tcW w:type="dxa" w:w="712"/>
          </w:tcPr>
          <w:p>
            <w:r>
              <w:rPr>
                <w:sz w:val="14"/>
              </w:rPr>
              <w:t>870</w:t>
            </w:r>
          </w:p>
        </w:tc>
        <w:tc>
          <w:tcPr>
            <w:tcW w:type="dxa" w:w="712"/>
          </w:tcPr>
          <w:p>
            <w:r>
              <w:rPr>
                <w:sz w:val="14"/>
              </w:rPr>
              <w:t>916</w:t>
            </w:r>
          </w:p>
        </w:tc>
        <w:tc>
          <w:tcPr>
            <w:tcW w:type="dxa" w:w="712"/>
          </w:tcPr>
          <w:p>
            <w:r>
              <w:rPr>
                <w:sz w:val="14"/>
              </w:rPr>
              <w:t>6,606</w:t>
            </w:r>
          </w:p>
        </w:tc>
        <w:tc>
          <w:tcPr>
            <w:tcW w:type="dxa" w:w="712"/>
          </w:tcPr>
          <w:p>
            <w:r>
              <w:rPr>
                <w:sz w:val="14"/>
              </w:rPr>
              <w:t>6,708</w:t>
            </w:r>
          </w:p>
        </w:tc>
        <w:tc>
          <w:tcPr>
            <w:tcW w:type="dxa" w:w="712"/>
          </w:tcPr>
          <w:p>
            <w:r>
              <w:rPr>
                <w:sz w:val="14"/>
              </w:rPr>
              <w:t>5,651</w:t>
            </w:r>
          </w:p>
        </w:tc>
        <w:tc>
          <w:tcPr>
            <w:tcW w:type="dxa" w:w="712"/>
          </w:tcPr>
          <w:p>
            <w:r>
              <w:rPr>
                <w:sz w:val="14"/>
              </w:rPr>
              <w:t>5,735</w:t>
            </w:r>
          </w:p>
        </w:tc>
        <w:tc>
          <w:tcPr>
            <w:tcW w:type="dxa" w:w="712"/>
          </w:tcPr>
          <w:p>
            <w:r>
              <w:rPr>
                <w:sz w:val="14"/>
              </w:rPr>
              <w:t>20.8 %</w:t>
            </w:r>
          </w:p>
        </w:tc>
        <w:tc>
          <w:tcPr>
            <w:tcW w:type="dxa" w:w="712"/>
          </w:tcPr>
          <w:p>
            <w:r>
              <w:rPr>
                <w:sz w:val="14"/>
              </w:rPr>
              <w:t>20.9 %</w:t>
            </w:r>
          </w:p>
        </w:tc>
      </w:tr>
      <w:tr>
        <w:tc>
          <w:tcPr>
            <w:tcW w:type="dxa" w:w="712"/>
          </w:tcPr>
          <w:p>
            <w:r>
              <w:rPr>
                <w:sz w:val="14"/>
              </w:rPr>
              <w:t>AM</w:t>
            </w:r>
          </w:p>
        </w:tc>
        <w:tc>
          <w:tcPr>
            <w:tcW w:type="dxa" w:w="712"/>
          </w:tcPr>
          <w:p>
            <w:r>
              <w:rPr>
                <w:sz w:val="14"/>
              </w:rPr>
              <w:t>2050 HS</w:t>
            </w:r>
          </w:p>
        </w:tc>
        <w:tc>
          <w:tcPr>
            <w:tcW w:type="dxa" w:w="712"/>
          </w:tcPr>
          <w:p>
            <w:r>
              <w:rPr>
                <w:sz w:val="14"/>
              </w:rPr>
              <w:t>1.20</w:t>
            </w:r>
          </w:p>
        </w:tc>
        <w:tc>
          <w:tcPr>
            <w:tcW w:type="dxa" w:w="712"/>
          </w:tcPr>
          <w:p>
            <w:r>
              <w:rPr>
                <w:sz w:val="14"/>
              </w:rPr>
              <w:t>9,225</w:t>
            </w:r>
          </w:p>
        </w:tc>
        <w:tc>
          <w:tcPr>
            <w:tcW w:type="dxa" w:w="712"/>
          </w:tcPr>
          <w:p>
            <w:r>
              <w:rPr>
                <w:sz w:val="14"/>
              </w:rPr>
              <w:t>9,590</w:t>
            </w:r>
          </w:p>
        </w:tc>
        <w:tc>
          <w:tcPr>
            <w:tcW w:type="dxa" w:w="712"/>
          </w:tcPr>
          <w:p>
            <w:r>
              <w:rPr>
                <w:sz w:val="14"/>
              </w:rPr>
              <w:t>1.04</w:t>
            </w:r>
          </w:p>
        </w:tc>
        <w:tc>
          <w:tcPr>
            <w:tcW w:type="dxa" w:w="712"/>
          </w:tcPr>
          <w:p>
            <w:r>
              <w:rPr>
                <w:sz w:val="14"/>
              </w:rPr>
              <w:t>1,311</w:t>
            </w:r>
          </w:p>
        </w:tc>
        <w:tc>
          <w:tcPr>
            <w:tcW w:type="dxa" w:w="712"/>
          </w:tcPr>
          <w:p>
            <w:r>
              <w:rPr>
                <w:sz w:val="14"/>
              </w:rPr>
              <w:t>1,446</w:t>
            </w:r>
          </w:p>
        </w:tc>
        <w:tc>
          <w:tcPr>
            <w:tcW w:type="dxa" w:w="712"/>
          </w:tcPr>
          <w:p>
            <w:r>
              <w:rPr>
                <w:sz w:val="14"/>
              </w:rPr>
              <w:t>7,914</w:t>
            </w:r>
          </w:p>
        </w:tc>
        <w:tc>
          <w:tcPr>
            <w:tcW w:type="dxa" w:w="712"/>
          </w:tcPr>
          <w:p>
            <w:r>
              <w:rPr>
                <w:sz w:val="14"/>
              </w:rPr>
              <w:t>8,144</w:t>
            </w:r>
          </w:p>
        </w:tc>
        <w:tc>
          <w:tcPr>
            <w:tcW w:type="dxa" w:w="712"/>
          </w:tcPr>
          <w:p>
            <w:r>
              <w:rPr>
                <w:sz w:val="14"/>
              </w:rPr>
              <w:t>7,010</w:t>
            </w:r>
          </w:p>
        </w:tc>
        <w:tc>
          <w:tcPr>
            <w:tcW w:type="dxa" w:w="712"/>
          </w:tcPr>
          <w:p>
            <w:r>
              <w:rPr>
                <w:sz w:val="14"/>
              </w:rPr>
              <w:t>7,226</w:t>
            </w:r>
          </w:p>
        </w:tc>
        <w:tc>
          <w:tcPr>
            <w:tcW w:type="dxa" w:w="712"/>
          </w:tcPr>
          <w:p>
            <w:r>
              <w:rPr>
                <w:sz w:val="14"/>
              </w:rPr>
              <w:t>21.0 %</w:t>
            </w:r>
          </w:p>
        </w:tc>
        <w:tc>
          <w:tcPr>
            <w:tcW w:type="dxa" w:w="712"/>
          </w:tcPr>
          <w:p>
            <w:r>
              <w:rPr>
                <w:sz w:val="14"/>
              </w:rPr>
              <w:t>21.1 %</w:t>
            </w:r>
          </w:p>
        </w:tc>
      </w:tr>
      <w:tr>
        <w:tc>
          <w:tcPr>
            <w:tcW w:type="dxa" w:w="712"/>
          </w:tcPr>
          <w:p>
            <w:r>
              <w:rPr>
                <w:sz w:val="14"/>
              </w:rPr>
              <w:t>PM</w:t>
            </w:r>
          </w:p>
        </w:tc>
        <w:tc>
          <w:tcPr>
            <w:tcW w:type="dxa" w:w="712"/>
          </w:tcPr>
          <w:p>
            <w:r>
              <w:rPr>
                <w:sz w:val="14"/>
              </w:rPr>
              <w:t>2040 BU</w:t>
            </w:r>
          </w:p>
        </w:tc>
        <w:tc>
          <w:tcPr>
            <w:tcW w:type="dxa" w:w="712"/>
          </w:tcPr>
          <w:p>
            <w:r>
              <w:rPr>
                <w:sz w:val="14"/>
              </w:rPr>
              <w:t>1.10</w:t>
            </w:r>
          </w:p>
        </w:tc>
        <w:tc>
          <w:tcPr>
            <w:tcW w:type="dxa" w:w="712"/>
          </w:tcPr>
          <w:p>
            <w:r>
              <w:rPr>
                <w:sz w:val="14"/>
              </w:rPr>
              <w:t>5,358</w:t>
            </w:r>
          </w:p>
        </w:tc>
        <w:tc>
          <w:tcPr>
            <w:tcW w:type="dxa" w:w="712"/>
          </w:tcPr>
          <w:p>
            <w:r>
              <w:rPr>
                <w:sz w:val="14"/>
              </w:rPr>
              <w:t>5,477</w:t>
            </w:r>
          </w:p>
        </w:tc>
        <w:tc>
          <w:tcPr>
            <w:tcW w:type="dxa" w:w="712"/>
          </w:tcPr>
          <w:p>
            <w:r>
              <w:rPr>
                <w:sz w:val="14"/>
              </w:rPr>
              <w:t>1.02</w:t>
            </w:r>
          </w:p>
        </w:tc>
        <w:tc>
          <w:tcPr>
            <w:tcW w:type="dxa" w:w="712"/>
          </w:tcPr>
          <w:p>
            <w:r>
              <w:rPr>
                <w:sz w:val="14"/>
              </w:rPr>
              <w:t>327</w:t>
            </w:r>
          </w:p>
        </w:tc>
        <w:tc>
          <w:tcPr>
            <w:tcW w:type="dxa" w:w="712"/>
          </w:tcPr>
          <w:p>
            <w:r>
              <w:rPr>
                <w:sz w:val="14"/>
              </w:rPr>
              <w:t>346</w:t>
            </w:r>
          </w:p>
        </w:tc>
        <w:tc>
          <w:tcPr>
            <w:tcW w:type="dxa" w:w="712"/>
          </w:tcPr>
          <w:p>
            <w:r>
              <w:rPr>
                <w:sz w:val="14"/>
              </w:rPr>
              <w:t>5,031</w:t>
            </w:r>
          </w:p>
        </w:tc>
        <w:tc>
          <w:tcPr>
            <w:tcW w:type="dxa" w:w="712"/>
          </w:tcPr>
          <w:p>
            <w:r>
              <w:rPr>
                <w:sz w:val="14"/>
              </w:rPr>
              <w:t>5,132</w:t>
            </w:r>
          </w:p>
        </w:tc>
        <w:tc>
          <w:tcPr>
            <w:tcW w:type="dxa" w:w="712"/>
          </w:tcPr>
          <w:p>
            <w:r>
              <w:rPr>
                <w:sz w:val="14"/>
              </w:rPr>
              <w:t>4,300</w:t>
            </w:r>
          </w:p>
        </w:tc>
        <w:tc>
          <w:tcPr>
            <w:tcW w:type="dxa" w:w="712"/>
          </w:tcPr>
          <w:p>
            <w:r>
              <w:rPr>
                <w:sz w:val="14"/>
              </w:rPr>
              <w:t>4,395</w:t>
            </w:r>
          </w:p>
        </w:tc>
        <w:tc>
          <w:tcPr>
            <w:tcW w:type="dxa" w:w="712"/>
          </w:tcPr>
          <w:p>
            <w:r>
              <w:rPr>
                <w:sz w:val="14"/>
              </w:rPr>
              <w:t>15.9 %</w:t>
            </w:r>
          </w:p>
        </w:tc>
        <w:tc>
          <w:tcPr>
            <w:tcW w:type="dxa" w:w="712"/>
          </w:tcPr>
          <w:p>
            <w:r>
              <w:rPr>
                <w:sz w:val="14"/>
              </w:rPr>
              <w:t>16.0 %</w:t>
            </w:r>
          </w:p>
        </w:tc>
      </w:tr>
      <w:tr>
        <w:tc>
          <w:tcPr>
            <w:tcW w:type="dxa" w:w="712"/>
          </w:tcPr>
          <w:p>
            <w:r>
              <w:rPr>
                <w:sz w:val="14"/>
              </w:rPr>
              <w:t>PM</w:t>
            </w:r>
          </w:p>
        </w:tc>
        <w:tc>
          <w:tcPr>
            <w:tcW w:type="dxa" w:w="712"/>
          </w:tcPr>
          <w:p>
            <w:r>
              <w:rPr>
                <w:sz w:val="14"/>
              </w:rPr>
              <w:t>2050 BU</w:t>
            </w:r>
          </w:p>
        </w:tc>
        <w:tc>
          <w:tcPr>
            <w:tcW w:type="dxa" w:w="712"/>
          </w:tcPr>
          <w:p>
            <w:r>
              <w:rPr>
                <w:sz w:val="14"/>
              </w:rPr>
              <w:t>1.20</w:t>
            </w:r>
          </w:p>
        </w:tc>
        <w:tc>
          <w:tcPr>
            <w:tcW w:type="dxa" w:w="712"/>
          </w:tcPr>
          <w:p>
            <w:r>
              <w:rPr>
                <w:sz w:val="14"/>
              </w:rPr>
              <w:t>6,135</w:t>
            </w:r>
          </w:p>
        </w:tc>
        <w:tc>
          <w:tcPr>
            <w:tcW w:type="dxa" w:w="712"/>
          </w:tcPr>
          <w:p>
            <w:r>
              <w:rPr>
                <w:sz w:val="14"/>
              </w:rPr>
              <w:t>6,399</w:t>
            </w:r>
          </w:p>
        </w:tc>
        <w:tc>
          <w:tcPr>
            <w:tcW w:type="dxa" w:w="712"/>
          </w:tcPr>
          <w:p>
            <w:r>
              <w:rPr>
                <w:sz w:val="14"/>
              </w:rPr>
              <w:t>1.04</w:t>
            </w:r>
          </w:p>
        </w:tc>
        <w:tc>
          <w:tcPr>
            <w:tcW w:type="dxa" w:w="712"/>
          </w:tcPr>
          <w:p>
            <w:r>
              <w:rPr>
                <w:sz w:val="14"/>
              </w:rPr>
              <w:t>368</w:t>
            </w:r>
          </w:p>
        </w:tc>
        <w:tc>
          <w:tcPr>
            <w:tcW w:type="dxa" w:w="712"/>
          </w:tcPr>
          <w:p>
            <w:r>
              <w:rPr>
                <w:sz w:val="14"/>
              </w:rPr>
              <w:t>411</w:t>
            </w:r>
          </w:p>
        </w:tc>
        <w:tc>
          <w:tcPr>
            <w:tcW w:type="dxa" w:w="712"/>
          </w:tcPr>
          <w:p>
            <w:r>
              <w:rPr>
                <w:sz w:val="14"/>
              </w:rPr>
              <w:t>5,766</w:t>
            </w:r>
          </w:p>
        </w:tc>
        <w:tc>
          <w:tcPr>
            <w:tcW w:type="dxa" w:w="712"/>
          </w:tcPr>
          <w:p>
            <w:r>
              <w:rPr>
                <w:sz w:val="14"/>
              </w:rPr>
              <w:t>5,988</w:t>
            </w:r>
          </w:p>
        </w:tc>
        <w:tc>
          <w:tcPr>
            <w:tcW w:type="dxa" w:w="712"/>
          </w:tcPr>
          <w:p>
            <w:r>
              <w:rPr>
                <w:sz w:val="14"/>
              </w:rPr>
              <w:t>4,998</w:t>
            </w:r>
          </w:p>
        </w:tc>
        <w:tc>
          <w:tcPr>
            <w:tcW w:type="dxa" w:w="712"/>
          </w:tcPr>
          <w:p>
            <w:r>
              <w:rPr>
                <w:sz w:val="14"/>
              </w:rPr>
              <w:t>5,212</w:t>
            </w:r>
          </w:p>
        </w:tc>
        <w:tc>
          <w:tcPr>
            <w:tcW w:type="dxa" w:w="712"/>
          </w:tcPr>
          <w:p>
            <w:r>
              <w:rPr>
                <w:sz w:val="14"/>
              </w:rPr>
              <w:t>15.7 %</w:t>
            </w:r>
          </w:p>
        </w:tc>
        <w:tc>
          <w:tcPr>
            <w:tcW w:type="dxa" w:w="712"/>
          </w:tcPr>
          <w:p>
            <w:r>
              <w:rPr>
                <w:sz w:val="14"/>
              </w:rPr>
              <w:t>15.7 %</w:t>
            </w:r>
          </w:p>
        </w:tc>
      </w:tr>
      <w:tr>
        <w:tc>
          <w:tcPr>
            <w:tcW w:type="dxa" w:w="712"/>
          </w:tcPr>
          <w:p>
            <w:r>
              <w:rPr>
                <w:sz w:val="14"/>
              </w:rPr>
              <w:t>PM</w:t>
            </w:r>
          </w:p>
        </w:tc>
        <w:tc>
          <w:tcPr>
            <w:tcW w:type="dxa" w:w="712"/>
          </w:tcPr>
          <w:p>
            <w:r>
              <w:rPr>
                <w:sz w:val="14"/>
              </w:rPr>
              <w:t>2040 HS</w:t>
            </w:r>
          </w:p>
        </w:tc>
        <w:tc>
          <w:tcPr>
            <w:tcW w:type="dxa" w:w="712"/>
          </w:tcPr>
          <w:p>
            <w:r>
              <w:rPr>
                <w:sz w:val="14"/>
              </w:rPr>
              <w:t>1.10</w:t>
            </w:r>
          </w:p>
        </w:tc>
        <w:tc>
          <w:tcPr>
            <w:tcW w:type="dxa" w:w="712"/>
          </w:tcPr>
          <w:p>
            <w:r>
              <w:rPr>
                <w:sz w:val="14"/>
              </w:rPr>
              <w:t>5,620</w:t>
            </w:r>
          </w:p>
        </w:tc>
        <w:tc>
          <w:tcPr>
            <w:tcW w:type="dxa" w:w="712"/>
          </w:tcPr>
          <w:p>
            <w:r>
              <w:rPr>
                <w:sz w:val="14"/>
              </w:rPr>
              <w:t>5,723</w:t>
            </w:r>
          </w:p>
        </w:tc>
        <w:tc>
          <w:tcPr>
            <w:tcW w:type="dxa" w:w="712"/>
          </w:tcPr>
          <w:p>
            <w:r>
              <w:rPr>
                <w:sz w:val="14"/>
              </w:rPr>
              <w:t>1.02</w:t>
            </w:r>
          </w:p>
        </w:tc>
        <w:tc>
          <w:tcPr>
            <w:tcW w:type="dxa" w:w="712"/>
          </w:tcPr>
          <w:p>
            <w:r>
              <w:rPr>
                <w:sz w:val="14"/>
              </w:rPr>
              <w:t>425</w:t>
            </w:r>
          </w:p>
        </w:tc>
        <w:tc>
          <w:tcPr>
            <w:tcW w:type="dxa" w:w="712"/>
          </w:tcPr>
          <w:p>
            <w:r>
              <w:rPr>
                <w:sz w:val="14"/>
              </w:rPr>
              <w:t>446</w:t>
            </w:r>
          </w:p>
        </w:tc>
        <w:tc>
          <w:tcPr>
            <w:tcW w:type="dxa" w:w="712"/>
          </w:tcPr>
          <w:p>
            <w:r>
              <w:rPr>
                <w:sz w:val="14"/>
              </w:rPr>
              <w:t>5,195</w:t>
            </w:r>
          </w:p>
        </w:tc>
        <w:tc>
          <w:tcPr>
            <w:tcW w:type="dxa" w:w="712"/>
          </w:tcPr>
          <w:p>
            <w:r>
              <w:rPr>
                <w:sz w:val="14"/>
              </w:rPr>
              <w:t>5,277</w:t>
            </w:r>
          </w:p>
        </w:tc>
        <w:tc>
          <w:tcPr>
            <w:tcW w:type="dxa" w:w="712"/>
          </w:tcPr>
          <w:p>
            <w:r>
              <w:rPr>
                <w:sz w:val="14"/>
              </w:rPr>
              <w:t>4,595</w:t>
            </w:r>
          </w:p>
        </w:tc>
        <w:tc>
          <w:tcPr>
            <w:tcW w:type="dxa" w:w="712"/>
          </w:tcPr>
          <w:p>
            <w:r>
              <w:rPr>
                <w:sz w:val="14"/>
              </w:rPr>
              <w:t>4,676</w:t>
            </w:r>
          </w:p>
        </w:tc>
        <w:tc>
          <w:tcPr>
            <w:tcW w:type="dxa" w:w="712"/>
          </w:tcPr>
          <w:p>
            <w:r>
              <w:rPr>
                <w:sz w:val="14"/>
              </w:rPr>
              <w:t>15.8 %</w:t>
            </w:r>
          </w:p>
        </w:tc>
        <w:tc>
          <w:tcPr>
            <w:tcW w:type="dxa" w:w="712"/>
          </w:tcPr>
          <w:p>
            <w:r>
              <w:rPr>
                <w:sz w:val="14"/>
              </w:rPr>
              <w:t>15.9 %</w:t>
            </w:r>
          </w:p>
        </w:tc>
      </w:tr>
      <w:tr>
        <w:tc>
          <w:tcPr>
            <w:tcW w:type="dxa" w:w="712"/>
          </w:tcPr>
          <w:p>
            <w:r>
              <w:rPr>
                <w:sz w:val="14"/>
              </w:rPr>
              <w:t>PM</w:t>
            </w:r>
          </w:p>
        </w:tc>
        <w:tc>
          <w:tcPr>
            <w:tcW w:type="dxa" w:w="712"/>
          </w:tcPr>
          <w:p>
            <w:r>
              <w:rPr>
                <w:sz w:val="14"/>
              </w:rPr>
              <w:t>2050 HS</w:t>
            </w:r>
          </w:p>
        </w:tc>
        <w:tc>
          <w:tcPr>
            <w:tcW w:type="dxa" w:w="712"/>
          </w:tcPr>
          <w:p>
            <w:r>
              <w:rPr>
                <w:sz w:val="14"/>
              </w:rPr>
              <w:t>1.20</w:t>
            </w:r>
          </w:p>
        </w:tc>
        <w:tc>
          <w:tcPr>
            <w:tcW w:type="dxa" w:w="712"/>
          </w:tcPr>
          <w:p>
            <w:r>
              <w:rPr>
                <w:sz w:val="14"/>
              </w:rPr>
              <w:t>5,956</w:t>
            </w:r>
          </w:p>
        </w:tc>
        <w:tc>
          <w:tcPr>
            <w:tcW w:type="dxa" w:w="712"/>
          </w:tcPr>
          <w:p>
            <w:r>
              <w:rPr>
                <w:sz w:val="14"/>
              </w:rPr>
              <w:t>6,155</w:t>
            </w:r>
          </w:p>
        </w:tc>
        <w:tc>
          <w:tcPr>
            <w:tcW w:type="dxa" w:w="712"/>
          </w:tcPr>
          <w:p>
            <w:r>
              <w:rPr>
                <w:sz w:val="14"/>
              </w:rPr>
              <w:t>1.03</w:t>
            </w:r>
          </w:p>
        </w:tc>
        <w:tc>
          <w:tcPr>
            <w:tcW w:type="dxa" w:w="712"/>
          </w:tcPr>
          <w:p>
            <w:r>
              <w:rPr>
                <w:sz w:val="14"/>
              </w:rPr>
              <w:t>466</w:t>
            </w:r>
          </w:p>
        </w:tc>
        <w:tc>
          <w:tcPr>
            <w:tcW w:type="dxa" w:w="712"/>
          </w:tcPr>
          <w:p>
            <w:r>
              <w:rPr>
                <w:sz w:val="14"/>
              </w:rPr>
              <w:t>509</w:t>
            </w:r>
          </w:p>
        </w:tc>
        <w:tc>
          <w:tcPr>
            <w:tcW w:type="dxa" w:w="712"/>
          </w:tcPr>
          <w:p>
            <w:r>
              <w:rPr>
                <w:sz w:val="14"/>
              </w:rPr>
              <w:t>5,490</w:t>
            </w:r>
          </w:p>
        </w:tc>
        <w:tc>
          <w:tcPr>
            <w:tcW w:type="dxa" w:w="712"/>
          </w:tcPr>
          <w:p>
            <w:r>
              <w:rPr>
                <w:sz w:val="14"/>
              </w:rPr>
              <w:t>5,646</w:t>
            </w:r>
          </w:p>
        </w:tc>
        <w:tc>
          <w:tcPr>
            <w:tcW w:type="dxa" w:w="712"/>
          </w:tcPr>
          <w:p>
            <w:r>
              <w:rPr>
                <w:sz w:val="14"/>
              </w:rPr>
              <w:t>4,918</w:t>
            </w:r>
          </w:p>
        </w:tc>
        <w:tc>
          <w:tcPr>
            <w:tcW w:type="dxa" w:w="712"/>
          </w:tcPr>
          <w:p>
            <w:r>
              <w:rPr>
                <w:sz w:val="14"/>
              </w:rPr>
              <w:t>5,074</w:t>
            </w:r>
          </w:p>
        </w:tc>
        <w:tc>
          <w:tcPr>
            <w:tcW w:type="dxa" w:w="712"/>
          </w:tcPr>
          <w:p>
            <w:r>
              <w:rPr>
                <w:sz w:val="14"/>
              </w:rPr>
              <w:t>15.2 %</w:t>
            </w:r>
          </w:p>
        </w:tc>
        <w:tc>
          <w:tcPr>
            <w:tcW w:type="dxa" w:w="712"/>
          </w:tcPr>
          <w:p>
            <w:r>
              <w:rPr>
                <w:sz w:val="14"/>
              </w:rPr>
              <w:t>15.3 %</w:t>
            </w:r>
          </w:p>
        </w:tc>
      </w:tr>
    </w:tbl>
    <w:p>
      <w:r>
        <w:rPr>
          <w:sz w:val="16"/>
        </w:rPr>
        <w:t>Table 4.9 — LRT trips with slower buses against the central case, main route + extension, Prioritized (three hours). AM: the LRT gains +2 % to +5 %, from 6,309–9,225 to 6,442–9,590.</w:t>
      </w:r>
    </w:p>
    <w:p>
      <w:pPr>
        <w:pStyle w:val="Heading2"/>
      </w:pPr>
      <w:r>
        <w:t>4.10 Time on route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4"/>
              </w:rPr>
              <w:t>mode</w:t>
            </w:r>
          </w:p>
        </w:tc>
        <w:tc>
          <w:tcPr>
            <w:tcW w:type="dxa" w:w="1425"/>
          </w:tcPr>
          <w:p>
            <w:r>
              <w:rPr>
                <w:b/>
                <w:sz w:val="14"/>
              </w:rPr>
              <w:t>period</w:t>
            </w:r>
          </w:p>
        </w:tc>
        <w:tc>
          <w:tcPr>
            <w:tcW w:type="dxa" w:w="1425"/>
          </w:tcPr>
          <w:p>
            <w:r>
              <w:rPr>
                <w:b/>
                <w:sz w:val="14"/>
              </w:rPr>
              <w:t>direction</w:t>
            </w:r>
          </w:p>
        </w:tc>
        <w:tc>
          <w:tcPr>
            <w:tcW w:type="dxa" w:w="1425"/>
          </w:tcPr>
          <w:p>
            <w:r>
              <w:rPr>
                <w:b/>
                <w:sz w:val="14"/>
              </w:rPr>
              <w:t>from</w:t>
            </w:r>
          </w:p>
        </w:tc>
        <w:tc>
          <w:tcPr>
            <w:tcW w:type="dxa" w:w="1425"/>
          </w:tcPr>
          <w:p>
            <w:r>
              <w:rPr>
                <w:b/>
                <w:sz w:val="14"/>
              </w:rPr>
              <w:t>to</w:t>
            </w:r>
          </w:p>
        </w:tc>
        <w:tc>
          <w:tcPr>
            <w:tcW w:type="dxa" w:w="1425"/>
          </w:tcPr>
          <w:p>
            <w:r>
              <w:rPr>
                <w:b/>
                <w:sz w:val="14"/>
              </w:rPr>
              <w:t>scheduled_min (median)</w:t>
            </w:r>
          </w:p>
        </w:tc>
        <w:tc>
          <w:tcPr>
            <w:tcW w:type="dxa" w:w="1425"/>
          </w:tcPr>
          <w:p>
            <w:r>
              <w:rPr>
                <w:b/>
                <w:sz w:val="14"/>
              </w:rPr>
              <w:t>observed_min (step 30 ratio)</w:t>
            </w:r>
          </w:p>
        </w:tc>
      </w:tr>
      <w:tr>
        <w:tc>
          <w:tcPr>
            <w:tcW w:type="dxa" w:w="1425"/>
          </w:tcPr>
          <w:p>
            <w:r>
              <w:rPr>
                <w:sz w:val="14"/>
              </w:rPr>
              <w:t>Metronit line 1 (83001)</w:t>
            </w:r>
          </w:p>
        </w:tc>
        <w:tc>
          <w:tcPr>
            <w:tcW w:type="dxa" w:w="1425"/>
          </w:tcPr>
          <w:p>
            <w:r>
              <w:rPr>
                <w:sz w:val="14"/>
              </w:rPr>
              <w:t>AM</w:t>
            </w:r>
          </w:p>
        </w:tc>
        <w:tc>
          <w:tcPr>
            <w:tcW w:type="dxa" w:w="1425"/>
          </w:tcPr>
          <w:p>
            <w:r>
              <w:rPr>
                <w:sz w:val="14"/>
              </w:rPr>
              <w:t>0</w:t>
            </w:r>
          </w:p>
        </w:tc>
        <w:tc>
          <w:tcPr>
            <w:tcW w:type="dxa" w:w="1425"/>
          </w:tcPr>
          <w:p>
            <w:r>
              <w:rPr>
                <w:sz w:val="14"/>
              </w:rPr>
              <w:t>ת. מרכזית חוף הכרמל/רציפים עירוני</w:t>
            </w:r>
          </w:p>
        </w:tc>
        <w:tc>
          <w:tcPr>
            <w:tcW w:type="dxa" w:w="1425"/>
          </w:tcPr>
          <w:p>
            <w:r>
              <w:rPr>
                <w:sz w:val="14"/>
              </w:rPr>
              <w:t>מרכזית הקריות/הורדה מטרונית</w:t>
            </w:r>
          </w:p>
        </w:tc>
        <w:tc>
          <w:tcPr>
            <w:tcW w:type="dxa" w:w="1425"/>
          </w:tcPr>
          <w:p>
            <w:r>
              <w:rPr>
                <w:sz w:val="14"/>
              </w:rPr>
              <w:t>65</w:t>
            </w:r>
          </w:p>
        </w:tc>
        <w:tc>
          <w:tcPr>
            <w:tcW w:type="dxa" w:w="1425"/>
          </w:tcPr>
          <w:p>
            <w:r>
              <w:rPr>
                <w:sz w:val="14"/>
              </w:rPr>
              <w:t>57</w:t>
            </w:r>
          </w:p>
        </w:tc>
      </w:tr>
      <w:tr>
        <w:tc>
          <w:tcPr>
            <w:tcW w:type="dxa" w:w="1425"/>
          </w:tcPr>
          <w:p>
            <w:r>
              <w:rPr>
                <w:sz w:val="14"/>
              </w:rPr>
              <w:t>Metronit line 1 (83001)</w:t>
            </w:r>
          </w:p>
        </w:tc>
        <w:tc>
          <w:tcPr>
            <w:tcW w:type="dxa" w:w="1425"/>
          </w:tcPr>
          <w:p>
            <w:r>
              <w:rPr>
                <w:sz w:val="14"/>
              </w:rPr>
              <w:t>AM</w:t>
            </w:r>
          </w:p>
        </w:tc>
        <w:tc>
          <w:tcPr>
            <w:tcW w:type="dxa" w:w="1425"/>
          </w:tcPr>
          <w:p>
            <w:r>
              <w:rPr>
                <w:sz w:val="14"/>
              </w:rPr>
              <w:t>1</w:t>
            </w:r>
          </w:p>
        </w:tc>
        <w:tc>
          <w:tcPr>
            <w:tcW w:type="dxa" w:w="1425"/>
          </w:tcPr>
          <w:p>
            <w:r>
              <w:rPr>
                <w:sz w:val="14"/>
              </w:rPr>
              <w:t>מרכזית הקריות/איסוף מטרונית</w:t>
            </w:r>
          </w:p>
        </w:tc>
        <w:tc>
          <w:tcPr>
            <w:tcW w:type="dxa" w:w="1425"/>
          </w:tcPr>
          <w:p>
            <w:r>
              <w:rPr>
                <w:sz w:val="14"/>
              </w:rPr>
              <w:t>ת. מרכזית חוף הכרמל/הורדה מטרונית</w:t>
            </w:r>
          </w:p>
        </w:tc>
        <w:tc>
          <w:tcPr>
            <w:tcW w:type="dxa" w:w="1425"/>
          </w:tcPr>
          <w:p>
            <w:r>
              <w:rPr>
                <w:sz w:val="14"/>
              </w:rPr>
              <w:t>65</w:t>
            </w:r>
          </w:p>
        </w:tc>
        <w:tc>
          <w:tcPr>
            <w:tcW w:type="dxa" w:w="1425"/>
          </w:tcPr>
          <w:p>
            <w:r>
              <w:rPr>
                <w:sz w:val="14"/>
              </w:rPr>
              <w:t>57</w:t>
            </w:r>
          </w:p>
        </w:tc>
      </w:tr>
      <w:tr>
        <w:tc>
          <w:tcPr>
            <w:tcW w:type="dxa" w:w="1425"/>
          </w:tcPr>
          <w:p>
            <w:r>
              <w:rPr>
                <w:sz w:val="14"/>
              </w:rPr>
              <w:t>Train (Israel Railways, study-area stations)</w:t>
            </w:r>
          </w:p>
        </w:tc>
        <w:tc>
          <w:tcPr>
            <w:tcW w:type="dxa" w:w="1425"/>
          </w:tcPr>
          <w:p>
            <w:r>
              <w:rPr>
                <w:sz w:val="14"/>
              </w:rPr>
              <w:t>AM</w:t>
            </w:r>
          </w:p>
        </w:tc>
        <w:tc>
          <w:tcPr>
            <w:tcW w:type="dxa" w:w="1425"/>
          </w:tcPr>
          <w:p>
            <w:r>
              <w:rPr>
                <w:sz w:val="14"/>
              </w:rPr>
              <w:t>0</w:t>
            </w:r>
          </w:p>
        </w:tc>
        <w:tc>
          <w:tcPr>
            <w:tcW w:type="dxa" w:w="1425"/>
          </w:tcPr>
          <w:p>
            <w:r>
              <w:rPr>
                <w:sz w:val="14"/>
              </w:rPr>
              <w:t>בנימינה</w:t>
            </w:r>
          </w:p>
        </w:tc>
        <w:tc>
          <w:tcPr>
            <w:tcW w:type="dxa" w:w="1425"/>
          </w:tcPr>
          <w:p>
            <w:r>
              <w:rPr>
                <w:sz w:val="14"/>
              </w:rPr>
              <w:t>נהריה</w:t>
            </w:r>
          </w:p>
        </w:tc>
        <w:tc>
          <w:tcPr>
            <w:tcW w:type="dxa" w:w="1425"/>
          </w:tcPr>
          <w:p>
            <w:r>
              <w:rPr>
                <w:sz w:val="14"/>
              </w:rPr>
              <w:t>65</w:t>
            </w:r>
          </w:p>
        </w:tc>
        <w:tc>
          <w:tcPr>
            <w:tcW w:type="dxa" w:w="1425"/>
          </w:tcPr>
          <w:p>
            <w:r>
              <w:rPr>
                <w:sz w:val="14"/>
              </w:rPr>
            </w:r>
          </w:p>
        </w:tc>
      </w:tr>
      <w:tr>
        <w:tc>
          <w:tcPr>
            <w:tcW w:type="dxa" w:w="1425"/>
          </w:tcPr>
          <w:p>
            <w:r>
              <w:rPr>
                <w:sz w:val="14"/>
              </w:rPr>
              <w:t>Train (Israel Railways, study-area stations)</w:t>
            </w:r>
          </w:p>
        </w:tc>
        <w:tc>
          <w:tcPr>
            <w:tcW w:type="dxa" w:w="1425"/>
          </w:tcPr>
          <w:p>
            <w:r>
              <w:rPr>
                <w:sz w:val="14"/>
              </w:rPr>
              <w:t>AM</w:t>
            </w:r>
          </w:p>
        </w:tc>
        <w:tc>
          <w:tcPr>
            <w:tcW w:type="dxa" w:w="1425"/>
          </w:tcPr>
          <w:p>
            <w:r>
              <w:rPr>
                <w:sz w:val="14"/>
              </w:rPr>
              <w:t>1</w:t>
            </w:r>
          </w:p>
        </w:tc>
        <w:tc>
          <w:tcPr>
            <w:tcW w:type="dxa" w:w="1425"/>
          </w:tcPr>
          <w:p>
            <w:r>
              <w:rPr>
                <w:sz w:val="14"/>
              </w:rPr>
              <w:t>נהריה</w:t>
            </w:r>
          </w:p>
        </w:tc>
        <w:tc>
          <w:tcPr>
            <w:tcW w:type="dxa" w:w="1425"/>
          </w:tcPr>
          <w:p>
            <w:r>
              <w:rPr>
                <w:sz w:val="14"/>
              </w:rPr>
              <w:t>בנימינה</w:t>
            </w:r>
          </w:p>
        </w:tc>
        <w:tc>
          <w:tcPr>
            <w:tcW w:type="dxa" w:w="1425"/>
          </w:tcPr>
          <w:p>
            <w:r>
              <w:rPr>
                <w:sz w:val="14"/>
              </w:rPr>
              <w:t>68</w:t>
            </w:r>
          </w:p>
        </w:tc>
        <w:tc>
          <w:tcPr>
            <w:tcW w:type="dxa" w:w="1425"/>
          </w:tcPr>
          <w:p>
            <w:r>
              <w:rPr>
                <w:sz w:val="14"/>
              </w:rPr>
            </w:r>
          </w:p>
        </w:tc>
      </w:tr>
      <w:tr>
        <w:tc>
          <w:tcPr>
            <w:tcW w:type="dxa" w:w="1425"/>
          </w:tcPr>
          <w:p>
            <w:r>
              <w:rPr>
                <w:sz w:val="14"/>
              </w:rPr>
              <w:t>Metronit line 1 (83001)</w:t>
            </w:r>
          </w:p>
        </w:tc>
        <w:tc>
          <w:tcPr>
            <w:tcW w:type="dxa" w:w="1425"/>
          </w:tcPr>
          <w:p>
            <w:r>
              <w:rPr>
                <w:sz w:val="14"/>
              </w:rPr>
              <w:t>PM</w:t>
            </w:r>
          </w:p>
        </w:tc>
        <w:tc>
          <w:tcPr>
            <w:tcW w:type="dxa" w:w="1425"/>
          </w:tcPr>
          <w:p>
            <w:r>
              <w:rPr>
                <w:sz w:val="14"/>
              </w:rPr>
              <w:t>0</w:t>
            </w:r>
          </w:p>
        </w:tc>
        <w:tc>
          <w:tcPr>
            <w:tcW w:type="dxa" w:w="1425"/>
          </w:tcPr>
          <w:p>
            <w:r>
              <w:rPr>
                <w:sz w:val="14"/>
              </w:rPr>
              <w:t>ת. מרכזית חוף הכרמל/רציפים עירוני</w:t>
            </w:r>
          </w:p>
        </w:tc>
        <w:tc>
          <w:tcPr>
            <w:tcW w:type="dxa" w:w="1425"/>
          </w:tcPr>
          <w:p>
            <w:r>
              <w:rPr>
                <w:sz w:val="14"/>
              </w:rPr>
              <w:t>מרכזית הקריות/הורדה מטרונית</w:t>
            </w:r>
          </w:p>
        </w:tc>
        <w:tc>
          <w:tcPr>
            <w:tcW w:type="dxa" w:w="1425"/>
          </w:tcPr>
          <w:p>
            <w:r>
              <w:rPr>
                <w:sz w:val="14"/>
              </w:rPr>
              <w:t>65</w:t>
            </w:r>
          </w:p>
        </w:tc>
        <w:tc>
          <w:tcPr>
            <w:tcW w:type="dxa" w:w="1425"/>
          </w:tcPr>
          <w:p>
            <w:r>
              <w:rPr>
                <w:sz w:val="14"/>
              </w:rPr>
              <w:t>57</w:t>
            </w:r>
          </w:p>
        </w:tc>
      </w:tr>
      <w:tr>
        <w:tc>
          <w:tcPr>
            <w:tcW w:type="dxa" w:w="1425"/>
          </w:tcPr>
          <w:p>
            <w:r>
              <w:rPr>
                <w:sz w:val="14"/>
              </w:rPr>
              <w:t>Metronit line 1 (83001)</w:t>
            </w:r>
          </w:p>
        </w:tc>
        <w:tc>
          <w:tcPr>
            <w:tcW w:type="dxa" w:w="1425"/>
          </w:tcPr>
          <w:p>
            <w:r>
              <w:rPr>
                <w:sz w:val="14"/>
              </w:rPr>
              <w:t>PM</w:t>
            </w:r>
          </w:p>
        </w:tc>
        <w:tc>
          <w:tcPr>
            <w:tcW w:type="dxa" w:w="1425"/>
          </w:tcPr>
          <w:p>
            <w:r>
              <w:rPr>
                <w:sz w:val="14"/>
              </w:rPr>
              <w:t>1</w:t>
            </w:r>
          </w:p>
        </w:tc>
        <w:tc>
          <w:tcPr>
            <w:tcW w:type="dxa" w:w="1425"/>
          </w:tcPr>
          <w:p>
            <w:r>
              <w:rPr>
                <w:sz w:val="14"/>
              </w:rPr>
              <w:t>מרכזית הקריות/איסוף מטרונית</w:t>
            </w:r>
          </w:p>
        </w:tc>
        <w:tc>
          <w:tcPr>
            <w:tcW w:type="dxa" w:w="1425"/>
          </w:tcPr>
          <w:p>
            <w:r>
              <w:rPr>
                <w:sz w:val="14"/>
              </w:rPr>
              <w:t>ת. מרכזית חוף הכרמל/הורדה מטרונית</w:t>
            </w:r>
          </w:p>
        </w:tc>
        <w:tc>
          <w:tcPr>
            <w:tcW w:type="dxa" w:w="1425"/>
          </w:tcPr>
          <w:p>
            <w:r>
              <w:rPr>
                <w:sz w:val="14"/>
              </w:rPr>
              <w:t>65</w:t>
            </w:r>
          </w:p>
        </w:tc>
        <w:tc>
          <w:tcPr>
            <w:tcW w:type="dxa" w:w="1425"/>
          </w:tcPr>
          <w:p>
            <w:r>
              <w:rPr>
                <w:sz w:val="14"/>
              </w:rPr>
              <w:t>57</w:t>
            </w:r>
          </w:p>
        </w:tc>
      </w:tr>
      <w:tr>
        <w:tc>
          <w:tcPr>
            <w:tcW w:type="dxa" w:w="1425"/>
          </w:tcPr>
          <w:p>
            <w:r>
              <w:rPr>
                <w:sz w:val="14"/>
              </w:rPr>
              <w:t>Train (Israel Railways, study-area stations)</w:t>
            </w:r>
          </w:p>
        </w:tc>
        <w:tc>
          <w:tcPr>
            <w:tcW w:type="dxa" w:w="1425"/>
          </w:tcPr>
          <w:p>
            <w:r>
              <w:rPr>
                <w:sz w:val="14"/>
              </w:rPr>
              <w:t>PM</w:t>
            </w:r>
          </w:p>
        </w:tc>
        <w:tc>
          <w:tcPr>
            <w:tcW w:type="dxa" w:w="1425"/>
          </w:tcPr>
          <w:p>
            <w:r>
              <w:rPr>
                <w:sz w:val="14"/>
              </w:rPr>
              <w:t>0</w:t>
            </w:r>
          </w:p>
        </w:tc>
        <w:tc>
          <w:tcPr>
            <w:tcW w:type="dxa" w:w="1425"/>
          </w:tcPr>
          <w:p>
            <w:r>
              <w:rPr>
                <w:sz w:val="14"/>
              </w:rPr>
              <w:t>בנימינה</w:t>
            </w:r>
          </w:p>
        </w:tc>
        <w:tc>
          <w:tcPr>
            <w:tcW w:type="dxa" w:w="1425"/>
          </w:tcPr>
          <w:p>
            <w:r>
              <w:rPr>
                <w:sz w:val="14"/>
              </w:rPr>
              <w:t>נהריה</w:t>
            </w:r>
          </w:p>
        </w:tc>
        <w:tc>
          <w:tcPr>
            <w:tcW w:type="dxa" w:w="1425"/>
          </w:tcPr>
          <w:p>
            <w:r>
              <w:rPr>
                <w:sz w:val="14"/>
              </w:rPr>
              <w:t>65</w:t>
            </w:r>
          </w:p>
        </w:tc>
        <w:tc>
          <w:tcPr>
            <w:tcW w:type="dxa" w:w="1425"/>
          </w:tcPr>
          <w:p>
            <w:r>
              <w:rPr>
                <w:sz w:val="14"/>
              </w:rPr>
            </w:r>
          </w:p>
        </w:tc>
      </w:tr>
      <w:tr>
        <w:tc>
          <w:tcPr>
            <w:tcW w:type="dxa" w:w="1425"/>
          </w:tcPr>
          <w:p>
            <w:r>
              <w:rPr>
                <w:sz w:val="14"/>
              </w:rPr>
              <w:t>Train (Israel Railways, study-area stations)</w:t>
            </w:r>
          </w:p>
        </w:tc>
        <w:tc>
          <w:tcPr>
            <w:tcW w:type="dxa" w:w="1425"/>
          </w:tcPr>
          <w:p>
            <w:r>
              <w:rPr>
                <w:sz w:val="14"/>
              </w:rPr>
              <w:t>PM</w:t>
            </w:r>
          </w:p>
        </w:tc>
        <w:tc>
          <w:tcPr>
            <w:tcW w:type="dxa" w:w="1425"/>
          </w:tcPr>
          <w:p>
            <w:r>
              <w:rPr>
                <w:sz w:val="14"/>
              </w:rPr>
              <w:t>1</w:t>
            </w:r>
          </w:p>
        </w:tc>
        <w:tc>
          <w:tcPr>
            <w:tcW w:type="dxa" w:w="1425"/>
          </w:tcPr>
          <w:p>
            <w:r>
              <w:rPr>
                <w:sz w:val="14"/>
              </w:rPr>
              <w:t>נהריה</w:t>
            </w:r>
          </w:p>
        </w:tc>
        <w:tc>
          <w:tcPr>
            <w:tcW w:type="dxa" w:w="1425"/>
          </w:tcPr>
          <w:p>
            <w:r>
              <w:rPr>
                <w:sz w:val="14"/>
              </w:rPr>
              <w:t>בנימינה</w:t>
            </w:r>
          </w:p>
        </w:tc>
        <w:tc>
          <w:tcPr>
            <w:tcW w:type="dxa" w:w="1425"/>
          </w:tcPr>
          <w:p>
            <w:r>
              <w:rPr>
                <w:sz w:val="14"/>
              </w:rPr>
              <w:t>68</w:t>
            </w:r>
          </w:p>
        </w:tc>
        <w:tc>
          <w:tcPr>
            <w:tcW w:type="dxa" w:w="1425"/>
          </w:tcPr>
          <w:p>
            <w:r>
              <w:rPr>
                <w:sz w:val="14"/>
              </w:rPr>
            </w:r>
          </w:p>
        </w:tc>
      </w:tr>
      <w:tr>
        <w:tc>
          <w:tcPr>
            <w:tcW w:type="dxa" w:w="1425"/>
          </w:tcPr>
          <w:p>
            <w:r>
              <w:rPr>
                <w:sz w:val="14"/>
              </w:rPr>
              <w:t>Train (Israel Railways, corridor segment)</w:t>
            </w:r>
          </w:p>
        </w:tc>
        <w:tc>
          <w:tcPr>
            <w:tcW w:type="dxa" w:w="1425"/>
          </w:tcPr>
          <w:p>
            <w:r>
              <w:rPr>
                <w:sz w:val="14"/>
              </w:rPr>
              <w:t>AM</w:t>
            </w:r>
          </w:p>
        </w:tc>
        <w:tc>
          <w:tcPr>
            <w:tcW w:type="dxa" w:w="1425"/>
          </w:tcPr>
          <w:p>
            <w:r>
              <w:rPr>
                <w:sz w:val="14"/>
              </w:rPr>
              <w:t>חוף הכרמל → קרית מוצקין</w:t>
            </w:r>
          </w:p>
        </w:tc>
        <w:tc>
          <w:tcPr>
            <w:tcW w:type="dxa" w:w="1425"/>
          </w:tcPr>
          <w:p>
            <w:r>
              <w:rPr>
                <w:sz w:val="14"/>
              </w:rPr>
              <w:t>חוף הכרמל</w:t>
            </w:r>
          </w:p>
        </w:tc>
        <w:tc>
          <w:tcPr>
            <w:tcW w:type="dxa" w:w="1425"/>
          </w:tcPr>
          <w:p>
            <w:r>
              <w:rPr>
                <w:sz w:val="14"/>
              </w:rPr>
              <w:t>קרית מוצקין</w:t>
            </w:r>
          </w:p>
        </w:tc>
        <w:tc>
          <w:tcPr>
            <w:tcW w:type="dxa" w:w="1425"/>
          </w:tcPr>
          <w:p>
            <w:r>
              <w:rPr>
                <w:sz w:val="14"/>
              </w:rPr>
              <w:t>30</w:t>
            </w:r>
          </w:p>
        </w:tc>
        <w:tc>
          <w:tcPr>
            <w:tcW w:type="dxa" w:w="1425"/>
          </w:tcPr>
          <w:p>
            <w:r>
              <w:rPr>
                <w:sz w:val="14"/>
              </w:rPr>
            </w:r>
          </w:p>
        </w:tc>
      </w:tr>
      <w:tr>
        <w:tc>
          <w:tcPr>
            <w:tcW w:type="dxa" w:w="1425"/>
          </w:tcPr>
          <w:p>
            <w:r>
              <w:rPr>
                <w:sz w:val="14"/>
              </w:rPr>
              <w:t>Train (Israel Railways, corridor segment)</w:t>
            </w:r>
          </w:p>
        </w:tc>
        <w:tc>
          <w:tcPr>
            <w:tcW w:type="dxa" w:w="1425"/>
          </w:tcPr>
          <w:p>
            <w:r>
              <w:rPr>
                <w:sz w:val="14"/>
              </w:rPr>
              <w:t>AM</w:t>
            </w:r>
          </w:p>
        </w:tc>
        <w:tc>
          <w:tcPr>
            <w:tcW w:type="dxa" w:w="1425"/>
          </w:tcPr>
          <w:p>
            <w:r>
              <w:rPr>
                <w:sz w:val="14"/>
              </w:rPr>
              <w:t>קרית מוצקין → חוף הכרמל</w:t>
            </w:r>
          </w:p>
        </w:tc>
        <w:tc>
          <w:tcPr>
            <w:tcW w:type="dxa" w:w="1425"/>
          </w:tcPr>
          <w:p>
            <w:r>
              <w:rPr>
                <w:sz w:val="14"/>
              </w:rPr>
              <w:t>קרית מוצקין</w:t>
            </w:r>
          </w:p>
        </w:tc>
        <w:tc>
          <w:tcPr>
            <w:tcW w:type="dxa" w:w="1425"/>
          </w:tcPr>
          <w:p>
            <w:r>
              <w:rPr>
                <w:sz w:val="14"/>
              </w:rPr>
              <w:t>חוף הכרמל</w:t>
            </w:r>
          </w:p>
        </w:tc>
        <w:tc>
          <w:tcPr>
            <w:tcW w:type="dxa" w:w="1425"/>
          </w:tcPr>
          <w:p>
            <w:r>
              <w:rPr>
                <w:sz w:val="14"/>
              </w:rPr>
              <w:t>31</w:t>
            </w:r>
          </w:p>
        </w:tc>
        <w:tc>
          <w:tcPr>
            <w:tcW w:type="dxa" w:w="1425"/>
          </w:tcPr>
          <w:p>
            <w:r>
              <w:rPr>
                <w:sz w:val="14"/>
              </w:rPr>
            </w:r>
          </w:p>
        </w:tc>
      </w:tr>
      <w:tr>
        <w:tc>
          <w:tcPr>
            <w:tcW w:type="dxa" w:w="1425"/>
          </w:tcPr>
          <w:p>
            <w:r>
              <w:rPr>
                <w:sz w:val="14"/>
              </w:rPr>
              <w:t>Train (Israel Railways, corridor segment)</w:t>
            </w:r>
          </w:p>
        </w:tc>
        <w:tc>
          <w:tcPr>
            <w:tcW w:type="dxa" w:w="1425"/>
          </w:tcPr>
          <w:p>
            <w:r>
              <w:rPr>
                <w:sz w:val="14"/>
              </w:rPr>
              <w:t>PM</w:t>
            </w:r>
          </w:p>
        </w:tc>
        <w:tc>
          <w:tcPr>
            <w:tcW w:type="dxa" w:w="1425"/>
          </w:tcPr>
          <w:p>
            <w:r>
              <w:rPr>
                <w:sz w:val="14"/>
              </w:rPr>
              <w:t>חוף הכרמל → קרית מוצקין</w:t>
            </w:r>
          </w:p>
        </w:tc>
        <w:tc>
          <w:tcPr>
            <w:tcW w:type="dxa" w:w="1425"/>
          </w:tcPr>
          <w:p>
            <w:r>
              <w:rPr>
                <w:sz w:val="14"/>
              </w:rPr>
              <w:t>חוף הכרמל</w:t>
            </w:r>
          </w:p>
        </w:tc>
        <w:tc>
          <w:tcPr>
            <w:tcW w:type="dxa" w:w="1425"/>
          </w:tcPr>
          <w:p>
            <w:r>
              <w:rPr>
                <w:sz w:val="14"/>
              </w:rPr>
              <w:t>קרית מוצקין</w:t>
            </w:r>
          </w:p>
        </w:tc>
        <w:tc>
          <w:tcPr>
            <w:tcW w:type="dxa" w:w="1425"/>
          </w:tcPr>
          <w:p>
            <w:r>
              <w:rPr>
                <w:sz w:val="14"/>
              </w:rPr>
              <w:t>30</w:t>
            </w:r>
          </w:p>
        </w:tc>
        <w:tc>
          <w:tcPr>
            <w:tcW w:type="dxa" w:w="1425"/>
          </w:tcPr>
          <w:p>
            <w:r>
              <w:rPr>
                <w:sz w:val="14"/>
              </w:rPr>
            </w:r>
          </w:p>
        </w:tc>
      </w:tr>
      <w:tr>
        <w:tc>
          <w:tcPr>
            <w:tcW w:type="dxa" w:w="1425"/>
          </w:tcPr>
          <w:p>
            <w:r>
              <w:rPr>
                <w:sz w:val="14"/>
              </w:rPr>
              <w:t>Train (Israel Railways, corridor segment)</w:t>
            </w:r>
          </w:p>
        </w:tc>
        <w:tc>
          <w:tcPr>
            <w:tcW w:type="dxa" w:w="1425"/>
          </w:tcPr>
          <w:p>
            <w:r>
              <w:rPr>
                <w:sz w:val="14"/>
              </w:rPr>
              <w:t>PM</w:t>
            </w:r>
          </w:p>
        </w:tc>
        <w:tc>
          <w:tcPr>
            <w:tcW w:type="dxa" w:w="1425"/>
          </w:tcPr>
          <w:p>
            <w:r>
              <w:rPr>
                <w:sz w:val="14"/>
              </w:rPr>
              <w:t>קרית מוצקין → חוף הכרמל</w:t>
            </w:r>
          </w:p>
        </w:tc>
        <w:tc>
          <w:tcPr>
            <w:tcW w:type="dxa" w:w="1425"/>
          </w:tcPr>
          <w:p>
            <w:r>
              <w:rPr>
                <w:sz w:val="14"/>
              </w:rPr>
              <w:t>קרית מוצקין</w:t>
            </w:r>
          </w:p>
        </w:tc>
        <w:tc>
          <w:tcPr>
            <w:tcW w:type="dxa" w:w="1425"/>
          </w:tcPr>
          <w:p>
            <w:r>
              <w:rPr>
                <w:sz w:val="14"/>
              </w:rPr>
              <w:t>חוף הכרמל</w:t>
            </w:r>
          </w:p>
        </w:tc>
        <w:tc>
          <w:tcPr>
            <w:tcW w:type="dxa" w:w="1425"/>
          </w:tcPr>
          <w:p>
            <w:r>
              <w:rPr>
                <w:sz w:val="14"/>
              </w:rPr>
              <w:t>31</w:t>
            </w:r>
          </w:p>
        </w:tc>
        <w:tc>
          <w:tcPr>
            <w:tcW w:type="dxa" w:w="1425"/>
          </w:tcPr>
          <w:p>
            <w:r>
              <w:rPr>
                <w:sz w:val="14"/>
              </w:rPr>
            </w:r>
          </w:p>
        </w:tc>
      </w:tr>
      <w:tr>
        <w:tc>
          <w:tcPr>
            <w:tcW w:type="dxa" w:w="1425"/>
          </w:tcPr>
          <w:p>
            <w:r>
              <w:rPr>
                <w:sz w:val="14"/>
              </w:rPr>
              <w:t>LRT — Main route + extension, Prioritized (priority at interchanges; step 25 underground-calibrated times)</w:t>
            </w:r>
          </w:p>
        </w:tc>
        <w:tc>
          <w:tcPr>
            <w:tcW w:type="dxa" w:w="1425"/>
          </w:tcPr>
          <w:p>
            <w:r>
              <w:rPr>
                <w:sz w:val="14"/>
              </w:rPr>
              <w:t>all</w:t>
            </w:r>
          </w:p>
        </w:tc>
        <w:tc>
          <w:tcPr>
            <w:tcW w:type="dxa" w:w="1425"/>
          </w:tcPr>
          <w:p>
            <w:r>
              <w:rPr>
                <w:sz w:val="14"/>
              </w:rPr>
              <w:t>both (symmetric)</w:t>
            </w:r>
          </w:p>
        </w:tc>
        <w:tc>
          <w:tcPr>
            <w:tcW w:type="dxa" w:w="1425"/>
          </w:tcPr>
          <w:p>
            <w:r>
              <w:rPr>
                <w:sz w:val="14"/>
              </w:rPr>
              <w:t>Tirat Carmel (S01)</w:t>
            </w:r>
          </w:p>
        </w:tc>
        <w:tc>
          <w:tcPr>
            <w:tcW w:type="dxa" w:w="1425"/>
          </w:tcPr>
          <w:p>
            <w:r>
              <w:rPr>
                <w:sz w:val="14"/>
              </w:rPr>
              <w:t>Hamifrats (S24)</w:t>
            </w:r>
          </w:p>
        </w:tc>
        <w:tc>
          <w:tcPr>
            <w:tcW w:type="dxa" w:w="1425"/>
          </w:tcPr>
          <w:p>
            <w:r>
              <w:rPr>
                <w:sz w:val="14"/>
              </w:rPr>
              <w:t>41</w:t>
            </w:r>
          </w:p>
        </w:tc>
        <w:tc>
          <w:tcPr>
            <w:tcW w:type="dxa" w:w="1425"/>
          </w:tcPr>
          <w:p>
            <w:r>
              <w:rPr>
                <w:sz w:val="14"/>
              </w:rPr>
            </w:r>
          </w:p>
        </w:tc>
      </w:tr>
      <w:tr>
        <w:tc>
          <w:tcPr>
            <w:tcW w:type="dxa" w:w="1425"/>
          </w:tcPr>
          <w:p>
            <w:r>
              <w:rPr>
                <w:sz w:val="14"/>
              </w:rPr>
              <w:t>LRT — Main route + extension, Prioritized (priority at interchanges; step 25 underground-calibrated times)</w:t>
            </w:r>
          </w:p>
        </w:tc>
        <w:tc>
          <w:tcPr>
            <w:tcW w:type="dxa" w:w="1425"/>
          </w:tcPr>
          <w:p>
            <w:r>
              <w:rPr>
                <w:sz w:val="14"/>
              </w:rPr>
              <w:t>all</w:t>
            </w:r>
          </w:p>
        </w:tc>
        <w:tc>
          <w:tcPr>
            <w:tcW w:type="dxa" w:w="1425"/>
          </w:tcPr>
          <w:p>
            <w:r>
              <w:rPr>
                <w:sz w:val="14"/>
              </w:rPr>
              <w:t>both (symmetric)</w:t>
            </w:r>
          </w:p>
        </w:tc>
        <w:tc>
          <w:tcPr>
            <w:tcW w:type="dxa" w:w="1425"/>
          </w:tcPr>
          <w:p>
            <w:r>
              <w:rPr>
                <w:sz w:val="14"/>
              </w:rPr>
              <w:t>Hamifrats (S24)</w:t>
            </w:r>
          </w:p>
        </w:tc>
        <w:tc>
          <w:tcPr>
            <w:tcW w:type="dxa" w:w="1425"/>
          </w:tcPr>
          <w:p>
            <w:r>
              <w:rPr>
                <w:sz w:val="14"/>
              </w:rPr>
              <w:t>Nazareth (M20)</w:t>
            </w:r>
          </w:p>
        </w:tc>
        <w:tc>
          <w:tcPr>
            <w:tcW w:type="dxa" w:w="1425"/>
          </w:tcPr>
          <w:p>
            <w:r>
              <w:rPr>
                <w:sz w:val="14"/>
              </w:rPr>
              <w:t>34</w:t>
            </w:r>
          </w:p>
        </w:tc>
        <w:tc>
          <w:tcPr>
            <w:tcW w:type="dxa" w:w="1425"/>
          </w:tcPr>
          <w:p>
            <w:r>
              <w:rPr>
                <w:sz w:val="14"/>
              </w:rPr>
            </w:r>
          </w:p>
        </w:tc>
      </w:tr>
      <w:tr>
        <w:tc>
          <w:tcPr>
            <w:tcW w:type="dxa" w:w="1425"/>
          </w:tcPr>
          <w:p>
            <w:r>
              <w:rPr>
                <w:sz w:val="14"/>
              </w:rPr>
              <w:t>LRT — Main route + extension, Prioritized (priority at interchanges; step 25 underground-calibrated times)</w:t>
            </w:r>
          </w:p>
        </w:tc>
        <w:tc>
          <w:tcPr>
            <w:tcW w:type="dxa" w:w="1425"/>
          </w:tcPr>
          <w:p>
            <w:r>
              <w:rPr>
                <w:sz w:val="14"/>
              </w:rPr>
              <w:t>all</w:t>
            </w:r>
          </w:p>
        </w:tc>
        <w:tc>
          <w:tcPr>
            <w:tcW w:type="dxa" w:w="1425"/>
          </w:tcPr>
          <w:p>
            <w:r>
              <w:rPr>
                <w:sz w:val="14"/>
              </w:rPr>
              <w:t>both (symmetric)</w:t>
            </w:r>
          </w:p>
        </w:tc>
        <w:tc>
          <w:tcPr>
            <w:tcW w:type="dxa" w:w="1425"/>
          </w:tcPr>
          <w:p>
            <w:r>
              <w:rPr>
                <w:sz w:val="14"/>
              </w:rPr>
              <w:t>Tirat Carmel (S01)</w:t>
            </w:r>
          </w:p>
        </w:tc>
        <w:tc>
          <w:tcPr>
            <w:tcW w:type="dxa" w:w="1425"/>
          </w:tcPr>
          <w:p>
            <w:r>
              <w:rPr>
                <w:sz w:val="14"/>
              </w:rPr>
              <w:t>Nazareth (M20)</w:t>
            </w:r>
          </w:p>
        </w:tc>
        <w:tc>
          <w:tcPr>
            <w:tcW w:type="dxa" w:w="1425"/>
          </w:tcPr>
          <w:p>
            <w:r>
              <w:rPr>
                <w:sz w:val="14"/>
              </w:rPr>
              <w:t>74</w:t>
            </w:r>
          </w:p>
        </w:tc>
        <w:tc>
          <w:tcPr>
            <w:tcW w:type="dxa" w:w="1425"/>
          </w:tcPr>
          <w:p>
            <w:r>
              <w:rPr>
                <w:sz w:val="14"/>
              </w:rPr>
            </w:r>
          </w:p>
        </w:tc>
      </w:tr>
      <w:tr>
        <w:tc>
          <w:tcPr>
            <w:tcW w:type="dxa" w:w="1425"/>
          </w:tcPr>
          <w:p>
            <w:r>
              <w:rPr>
                <w:sz w:val="14"/>
              </w:rPr>
              <w:t>LRT — Main route + extension, Unprioritized (at grade; step 25 ground times)</w:t>
            </w:r>
          </w:p>
        </w:tc>
        <w:tc>
          <w:tcPr>
            <w:tcW w:type="dxa" w:w="1425"/>
          </w:tcPr>
          <w:p>
            <w:r>
              <w:rPr>
                <w:sz w:val="14"/>
              </w:rPr>
              <w:t>all</w:t>
            </w:r>
          </w:p>
        </w:tc>
        <w:tc>
          <w:tcPr>
            <w:tcW w:type="dxa" w:w="1425"/>
          </w:tcPr>
          <w:p>
            <w:r>
              <w:rPr>
                <w:sz w:val="14"/>
              </w:rPr>
              <w:t>both (symmetric)</w:t>
            </w:r>
          </w:p>
        </w:tc>
        <w:tc>
          <w:tcPr>
            <w:tcW w:type="dxa" w:w="1425"/>
          </w:tcPr>
          <w:p>
            <w:r>
              <w:rPr>
                <w:sz w:val="14"/>
              </w:rPr>
              <w:t>Tirat Carmel (S01)</w:t>
            </w:r>
          </w:p>
        </w:tc>
        <w:tc>
          <w:tcPr>
            <w:tcW w:type="dxa" w:w="1425"/>
          </w:tcPr>
          <w:p>
            <w:r>
              <w:rPr>
                <w:sz w:val="14"/>
              </w:rPr>
              <w:t>Hamifrats (S24)</w:t>
            </w:r>
          </w:p>
        </w:tc>
        <w:tc>
          <w:tcPr>
            <w:tcW w:type="dxa" w:w="1425"/>
          </w:tcPr>
          <w:p>
            <w:r>
              <w:rPr>
                <w:sz w:val="14"/>
              </w:rPr>
              <w:t>66</w:t>
            </w:r>
          </w:p>
        </w:tc>
        <w:tc>
          <w:tcPr>
            <w:tcW w:type="dxa" w:w="1425"/>
          </w:tcPr>
          <w:p>
            <w:r>
              <w:rPr>
                <w:sz w:val="14"/>
              </w:rPr>
            </w:r>
          </w:p>
        </w:tc>
      </w:tr>
      <w:tr>
        <w:tc>
          <w:tcPr>
            <w:tcW w:type="dxa" w:w="1425"/>
          </w:tcPr>
          <w:p>
            <w:r>
              <w:rPr>
                <w:sz w:val="14"/>
              </w:rPr>
              <w:t>LRT — Main route + extension, Unprioritized (at grade; step 25 ground times)</w:t>
            </w:r>
          </w:p>
        </w:tc>
        <w:tc>
          <w:tcPr>
            <w:tcW w:type="dxa" w:w="1425"/>
          </w:tcPr>
          <w:p>
            <w:r>
              <w:rPr>
                <w:sz w:val="14"/>
              </w:rPr>
              <w:t>all</w:t>
            </w:r>
          </w:p>
        </w:tc>
        <w:tc>
          <w:tcPr>
            <w:tcW w:type="dxa" w:w="1425"/>
          </w:tcPr>
          <w:p>
            <w:r>
              <w:rPr>
                <w:sz w:val="14"/>
              </w:rPr>
              <w:t>both (symmetric)</w:t>
            </w:r>
          </w:p>
        </w:tc>
        <w:tc>
          <w:tcPr>
            <w:tcW w:type="dxa" w:w="1425"/>
          </w:tcPr>
          <w:p>
            <w:r>
              <w:rPr>
                <w:sz w:val="14"/>
              </w:rPr>
              <w:t>Hamifrats (S24)</w:t>
            </w:r>
          </w:p>
        </w:tc>
        <w:tc>
          <w:tcPr>
            <w:tcW w:type="dxa" w:w="1425"/>
          </w:tcPr>
          <w:p>
            <w:r>
              <w:rPr>
                <w:sz w:val="14"/>
              </w:rPr>
              <w:t>Nazareth (M20)</w:t>
            </w:r>
          </w:p>
        </w:tc>
        <w:tc>
          <w:tcPr>
            <w:tcW w:type="dxa" w:w="1425"/>
          </w:tcPr>
          <w:p>
            <w:r>
              <w:rPr>
                <w:sz w:val="14"/>
              </w:rPr>
              <w:t>34</w:t>
            </w:r>
          </w:p>
        </w:tc>
        <w:tc>
          <w:tcPr>
            <w:tcW w:type="dxa" w:w="1425"/>
          </w:tcPr>
          <w:p>
            <w:r>
              <w:rPr>
                <w:sz w:val="14"/>
              </w:rPr>
            </w:r>
          </w:p>
        </w:tc>
      </w:tr>
      <w:tr>
        <w:tc>
          <w:tcPr>
            <w:tcW w:type="dxa" w:w="1425"/>
          </w:tcPr>
          <w:p>
            <w:r>
              <w:rPr>
                <w:sz w:val="14"/>
              </w:rPr>
              <w:t>LRT — Main route + extension, Unprioritized (at grade; step 25 ground times)</w:t>
            </w:r>
          </w:p>
        </w:tc>
        <w:tc>
          <w:tcPr>
            <w:tcW w:type="dxa" w:w="1425"/>
          </w:tcPr>
          <w:p>
            <w:r>
              <w:rPr>
                <w:sz w:val="14"/>
              </w:rPr>
              <w:t>all</w:t>
            </w:r>
          </w:p>
        </w:tc>
        <w:tc>
          <w:tcPr>
            <w:tcW w:type="dxa" w:w="1425"/>
          </w:tcPr>
          <w:p>
            <w:r>
              <w:rPr>
                <w:sz w:val="14"/>
              </w:rPr>
              <w:t>both (symmetric)</w:t>
            </w:r>
          </w:p>
        </w:tc>
        <w:tc>
          <w:tcPr>
            <w:tcW w:type="dxa" w:w="1425"/>
          </w:tcPr>
          <w:p>
            <w:r>
              <w:rPr>
                <w:sz w:val="14"/>
              </w:rPr>
              <w:t>Tirat Carmel (S01)</w:t>
            </w:r>
          </w:p>
        </w:tc>
        <w:tc>
          <w:tcPr>
            <w:tcW w:type="dxa" w:w="1425"/>
          </w:tcPr>
          <w:p>
            <w:r>
              <w:rPr>
                <w:sz w:val="14"/>
              </w:rPr>
              <w:t>Nazareth (M20)</w:t>
            </w:r>
          </w:p>
        </w:tc>
        <w:tc>
          <w:tcPr>
            <w:tcW w:type="dxa" w:w="1425"/>
          </w:tcPr>
          <w:p>
            <w:r>
              <w:rPr>
                <w:sz w:val="14"/>
              </w:rPr>
              <w:t>100</w:t>
            </w:r>
          </w:p>
        </w:tc>
        <w:tc>
          <w:tcPr>
            <w:tcW w:type="dxa" w:w="1425"/>
          </w:tcPr>
          <w:p>
            <w:r>
              <w:rPr>
                <w:sz w:val="14"/>
              </w:rPr>
            </w:r>
          </w:p>
        </w:tc>
      </w:tr>
      <w:tr>
        <w:tc>
          <w:tcPr>
            <w:tcW w:type="dxa" w:w="1425"/>
          </w:tcPr>
          <w:p>
            <w:r>
              <w:rPr>
                <w:sz w:val="14"/>
              </w:rPr>
              <w:t>LRT — Extension only, Prioritized (priority at interchanges; step 25 underground-calibrated times)</w:t>
            </w:r>
          </w:p>
        </w:tc>
        <w:tc>
          <w:tcPr>
            <w:tcW w:type="dxa" w:w="1425"/>
          </w:tcPr>
          <w:p>
            <w:r>
              <w:rPr>
                <w:sz w:val="14"/>
              </w:rPr>
              <w:t>all</w:t>
            </w:r>
          </w:p>
        </w:tc>
        <w:tc>
          <w:tcPr>
            <w:tcW w:type="dxa" w:w="1425"/>
          </w:tcPr>
          <w:p>
            <w:r>
              <w:rPr>
                <w:sz w:val="14"/>
              </w:rPr>
              <w:t>both (symmetric)</w:t>
            </w:r>
          </w:p>
        </w:tc>
        <w:tc>
          <w:tcPr>
            <w:tcW w:type="dxa" w:w="1425"/>
          </w:tcPr>
          <w:p>
            <w:r>
              <w:rPr>
                <w:sz w:val="14"/>
              </w:rPr>
              <w:t>Tirat Carmel (S01)</w:t>
            </w:r>
          </w:p>
        </w:tc>
        <w:tc>
          <w:tcPr>
            <w:tcW w:type="dxa" w:w="1425"/>
          </w:tcPr>
          <w:p>
            <w:r>
              <w:rPr>
                <w:sz w:val="14"/>
              </w:rPr>
              <w:t>Hamifrats (S24)</w:t>
            </w:r>
          </w:p>
        </w:tc>
        <w:tc>
          <w:tcPr>
            <w:tcW w:type="dxa" w:w="1425"/>
          </w:tcPr>
          <w:p>
            <w:r>
              <w:rPr>
                <w:sz w:val="14"/>
              </w:rPr>
              <w:t>41</w:t>
            </w:r>
          </w:p>
        </w:tc>
        <w:tc>
          <w:tcPr>
            <w:tcW w:type="dxa" w:w="1425"/>
          </w:tcPr>
          <w:p>
            <w:r>
              <w:rPr>
                <w:sz w:val="14"/>
              </w:rPr>
            </w:r>
          </w:p>
        </w:tc>
      </w:tr>
      <w:tr>
        <w:tc>
          <w:tcPr>
            <w:tcW w:type="dxa" w:w="1425"/>
          </w:tcPr>
          <w:p>
            <w:r>
              <w:rPr>
                <w:sz w:val="14"/>
              </w:rPr>
              <w:t>LRT — Extension only, Unprioritized (at grade; step 25 ground times)</w:t>
            </w:r>
          </w:p>
        </w:tc>
        <w:tc>
          <w:tcPr>
            <w:tcW w:type="dxa" w:w="1425"/>
          </w:tcPr>
          <w:p>
            <w:r>
              <w:rPr>
                <w:sz w:val="14"/>
              </w:rPr>
              <w:t>all</w:t>
            </w:r>
          </w:p>
        </w:tc>
        <w:tc>
          <w:tcPr>
            <w:tcW w:type="dxa" w:w="1425"/>
          </w:tcPr>
          <w:p>
            <w:r>
              <w:rPr>
                <w:sz w:val="14"/>
              </w:rPr>
              <w:t>both (symmetric)</w:t>
            </w:r>
          </w:p>
        </w:tc>
        <w:tc>
          <w:tcPr>
            <w:tcW w:type="dxa" w:w="1425"/>
          </w:tcPr>
          <w:p>
            <w:r>
              <w:rPr>
                <w:sz w:val="14"/>
              </w:rPr>
              <w:t>Tirat Carmel (S01)</w:t>
            </w:r>
          </w:p>
        </w:tc>
        <w:tc>
          <w:tcPr>
            <w:tcW w:type="dxa" w:w="1425"/>
          </w:tcPr>
          <w:p>
            <w:r>
              <w:rPr>
                <w:sz w:val="14"/>
              </w:rPr>
              <w:t>Hamifrats (S24)</w:t>
            </w:r>
          </w:p>
        </w:tc>
        <w:tc>
          <w:tcPr>
            <w:tcW w:type="dxa" w:w="1425"/>
          </w:tcPr>
          <w:p>
            <w:r>
              <w:rPr>
                <w:sz w:val="14"/>
              </w:rPr>
              <w:t>66</w:t>
            </w:r>
          </w:p>
        </w:tc>
        <w:tc>
          <w:tcPr>
            <w:tcW w:type="dxa" w:w="1425"/>
          </w:tcPr>
          <w:p>
            <w:r>
              <w:rPr>
                <w:sz w:val="14"/>
              </w:rPr>
            </w:r>
          </w:p>
        </w:tc>
      </w:tr>
      <w:tr>
        <w:tc>
          <w:tcPr>
            <w:tcW w:type="dxa" w:w="1425"/>
          </w:tcPr>
          <w:p>
            <w:r>
              <w:rPr>
                <w:sz w:val="14"/>
              </w:rPr>
              <w:t>Car (May 2026 speeds, 07:00)</w:t>
            </w:r>
          </w:p>
        </w:tc>
        <w:tc>
          <w:tcPr>
            <w:tcW w:type="dxa" w:w="1425"/>
          </w:tcPr>
          <w:p>
            <w:r>
              <w:rPr>
                <w:sz w:val="14"/>
              </w:rPr>
              <w:t>AM</w:t>
            </w:r>
          </w:p>
        </w:tc>
        <w:tc>
          <w:tcPr>
            <w:tcW w:type="dxa" w:w="1425"/>
          </w:tcPr>
          <w:p>
            <w:r>
              <w:rPr>
                <w:sz w:val="14"/>
              </w:rPr>
              <w:t>forward</w:t>
            </w:r>
          </w:p>
        </w:tc>
        <w:tc>
          <w:tcPr>
            <w:tcW w:type="dxa" w:w="1425"/>
          </w:tcPr>
          <w:p>
            <w:r>
              <w:rPr>
                <w:sz w:val="14"/>
              </w:rPr>
              <w:t>TiratCarmel</w:t>
            </w:r>
          </w:p>
        </w:tc>
        <w:tc>
          <w:tcPr>
            <w:tcW w:type="dxa" w:w="1425"/>
          </w:tcPr>
          <w:p>
            <w:r>
              <w:rPr>
                <w:sz w:val="14"/>
              </w:rPr>
              <w:t>Hamifrats</w:t>
            </w:r>
          </w:p>
        </w:tc>
        <w:tc>
          <w:tcPr>
            <w:tcW w:type="dxa" w:w="1425"/>
          </w:tcPr>
          <w:p>
            <w:r>
              <w:rPr>
                <w:sz w:val="14"/>
              </w:rPr>
              <w:t>32</w:t>
            </w:r>
          </w:p>
        </w:tc>
        <w:tc>
          <w:tcPr>
            <w:tcW w:type="dxa" w:w="1425"/>
          </w:tcPr>
          <w:p>
            <w:r>
              <w:rPr>
                <w:sz w:val="14"/>
              </w:rPr>
            </w:r>
          </w:p>
        </w:tc>
      </w:tr>
      <w:tr>
        <w:tc>
          <w:tcPr>
            <w:tcW w:type="dxa" w:w="1425"/>
          </w:tcPr>
          <w:p>
            <w:r>
              <w:rPr>
                <w:sz w:val="14"/>
              </w:rPr>
              <w:t>Car (May 2026 speeds, 07:00)</w:t>
            </w:r>
          </w:p>
        </w:tc>
        <w:tc>
          <w:tcPr>
            <w:tcW w:type="dxa" w:w="1425"/>
          </w:tcPr>
          <w:p>
            <w:r>
              <w:rPr>
                <w:sz w:val="14"/>
              </w:rPr>
              <w:t>AM</w:t>
            </w:r>
          </w:p>
        </w:tc>
        <w:tc>
          <w:tcPr>
            <w:tcW w:type="dxa" w:w="1425"/>
          </w:tcPr>
          <w:p>
            <w:r>
              <w:rPr>
                <w:sz w:val="14"/>
              </w:rPr>
              <w:t>reverse</w:t>
            </w:r>
          </w:p>
        </w:tc>
        <w:tc>
          <w:tcPr>
            <w:tcW w:type="dxa" w:w="1425"/>
          </w:tcPr>
          <w:p>
            <w:r>
              <w:rPr>
                <w:sz w:val="14"/>
              </w:rPr>
              <w:t>Hamifrats</w:t>
            </w:r>
          </w:p>
        </w:tc>
        <w:tc>
          <w:tcPr>
            <w:tcW w:type="dxa" w:w="1425"/>
          </w:tcPr>
          <w:p>
            <w:r>
              <w:rPr>
                <w:sz w:val="14"/>
              </w:rPr>
              <w:t>TiratCarmel</w:t>
            </w:r>
          </w:p>
        </w:tc>
        <w:tc>
          <w:tcPr>
            <w:tcW w:type="dxa" w:w="1425"/>
          </w:tcPr>
          <w:p>
            <w:r>
              <w:rPr>
                <w:sz w:val="14"/>
              </w:rPr>
              <w:t>21</w:t>
            </w:r>
          </w:p>
        </w:tc>
        <w:tc>
          <w:tcPr>
            <w:tcW w:type="dxa" w:w="1425"/>
          </w:tcPr>
          <w:p>
            <w:r>
              <w:rPr>
                <w:sz w:val="14"/>
              </w:rPr>
            </w:r>
          </w:p>
        </w:tc>
      </w:tr>
      <w:tr>
        <w:tc>
          <w:tcPr>
            <w:tcW w:type="dxa" w:w="1425"/>
          </w:tcPr>
          <w:p>
            <w:r>
              <w:rPr>
                <w:sz w:val="14"/>
              </w:rPr>
              <w:t>Car (May 2026 speeds, 07:00)</w:t>
            </w:r>
          </w:p>
        </w:tc>
        <w:tc>
          <w:tcPr>
            <w:tcW w:type="dxa" w:w="1425"/>
          </w:tcPr>
          <w:p>
            <w:r>
              <w:rPr>
                <w:sz w:val="14"/>
              </w:rPr>
              <w:t>AM</w:t>
            </w:r>
          </w:p>
        </w:tc>
        <w:tc>
          <w:tcPr>
            <w:tcW w:type="dxa" w:w="1425"/>
          </w:tcPr>
          <w:p>
            <w:r>
              <w:rPr>
                <w:sz w:val="14"/>
              </w:rPr>
              <w:t>forward</w:t>
            </w:r>
          </w:p>
        </w:tc>
        <w:tc>
          <w:tcPr>
            <w:tcW w:type="dxa" w:w="1425"/>
          </w:tcPr>
          <w:p>
            <w:r>
              <w:rPr>
                <w:sz w:val="14"/>
              </w:rPr>
              <w:t>Hamifrats</w:t>
            </w:r>
          </w:p>
        </w:tc>
        <w:tc>
          <w:tcPr>
            <w:tcW w:type="dxa" w:w="1425"/>
          </w:tcPr>
          <w:p>
            <w:r>
              <w:rPr>
                <w:sz w:val="14"/>
              </w:rPr>
              <w:t>Nazareth</w:t>
            </w:r>
          </w:p>
        </w:tc>
        <w:tc>
          <w:tcPr>
            <w:tcW w:type="dxa" w:w="1425"/>
          </w:tcPr>
          <w:p>
            <w:r>
              <w:rPr>
                <w:sz w:val="14"/>
              </w:rPr>
              <w:t>46</w:t>
            </w:r>
          </w:p>
        </w:tc>
        <w:tc>
          <w:tcPr>
            <w:tcW w:type="dxa" w:w="1425"/>
          </w:tcPr>
          <w:p>
            <w:r>
              <w:rPr>
                <w:sz w:val="14"/>
              </w:rPr>
            </w:r>
          </w:p>
        </w:tc>
      </w:tr>
      <w:tr>
        <w:tc>
          <w:tcPr>
            <w:tcW w:type="dxa" w:w="1425"/>
          </w:tcPr>
          <w:p>
            <w:r>
              <w:rPr>
                <w:sz w:val="14"/>
              </w:rPr>
              <w:t>Car (May 2026 speeds, 07:00)</w:t>
            </w:r>
          </w:p>
        </w:tc>
        <w:tc>
          <w:tcPr>
            <w:tcW w:type="dxa" w:w="1425"/>
          </w:tcPr>
          <w:p>
            <w:r>
              <w:rPr>
                <w:sz w:val="14"/>
              </w:rPr>
              <w:t>AM</w:t>
            </w:r>
          </w:p>
        </w:tc>
        <w:tc>
          <w:tcPr>
            <w:tcW w:type="dxa" w:w="1425"/>
          </w:tcPr>
          <w:p>
            <w:r>
              <w:rPr>
                <w:sz w:val="14"/>
              </w:rPr>
              <w:t>reverse</w:t>
            </w:r>
          </w:p>
        </w:tc>
        <w:tc>
          <w:tcPr>
            <w:tcW w:type="dxa" w:w="1425"/>
          </w:tcPr>
          <w:p>
            <w:r>
              <w:rPr>
                <w:sz w:val="14"/>
              </w:rPr>
              <w:t>Nazareth</w:t>
            </w:r>
          </w:p>
        </w:tc>
        <w:tc>
          <w:tcPr>
            <w:tcW w:type="dxa" w:w="1425"/>
          </w:tcPr>
          <w:p>
            <w:r>
              <w:rPr>
                <w:sz w:val="14"/>
              </w:rPr>
              <w:t>Hamifrats</w:t>
            </w:r>
          </w:p>
        </w:tc>
        <w:tc>
          <w:tcPr>
            <w:tcW w:type="dxa" w:w="1425"/>
          </w:tcPr>
          <w:p>
            <w:r>
              <w:rPr>
                <w:sz w:val="14"/>
              </w:rPr>
              <w:t>42</w:t>
            </w:r>
          </w:p>
        </w:tc>
        <w:tc>
          <w:tcPr>
            <w:tcW w:type="dxa" w:w="1425"/>
          </w:tcPr>
          <w:p>
            <w:r>
              <w:rPr>
                <w:sz w:val="14"/>
              </w:rPr>
            </w:r>
          </w:p>
        </w:tc>
      </w:tr>
      <w:tr>
        <w:tc>
          <w:tcPr>
            <w:tcW w:type="dxa" w:w="1425"/>
          </w:tcPr>
          <w:p>
            <w:r>
              <w:rPr>
                <w:sz w:val="14"/>
              </w:rPr>
              <w:t>Car (May 2026 speeds, 07:00)</w:t>
            </w:r>
          </w:p>
        </w:tc>
        <w:tc>
          <w:tcPr>
            <w:tcW w:type="dxa" w:w="1425"/>
          </w:tcPr>
          <w:p>
            <w:r>
              <w:rPr>
                <w:sz w:val="14"/>
              </w:rPr>
              <w:t>AM</w:t>
            </w:r>
          </w:p>
        </w:tc>
        <w:tc>
          <w:tcPr>
            <w:tcW w:type="dxa" w:w="1425"/>
          </w:tcPr>
          <w:p>
            <w:r>
              <w:rPr>
                <w:sz w:val="14"/>
              </w:rPr>
              <w:t>forward</w:t>
            </w:r>
          </w:p>
        </w:tc>
        <w:tc>
          <w:tcPr>
            <w:tcW w:type="dxa" w:w="1425"/>
          </w:tcPr>
          <w:p>
            <w:r>
              <w:rPr>
                <w:sz w:val="14"/>
              </w:rPr>
              <w:t>TiratCarmel</w:t>
            </w:r>
          </w:p>
        </w:tc>
        <w:tc>
          <w:tcPr>
            <w:tcW w:type="dxa" w:w="1425"/>
          </w:tcPr>
          <w:p>
            <w:r>
              <w:rPr>
                <w:sz w:val="14"/>
              </w:rPr>
              <w:t>Nazareth</w:t>
            </w:r>
          </w:p>
        </w:tc>
        <w:tc>
          <w:tcPr>
            <w:tcW w:type="dxa" w:w="1425"/>
          </w:tcPr>
          <w:p>
            <w:r>
              <w:rPr>
                <w:sz w:val="14"/>
              </w:rPr>
              <w:t>65</w:t>
            </w:r>
          </w:p>
        </w:tc>
        <w:tc>
          <w:tcPr>
            <w:tcW w:type="dxa" w:w="1425"/>
          </w:tcPr>
          <w:p>
            <w:r>
              <w:rPr>
                <w:sz w:val="14"/>
              </w:rPr>
            </w:r>
          </w:p>
        </w:tc>
      </w:tr>
      <w:tr>
        <w:tc>
          <w:tcPr>
            <w:tcW w:type="dxa" w:w="1425"/>
          </w:tcPr>
          <w:p>
            <w:r>
              <w:rPr>
                <w:sz w:val="14"/>
              </w:rPr>
              <w:t>Car (May 2026 speeds, 07:00)</w:t>
            </w:r>
          </w:p>
        </w:tc>
        <w:tc>
          <w:tcPr>
            <w:tcW w:type="dxa" w:w="1425"/>
          </w:tcPr>
          <w:p>
            <w:r>
              <w:rPr>
                <w:sz w:val="14"/>
              </w:rPr>
              <w:t>AM</w:t>
            </w:r>
          </w:p>
        </w:tc>
        <w:tc>
          <w:tcPr>
            <w:tcW w:type="dxa" w:w="1425"/>
          </w:tcPr>
          <w:p>
            <w:r>
              <w:rPr>
                <w:sz w:val="14"/>
              </w:rPr>
              <w:t>reverse</w:t>
            </w:r>
          </w:p>
        </w:tc>
        <w:tc>
          <w:tcPr>
            <w:tcW w:type="dxa" w:w="1425"/>
          </w:tcPr>
          <w:p>
            <w:r>
              <w:rPr>
                <w:sz w:val="14"/>
              </w:rPr>
              <w:t>Nazareth</w:t>
            </w:r>
          </w:p>
        </w:tc>
        <w:tc>
          <w:tcPr>
            <w:tcW w:type="dxa" w:w="1425"/>
          </w:tcPr>
          <w:p>
            <w:r>
              <w:rPr>
                <w:sz w:val="14"/>
              </w:rPr>
              <w:t>TiratCarmel</w:t>
            </w:r>
          </w:p>
        </w:tc>
        <w:tc>
          <w:tcPr>
            <w:tcW w:type="dxa" w:w="1425"/>
          </w:tcPr>
          <w:p>
            <w:r>
              <w:rPr>
                <w:sz w:val="14"/>
              </w:rPr>
              <w:t>59</w:t>
            </w:r>
          </w:p>
        </w:tc>
        <w:tc>
          <w:tcPr>
            <w:tcW w:type="dxa" w:w="1425"/>
          </w:tcPr>
          <w:p>
            <w:r>
              <w:rPr>
                <w:sz w:val="14"/>
              </w:rPr>
            </w:r>
          </w:p>
        </w:tc>
      </w:tr>
      <w:tr>
        <w:tc>
          <w:tcPr>
            <w:tcW w:type="dxa" w:w="1425"/>
          </w:tcPr>
          <w:p>
            <w:r>
              <w:rPr>
                <w:sz w:val="14"/>
              </w:rPr>
              <w:t>Car (May 2026 speeds, 17:00)</w:t>
            </w:r>
          </w:p>
        </w:tc>
        <w:tc>
          <w:tcPr>
            <w:tcW w:type="dxa" w:w="1425"/>
          </w:tcPr>
          <w:p>
            <w:r>
              <w:rPr>
                <w:sz w:val="14"/>
              </w:rPr>
              <w:t>PM</w:t>
            </w:r>
          </w:p>
        </w:tc>
        <w:tc>
          <w:tcPr>
            <w:tcW w:type="dxa" w:w="1425"/>
          </w:tcPr>
          <w:p>
            <w:r>
              <w:rPr>
                <w:sz w:val="14"/>
              </w:rPr>
              <w:t>forward</w:t>
            </w:r>
          </w:p>
        </w:tc>
        <w:tc>
          <w:tcPr>
            <w:tcW w:type="dxa" w:w="1425"/>
          </w:tcPr>
          <w:p>
            <w:r>
              <w:rPr>
                <w:sz w:val="14"/>
              </w:rPr>
              <w:t>TiratCarmel</w:t>
            </w:r>
          </w:p>
        </w:tc>
        <w:tc>
          <w:tcPr>
            <w:tcW w:type="dxa" w:w="1425"/>
          </w:tcPr>
          <w:p>
            <w:r>
              <w:rPr>
                <w:sz w:val="14"/>
              </w:rPr>
              <w:t>Hamifrats</w:t>
            </w:r>
          </w:p>
        </w:tc>
        <w:tc>
          <w:tcPr>
            <w:tcW w:type="dxa" w:w="1425"/>
          </w:tcPr>
          <w:p>
            <w:r>
              <w:rPr>
                <w:sz w:val="14"/>
              </w:rPr>
              <w:t>32</w:t>
            </w:r>
          </w:p>
        </w:tc>
        <w:tc>
          <w:tcPr>
            <w:tcW w:type="dxa" w:w="1425"/>
          </w:tcPr>
          <w:p>
            <w:r>
              <w:rPr>
                <w:sz w:val="14"/>
              </w:rPr>
            </w:r>
          </w:p>
        </w:tc>
      </w:tr>
      <w:tr>
        <w:tc>
          <w:tcPr>
            <w:tcW w:type="dxa" w:w="1425"/>
          </w:tcPr>
          <w:p>
            <w:r>
              <w:rPr>
                <w:sz w:val="14"/>
              </w:rPr>
              <w:t>Car (May 2026 speeds, 17:00)</w:t>
            </w:r>
          </w:p>
        </w:tc>
        <w:tc>
          <w:tcPr>
            <w:tcW w:type="dxa" w:w="1425"/>
          </w:tcPr>
          <w:p>
            <w:r>
              <w:rPr>
                <w:sz w:val="14"/>
              </w:rPr>
              <w:t>PM</w:t>
            </w:r>
          </w:p>
        </w:tc>
        <w:tc>
          <w:tcPr>
            <w:tcW w:type="dxa" w:w="1425"/>
          </w:tcPr>
          <w:p>
            <w:r>
              <w:rPr>
                <w:sz w:val="14"/>
              </w:rPr>
              <w:t>reverse</w:t>
            </w:r>
          </w:p>
        </w:tc>
        <w:tc>
          <w:tcPr>
            <w:tcW w:type="dxa" w:w="1425"/>
          </w:tcPr>
          <w:p>
            <w:r>
              <w:rPr>
                <w:sz w:val="14"/>
              </w:rPr>
              <w:t>Hamifrats</w:t>
            </w:r>
          </w:p>
        </w:tc>
        <w:tc>
          <w:tcPr>
            <w:tcW w:type="dxa" w:w="1425"/>
          </w:tcPr>
          <w:p>
            <w:r>
              <w:rPr>
                <w:sz w:val="14"/>
              </w:rPr>
              <w:t>TiratCarmel</w:t>
            </w:r>
          </w:p>
        </w:tc>
        <w:tc>
          <w:tcPr>
            <w:tcW w:type="dxa" w:w="1425"/>
          </w:tcPr>
          <w:p>
            <w:r>
              <w:rPr>
                <w:sz w:val="14"/>
              </w:rPr>
              <w:t>21</w:t>
            </w:r>
          </w:p>
        </w:tc>
        <w:tc>
          <w:tcPr>
            <w:tcW w:type="dxa" w:w="1425"/>
          </w:tcPr>
          <w:p>
            <w:r>
              <w:rPr>
                <w:sz w:val="14"/>
              </w:rPr>
            </w:r>
          </w:p>
        </w:tc>
      </w:tr>
      <w:tr>
        <w:tc>
          <w:tcPr>
            <w:tcW w:type="dxa" w:w="1425"/>
          </w:tcPr>
          <w:p>
            <w:r>
              <w:rPr>
                <w:sz w:val="14"/>
              </w:rPr>
              <w:t>Car (May 2026 speeds, 17:00)</w:t>
            </w:r>
          </w:p>
        </w:tc>
        <w:tc>
          <w:tcPr>
            <w:tcW w:type="dxa" w:w="1425"/>
          </w:tcPr>
          <w:p>
            <w:r>
              <w:rPr>
                <w:sz w:val="14"/>
              </w:rPr>
              <w:t>PM</w:t>
            </w:r>
          </w:p>
        </w:tc>
        <w:tc>
          <w:tcPr>
            <w:tcW w:type="dxa" w:w="1425"/>
          </w:tcPr>
          <w:p>
            <w:r>
              <w:rPr>
                <w:sz w:val="14"/>
              </w:rPr>
              <w:t>forward</w:t>
            </w:r>
          </w:p>
        </w:tc>
        <w:tc>
          <w:tcPr>
            <w:tcW w:type="dxa" w:w="1425"/>
          </w:tcPr>
          <w:p>
            <w:r>
              <w:rPr>
                <w:sz w:val="14"/>
              </w:rPr>
              <w:t>Hamifrats</w:t>
            </w:r>
          </w:p>
        </w:tc>
        <w:tc>
          <w:tcPr>
            <w:tcW w:type="dxa" w:w="1425"/>
          </w:tcPr>
          <w:p>
            <w:r>
              <w:rPr>
                <w:sz w:val="14"/>
              </w:rPr>
              <w:t>Nazareth</w:t>
            </w:r>
          </w:p>
        </w:tc>
        <w:tc>
          <w:tcPr>
            <w:tcW w:type="dxa" w:w="1425"/>
          </w:tcPr>
          <w:p>
            <w:r>
              <w:rPr>
                <w:sz w:val="14"/>
              </w:rPr>
              <w:t>46</w:t>
            </w:r>
          </w:p>
        </w:tc>
        <w:tc>
          <w:tcPr>
            <w:tcW w:type="dxa" w:w="1425"/>
          </w:tcPr>
          <w:p>
            <w:r>
              <w:rPr>
                <w:sz w:val="14"/>
              </w:rPr>
            </w:r>
          </w:p>
        </w:tc>
      </w:tr>
      <w:tr>
        <w:tc>
          <w:tcPr>
            <w:tcW w:type="dxa" w:w="1425"/>
          </w:tcPr>
          <w:p>
            <w:r>
              <w:rPr>
                <w:sz w:val="14"/>
              </w:rPr>
              <w:t>Car (May 2026 speeds, 17:00)</w:t>
            </w:r>
          </w:p>
        </w:tc>
        <w:tc>
          <w:tcPr>
            <w:tcW w:type="dxa" w:w="1425"/>
          </w:tcPr>
          <w:p>
            <w:r>
              <w:rPr>
                <w:sz w:val="14"/>
              </w:rPr>
              <w:t>PM</w:t>
            </w:r>
          </w:p>
        </w:tc>
        <w:tc>
          <w:tcPr>
            <w:tcW w:type="dxa" w:w="1425"/>
          </w:tcPr>
          <w:p>
            <w:r>
              <w:rPr>
                <w:sz w:val="14"/>
              </w:rPr>
              <w:t>reverse</w:t>
            </w:r>
          </w:p>
        </w:tc>
        <w:tc>
          <w:tcPr>
            <w:tcW w:type="dxa" w:w="1425"/>
          </w:tcPr>
          <w:p>
            <w:r>
              <w:rPr>
                <w:sz w:val="14"/>
              </w:rPr>
              <w:t>Nazareth</w:t>
            </w:r>
          </w:p>
        </w:tc>
        <w:tc>
          <w:tcPr>
            <w:tcW w:type="dxa" w:w="1425"/>
          </w:tcPr>
          <w:p>
            <w:r>
              <w:rPr>
                <w:sz w:val="14"/>
              </w:rPr>
              <w:t>Hamifrats</w:t>
            </w:r>
          </w:p>
        </w:tc>
        <w:tc>
          <w:tcPr>
            <w:tcW w:type="dxa" w:w="1425"/>
          </w:tcPr>
          <w:p>
            <w:r>
              <w:rPr>
                <w:sz w:val="14"/>
              </w:rPr>
              <w:t>41</w:t>
            </w:r>
          </w:p>
        </w:tc>
        <w:tc>
          <w:tcPr>
            <w:tcW w:type="dxa" w:w="1425"/>
          </w:tcPr>
          <w:p>
            <w:r>
              <w:rPr>
                <w:sz w:val="14"/>
              </w:rPr>
            </w:r>
          </w:p>
        </w:tc>
      </w:tr>
      <w:tr>
        <w:tc>
          <w:tcPr>
            <w:tcW w:type="dxa" w:w="1425"/>
          </w:tcPr>
          <w:p>
            <w:r>
              <w:rPr>
                <w:sz w:val="14"/>
              </w:rPr>
              <w:t>Car (May 2026 speeds, 17:00)</w:t>
            </w:r>
          </w:p>
        </w:tc>
        <w:tc>
          <w:tcPr>
            <w:tcW w:type="dxa" w:w="1425"/>
          </w:tcPr>
          <w:p>
            <w:r>
              <w:rPr>
                <w:sz w:val="14"/>
              </w:rPr>
              <w:t>PM</w:t>
            </w:r>
          </w:p>
        </w:tc>
        <w:tc>
          <w:tcPr>
            <w:tcW w:type="dxa" w:w="1425"/>
          </w:tcPr>
          <w:p>
            <w:r>
              <w:rPr>
                <w:sz w:val="14"/>
              </w:rPr>
              <w:t>forward</w:t>
            </w:r>
          </w:p>
        </w:tc>
        <w:tc>
          <w:tcPr>
            <w:tcW w:type="dxa" w:w="1425"/>
          </w:tcPr>
          <w:p>
            <w:r>
              <w:rPr>
                <w:sz w:val="14"/>
              </w:rPr>
              <w:t>TiratCarmel</w:t>
            </w:r>
          </w:p>
        </w:tc>
        <w:tc>
          <w:tcPr>
            <w:tcW w:type="dxa" w:w="1425"/>
          </w:tcPr>
          <w:p>
            <w:r>
              <w:rPr>
                <w:sz w:val="14"/>
              </w:rPr>
              <w:t>Nazareth</w:t>
            </w:r>
          </w:p>
        </w:tc>
        <w:tc>
          <w:tcPr>
            <w:tcW w:type="dxa" w:w="1425"/>
          </w:tcPr>
          <w:p>
            <w:r>
              <w:rPr>
                <w:sz w:val="14"/>
              </w:rPr>
              <w:t>65</w:t>
            </w:r>
          </w:p>
        </w:tc>
        <w:tc>
          <w:tcPr>
            <w:tcW w:type="dxa" w:w="1425"/>
          </w:tcPr>
          <w:p>
            <w:r>
              <w:rPr>
                <w:sz w:val="14"/>
              </w:rPr>
            </w:r>
          </w:p>
        </w:tc>
      </w:tr>
      <w:tr>
        <w:tc>
          <w:tcPr>
            <w:tcW w:type="dxa" w:w="1425"/>
          </w:tcPr>
          <w:p>
            <w:r>
              <w:rPr>
                <w:sz w:val="14"/>
              </w:rPr>
              <w:t>Car (May 2026 speeds, 17:00)</w:t>
            </w:r>
          </w:p>
        </w:tc>
        <w:tc>
          <w:tcPr>
            <w:tcW w:type="dxa" w:w="1425"/>
          </w:tcPr>
          <w:p>
            <w:r>
              <w:rPr>
                <w:sz w:val="14"/>
              </w:rPr>
              <w:t>PM</w:t>
            </w:r>
          </w:p>
        </w:tc>
        <w:tc>
          <w:tcPr>
            <w:tcW w:type="dxa" w:w="1425"/>
          </w:tcPr>
          <w:p>
            <w:r>
              <w:rPr>
                <w:sz w:val="14"/>
              </w:rPr>
              <w:t>reverse</w:t>
            </w:r>
          </w:p>
        </w:tc>
        <w:tc>
          <w:tcPr>
            <w:tcW w:type="dxa" w:w="1425"/>
          </w:tcPr>
          <w:p>
            <w:r>
              <w:rPr>
                <w:sz w:val="14"/>
              </w:rPr>
              <w:t>Nazareth</w:t>
            </w:r>
          </w:p>
        </w:tc>
        <w:tc>
          <w:tcPr>
            <w:tcW w:type="dxa" w:w="1425"/>
          </w:tcPr>
          <w:p>
            <w:r>
              <w:rPr>
                <w:sz w:val="14"/>
              </w:rPr>
              <w:t>TiratCarmel</w:t>
            </w:r>
          </w:p>
        </w:tc>
        <w:tc>
          <w:tcPr>
            <w:tcW w:type="dxa" w:w="1425"/>
          </w:tcPr>
          <w:p>
            <w:r>
              <w:rPr>
                <w:sz w:val="14"/>
              </w:rPr>
              <w:t>58</w:t>
            </w:r>
          </w:p>
        </w:tc>
        <w:tc>
          <w:tcPr>
            <w:tcW w:type="dxa" w:w="1425"/>
          </w:tcPr>
          <w:p>
            <w:r>
              <w:rPr>
                <w:sz w:val="14"/>
              </w:rPr>
            </w:r>
          </w:p>
        </w:tc>
      </w:tr>
    </w:tbl>
    <w:p>
      <w:r>
        <w:rPr>
          <w:sz w:val="16"/>
        </w:rPr>
        <w:t>Table 4.10 — End-to-end times on the route by mode (Output/alternatives/time_on_route.csv). The LRT through line runs 74.3 min Prioritized / 99.6 min Unprioritized from Tirat Carmel to Nazareth (extension 40.7 / 65.8 min; main route 33.7 min at 80 km/h with 10 s dwell).</w:t>
      </w:r>
    </w:p>
    <w:p>
      <w:pPr>
        <w:pStyle w:val="Heading2"/>
      </w:pPr>
      <w:r>
        <w:t>4.11 Maps</w:t>
      </w:r>
    </w:p>
    <w:p>
      <w:r>
        <w:t>The map set of the alternatives report (Output/figures/alternatives/, 41 maps: line loads, origins and destinations of the LRT trips, LRT share, growth, shift sources and rates, travel-time maps) applies to these runs; four are reproduced here.</w:t>
      </w:r>
    </w:p>
    <w:p>
      <w:r>
        <w:t>One map per scenario-year, all on the same width scale (the HS 2050 maximum) and the same boarding-circle scale.</w:t>
      </w:r>
    </w:p>
    <w:p>
      <w:r>
        <w:t>Each map is followed by its zoom on the extension (Tirat Carmel – Hamifrats), same scale.</w:t>
      </w:r>
    </w:p>
    <w:p>
      <w:r>
        <w:drawing>
          <wp:inline xmlns:a="http://schemas.openxmlformats.org/drawingml/2006/main" xmlns:pic="http://schemas.openxmlformats.org/drawingml/2006/picture">
            <wp:extent cx="5400000" cy="3010084"/>
            <wp:docPr id="73" name="Picture 73"/>
            <wp:cNvGraphicFramePr>
              <a:graphicFrameLocks noChangeAspect="1"/>
            </wp:cNvGraphicFramePr>
            <a:graphic>
              <a:graphicData uri="http://schemas.openxmlformats.org/drawingml/2006/picture">
                <pic:pic>
                  <pic:nvPicPr>
                    <pic:cNvPr id="0" name="map_line_loads_AM_BU_2040.png"/>
                    <pic:cNvPicPr/>
                  </pic:nvPicPr>
                  <pic:blipFill>
                    <a:blip r:embed="rId81"/>
                    <a:stretch>
                      <a:fillRect/>
                    </a:stretch>
                  </pic:blipFill>
                  <pic:spPr>
                    <a:xfrm>
                      <a:off x="0" y="0"/>
                      <a:ext cx="5400000" cy="3010084"/>
                    </a:xfrm>
                    <a:prstGeom prst="rect"/>
                  </pic:spPr>
                </pic:pic>
              </a:graphicData>
            </a:graphic>
          </wp:inline>
        </w:drawing>
      </w:r>
    </w:p>
    <w:p>
      <w:r>
        <w:rPr>
          <w:i/>
          <w:sz w:val="16"/>
        </w:rPr>
        <w:t>Figure 4.12 — LRT line loads and station boardings in the AM peak hour, 2040 BU, main route + extension, Prioritized.</w:t>
      </w:r>
    </w:p>
    <w:p>
      <w:r>
        <w:drawing>
          <wp:inline xmlns:a="http://schemas.openxmlformats.org/drawingml/2006/main" xmlns:pic="http://schemas.openxmlformats.org/drawingml/2006/picture">
            <wp:extent cx="4320000" cy="4836798"/>
            <wp:docPr id="74" name="Picture 74"/>
            <wp:cNvGraphicFramePr>
              <a:graphicFrameLocks noChangeAspect="1"/>
            </wp:cNvGraphicFramePr>
            <a:graphic>
              <a:graphicData uri="http://schemas.openxmlformats.org/drawingml/2006/picture">
                <pic:pic>
                  <pic:nvPicPr>
                    <pic:cNvPr id="0" name="map_line_loads_AM_BU_2040_zoom.png"/>
                    <pic:cNvPicPr/>
                  </pic:nvPicPr>
                  <pic:blipFill>
                    <a:blip r:embed="rId82"/>
                    <a:stretch>
                      <a:fillRect/>
                    </a:stretch>
                  </pic:blipFill>
                  <pic:spPr>
                    <a:xfrm>
                      <a:off x="0" y="0"/>
                      <a:ext cx="4320000" cy="4836798"/>
                    </a:xfrm>
                    <a:prstGeom prst="rect"/>
                  </pic:spPr>
                </pic:pic>
              </a:graphicData>
            </a:graphic>
          </wp:inline>
        </w:drawing>
      </w:r>
    </w:p>
    <w:p>
      <w:r>
        <w:rPr>
          <w:i/>
          <w:sz w:val="16"/>
        </w:rPr>
        <w:t>Figure 4.12z — The same, zoomed on the extension.</w:t>
      </w:r>
    </w:p>
    <w:p>
      <w:r>
        <w:drawing>
          <wp:inline xmlns:a="http://schemas.openxmlformats.org/drawingml/2006/main" xmlns:pic="http://schemas.openxmlformats.org/drawingml/2006/picture">
            <wp:extent cx="5400000" cy="3010084"/>
            <wp:docPr id="75" name="Picture 75"/>
            <wp:cNvGraphicFramePr>
              <a:graphicFrameLocks noChangeAspect="1"/>
            </wp:cNvGraphicFramePr>
            <a:graphic>
              <a:graphicData uri="http://schemas.openxmlformats.org/drawingml/2006/picture">
                <pic:pic>
                  <pic:nvPicPr>
                    <pic:cNvPr id="0" name="map_line_loads_AM_BU_2050.png"/>
                    <pic:cNvPicPr/>
                  </pic:nvPicPr>
                  <pic:blipFill>
                    <a:blip r:embed="rId83"/>
                    <a:stretch>
                      <a:fillRect/>
                    </a:stretch>
                  </pic:blipFill>
                  <pic:spPr>
                    <a:xfrm>
                      <a:off x="0" y="0"/>
                      <a:ext cx="5400000" cy="3010084"/>
                    </a:xfrm>
                    <a:prstGeom prst="rect"/>
                  </pic:spPr>
                </pic:pic>
              </a:graphicData>
            </a:graphic>
          </wp:inline>
        </w:drawing>
      </w:r>
    </w:p>
    <w:p>
      <w:r>
        <w:rPr>
          <w:i/>
          <w:sz w:val="16"/>
        </w:rPr>
        <w:t>Figure 4.13 — LRT line loads and station boardings in the AM peak hour, 2050 BU, main route + extension, Prioritized.</w:t>
      </w:r>
    </w:p>
    <w:p>
      <w:r>
        <w:drawing>
          <wp:inline xmlns:a="http://schemas.openxmlformats.org/drawingml/2006/main" xmlns:pic="http://schemas.openxmlformats.org/drawingml/2006/picture">
            <wp:extent cx="4320000" cy="4836798"/>
            <wp:docPr id="76" name="Picture 76"/>
            <wp:cNvGraphicFramePr>
              <a:graphicFrameLocks noChangeAspect="1"/>
            </wp:cNvGraphicFramePr>
            <a:graphic>
              <a:graphicData uri="http://schemas.openxmlformats.org/drawingml/2006/picture">
                <pic:pic>
                  <pic:nvPicPr>
                    <pic:cNvPr id="0" name="map_line_loads_AM_BU_2050_zoom.png"/>
                    <pic:cNvPicPr/>
                  </pic:nvPicPr>
                  <pic:blipFill>
                    <a:blip r:embed="rId84"/>
                    <a:stretch>
                      <a:fillRect/>
                    </a:stretch>
                  </pic:blipFill>
                  <pic:spPr>
                    <a:xfrm>
                      <a:off x="0" y="0"/>
                      <a:ext cx="4320000" cy="4836798"/>
                    </a:xfrm>
                    <a:prstGeom prst="rect"/>
                  </pic:spPr>
                </pic:pic>
              </a:graphicData>
            </a:graphic>
          </wp:inline>
        </w:drawing>
      </w:r>
    </w:p>
    <w:p>
      <w:r>
        <w:rPr>
          <w:i/>
          <w:sz w:val="16"/>
        </w:rPr>
        <w:t>Figure 4.13z — The same, zoomed on the extension.</w:t>
      </w:r>
    </w:p>
    <w:p>
      <w:r>
        <w:drawing>
          <wp:inline xmlns:a="http://schemas.openxmlformats.org/drawingml/2006/main" xmlns:pic="http://schemas.openxmlformats.org/drawingml/2006/picture">
            <wp:extent cx="5400000" cy="3010084"/>
            <wp:docPr id="77" name="Picture 77"/>
            <wp:cNvGraphicFramePr>
              <a:graphicFrameLocks noChangeAspect="1"/>
            </wp:cNvGraphicFramePr>
            <a:graphic>
              <a:graphicData uri="http://schemas.openxmlformats.org/drawingml/2006/picture">
                <pic:pic>
                  <pic:nvPicPr>
                    <pic:cNvPr id="0" name="map_line_loads_AM_HS_2040.png"/>
                    <pic:cNvPicPr/>
                  </pic:nvPicPr>
                  <pic:blipFill>
                    <a:blip r:embed="rId85"/>
                    <a:stretch>
                      <a:fillRect/>
                    </a:stretch>
                  </pic:blipFill>
                  <pic:spPr>
                    <a:xfrm>
                      <a:off x="0" y="0"/>
                      <a:ext cx="5400000" cy="3010084"/>
                    </a:xfrm>
                    <a:prstGeom prst="rect"/>
                  </pic:spPr>
                </pic:pic>
              </a:graphicData>
            </a:graphic>
          </wp:inline>
        </w:drawing>
      </w:r>
    </w:p>
    <w:p>
      <w:r>
        <w:rPr>
          <w:i/>
          <w:sz w:val="16"/>
        </w:rPr>
        <w:t>Figure 4.14 — LRT line loads and station boardings in the AM peak hour, 2040 HS, main route + extension, Prioritized.</w:t>
      </w:r>
    </w:p>
    <w:p>
      <w:r>
        <w:drawing>
          <wp:inline xmlns:a="http://schemas.openxmlformats.org/drawingml/2006/main" xmlns:pic="http://schemas.openxmlformats.org/drawingml/2006/picture">
            <wp:extent cx="4320000" cy="4836798"/>
            <wp:docPr id="78" name="Picture 78"/>
            <wp:cNvGraphicFramePr>
              <a:graphicFrameLocks noChangeAspect="1"/>
            </wp:cNvGraphicFramePr>
            <a:graphic>
              <a:graphicData uri="http://schemas.openxmlformats.org/drawingml/2006/picture">
                <pic:pic>
                  <pic:nvPicPr>
                    <pic:cNvPr id="0" name="map_line_loads_AM_HS_2040_zoom.png"/>
                    <pic:cNvPicPr/>
                  </pic:nvPicPr>
                  <pic:blipFill>
                    <a:blip r:embed="rId86"/>
                    <a:stretch>
                      <a:fillRect/>
                    </a:stretch>
                  </pic:blipFill>
                  <pic:spPr>
                    <a:xfrm>
                      <a:off x="0" y="0"/>
                      <a:ext cx="4320000" cy="4836798"/>
                    </a:xfrm>
                    <a:prstGeom prst="rect"/>
                  </pic:spPr>
                </pic:pic>
              </a:graphicData>
            </a:graphic>
          </wp:inline>
        </w:drawing>
      </w:r>
    </w:p>
    <w:p>
      <w:r>
        <w:rPr>
          <w:i/>
          <w:sz w:val="16"/>
        </w:rPr>
        <w:t>Figure 4.14z — The same, zoomed on the extension.</w:t>
      </w:r>
    </w:p>
    <w:p>
      <w:r>
        <w:drawing>
          <wp:inline xmlns:a="http://schemas.openxmlformats.org/drawingml/2006/main" xmlns:pic="http://schemas.openxmlformats.org/drawingml/2006/picture">
            <wp:extent cx="5400000" cy="3010084"/>
            <wp:docPr id="79" name="Picture 79"/>
            <wp:cNvGraphicFramePr>
              <a:graphicFrameLocks noChangeAspect="1"/>
            </wp:cNvGraphicFramePr>
            <a:graphic>
              <a:graphicData uri="http://schemas.openxmlformats.org/drawingml/2006/picture">
                <pic:pic>
                  <pic:nvPicPr>
                    <pic:cNvPr id="0" name="map_line_loads_AM_HS_2050.png"/>
                    <pic:cNvPicPr/>
                  </pic:nvPicPr>
                  <pic:blipFill>
                    <a:blip r:embed="rId87"/>
                    <a:stretch>
                      <a:fillRect/>
                    </a:stretch>
                  </pic:blipFill>
                  <pic:spPr>
                    <a:xfrm>
                      <a:off x="0" y="0"/>
                      <a:ext cx="5400000" cy="3010084"/>
                    </a:xfrm>
                    <a:prstGeom prst="rect"/>
                  </pic:spPr>
                </pic:pic>
              </a:graphicData>
            </a:graphic>
          </wp:inline>
        </w:drawing>
      </w:r>
    </w:p>
    <w:p>
      <w:r>
        <w:rPr>
          <w:i/>
          <w:sz w:val="16"/>
        </w:rPr>
        <w:t>Figure 4.15 — LRT line loads and station boardings in the AM peak hour, 2050 HS, main route + extension, Prioritized.</w:t>
      </w:r>
    </w:p>
    <w:p>
      <w:r>
        <w:drawing>
          <wp:inline xmlns:a="http://schemas.openxmlformats.org/drawingml/2006/main" xmlns:pic="http://schemas.openxmlformats.org/drawingml/2006/picture">
            <wp:extent cx="4320000" cy="4836798"/>
            <wp:docPr id="80" name="Picture 80"/>
            <wp:cNvGraphicFramePr>
              <a:graphicFrameLocks noChangeAspect="1"/>
            </wp:cNvGraphicFramePr>
            <a:graphic>
              <a:graphicData uri="http://schemas.openxmlformats.org/drawingml/2006/picture">
                <pic:pic>
                  <pic:nvPicPr>
                    <pic:cNvPr id="0" name="map_line_loads_AM_HS_2050_zoom.png"/>
                    <pic:cNvPicPr/>
                  </pic:nvPicPr>
                  <pic:blipFill>
                    <a:blip r:embed="rId88"/>
                    <a:stretch>
                      <a:fillRect/>
                    </a:stretch>
                  </pic:blipFill>
                  <pic:spPr>
                    <a:xfrm>
                      <a:off x="0" y="0"/>
                      <a:ext cx="4320000" cy="4836798"/>
                    </a:xfrm>
                    <a:prstGeom prst="rect"/>
                  </pic:spPr>
                </pic:pic>
              </a:graphicData>
            </a:graphic>
          </wp:inline>
        </w:drawing>
      </w:r>
    </w:p>
    <w:p>
      <w:r>
        <w:rPr>
          <w:i/>
          <w:sz w:val="16"/>
        </w:rPr>
        <w:t>Figure 4.15z — The same, zoomed on the extension.</w:t>
      </w:r>
    </w:p>
    <w:p>
      <w:r>
        <w:drawing>
          <wp:inline xmlns:a="http://schemas.openxmlformats.org/drawingml/2006/main" xmlns:pic="http://schemas.openxmlformats.org/drawingml/2006/picture">
            <wp:extent cx="5400000" cy="3010084"/>
            <wp:docPr id="81" name="Picture 81"/>
            <wp:cNvGraphicFramePr>
              <a:graphicFrameLocks noChangeAspect="1"/>
            </wp:cNvGraphicFramePr>
            <a:graphic>
              <a:graphicData uri="http://schemas.openxmlformats.org/drawingml/2006/picture">
                <pic:pic>
                  <pic:nvPicPr>
                    <pic:cNvPr id="0" name="map_line_loads_PM_BU_2050.png"/>
                    <pic:cNvPicPr/>
                  </pic:nvPicPr>
                  <pic:blipFill>
                    <a:blip r:embed="rId89"/>
                    <a:stretch>
                      <a:fillRect/>
                    </a:stretch>
                  </pic:blipFill>
                  <pic:spPr>
                    <a:xfrm>
                      <a:off x="0" y="0"/>
                      <a:ext cx="5400000" cy="3010084"/>
                    </a:xfrm>
                    <a:prstGeom prst="rect"/>
                  </pic:spPr>
                </pic:pic>
              </a:graphicData>
            </a:graphic>
          </wp:inline>
        </w:drawing>
      </w:r>
    </w:p>
    <w:p>
      <w:r>
        <w:rPr>
          <w:i/>
          <w:sz w:val="16"/>
        </w:rPr>
        <w:t>Figure 4.16 — The same for the PM peak hour, 2050 BU.</w:t>
      </w:r>
    </w:p>
    <w:p>
      <w:r>
        <w:drawing>
          <wp:inline xmlns:a="http://schemas.openxmlformats.org/drawingml/2006/main" xmlns:pic="http://schemas.openxmlformats.org/drawingml/2006/picture">
            <wp:extent cx="4320000" cy="4836798"/>
            <wp:docPr id="82" name="Picture 82"/>
            <wp:cNvGraphicFramePr>
              <a:graphicFrameLocks noChangeAspect="1"/>
            </wp:cNvGraphicFramePr>
            <a:graphic>
              <a:graphicData uri="http://schemas.openxmlformats.org/drawingml/2006/picture">
                <pic:pic>
                  <pic:nvPicPr>
                    <pic:cNvPr id="0" name="map_line_loads_PM_BU_2050_zoom.png"/>
                    <pic:cNvPicPr/>
                  </pic:nvPicPr>
                  <pic:blipFill>
                    <a:blip r:embed="rId90"/>
                    <a:stretch>
                      <a:fillRect/>
                    </a:stretch>
                  </pic:blipFill>
                  <pic:spPr>
                    <a:xfrm>
                      <a:off x="0" y="0"/>
                      <a:ext cx="4320000" cy="4836798"/>
                    </a:xfrm>
                    <a:prstGeom prst="rect"/>
                  </pic:spPr>
                </pic:pic>
              </a:graphicData>
            </a:graphic>
          </wp:inline>
        </w:drawing>
      </w:r>
    </w:p>
    <w:p>
      <w:r>
        <w:rPr>
          <w:i/>
          <w:sz w:val="16"/>
        </w:rPr>
        <w:t>Figure 4.16z — The same, zoomed on the extension.</w:t>
      </w:r>
    </w:p>
    <w:p>
      <w:r>
        <w:t>Growth of the LRT trip origins by TAZ, 2022 to each scenario-year, one map per scenario-year on one colour scale.</w:t>
      </w:r>
    </w:p>
    <w:p>
      <w:r>
        <w:drawing>
          <wp:inline xmlns:a="http://schemas.openxmlformats.org/drawingml/2006/main" xmlns:pic="http://schemas.openxmlformats.org/drawingml/2006/picture">
            <wp:extent cx="5400000" cy="2728142"/>
            <wp:docPr id="83" name="Picture 83"/>
            <wp:cNvGraphicFramePr>
              <a:graphicFrameLocks noChangeAspect="1"/>
            </wp:cNvGraphicFramePr>
            <a:graphic>
              <a:graphicData uri="http://schemas.openxmlformats.org/drawingml/2006/picture">
                <pic:pic>
                  <pic:nvPicPr>
                    <pic:cNvPr id="0" name="map_growth_AM_BU_2040.png"/>
                    <pic:cNvPicPr/>
                  </pic:nvPicPr>
                  <pic:blipFill>
                    <a:blip r:embed="rId91"/>
                    <a:stretch>
                      <a:fillRect/>
                    </a:stretch>
                  </pic:blipFill>
                  <pic:spPr>
                    <a:xfrm>
                      <a:off x="0" y="0"/>
                      <a:ext cx="5400000" cy="2728142"/>
                    </a:xfrm>
                    <a:prstGeom prst="rect"/>
                  </pic:spPr>
                </pic:pic>
              </a:graphicData>
            </a:graphic>
          </wp:inline>
        </w:drawing>
      </w:r>
    </w:p>
    <w:p>
      <w:r>
        <w:rPr>
          <w:i/>
          <w:sz w:val="16"/>
        </w:rPr>
        <w:t>Figure 4.17 — Growth of the LRT trip origins by TAZ, 2022 → 2040 BU, AM peak hour.</w:t>
      </w:r>
    </w:p>
    <w:p>
      <w:r>
        <w:drawing>
          <wp:inline xmlns:a="http://schemas.openxmlformats.org/drawingml/2006/main" xmlns:pic="http://schemas.openxmlformats.org/drawingml/2006/picture">
            <wp:extent cx="4320000" cy="4265055"/>
            <wp:docPr id="84" name="Picture 84"/>
            <wp:cNvGraphicFramePr>
              <a:graphicFrameLocks noChangeAspect="1"/>
            </wp:cNvGraphicFramePr>
            <a:graphic>
              <a:graphicData uri="http://schemas.openxmlformats.org/drawingml/2006/picture">
                <pic:pic>
                  <pic:nvPicPr>
                    <pic:cNvPr id="0" name="map_growth_AM_BU_2040_zoom.png"/>
                    <pic:cNvPicPr/>
                  </pic:nvPicPr>
                  <pic:blipFill>
                    <a:blip r:embed="rId92"/>
                    <a:stretch>
                      <a:fillRect/>
                    </a:stretch>
                  </pic:blipFill>
                  <pic:spPr>
                    <a:xfrm>
                      <a:off x="0" y="0"/>
                      <a:ext cx="4320000" cy="4265055"/>
                    </a:xfrm>
                    <a:prstGeom prst="rect"/>
                  </pic:spPr>
                </pic:pic>
              </a:graphicData>
            </a:graphic>
          </wp:inline>
        </w:drawing>
      </w:r>
    </w:p>
    <w:p>
      <w:r>
        <w:rPr>
          <w:i/>
          <w:sz w:val="16"/>
        </w:rPr>
        <w:t>Figure 4.17z — The same, zoomed on the extension.</w:t>
      </w:r>
    </w:p>
    <w:p>
      <w:r>
        <w:drawing>
          <wp:inline xmlns:a="http://schemas.openxmlformats.org/drawingml/2006/main" xmlns:pic="http://schemas.openxmlformats.org/drawingml/2006/picture">
            <wp:extent cx="5400000" cy="2728142"/>
            <wp:docPr id="85" name="Picture 85"/>
            <wp:cNvGraphicFramePr>
              <a:graphicFrameLocks noChangeAspect="1"/>
            </wp:cNvGraphicFramePr>
            <a:graphic>
              <a:graphicData uri="http://schemas.openxmlformats.org/drawingml/2006/picture">
                <pic:pic>
                  <pic:nvPicPr>
                    <pic:cNvPr id="0" name="map_growth_AM_BU_2050.png"/>
                    <pic:cNvPicPr/>
                  </pic:nvPicPr>
                  <pic:blipFill>
                    <a:blip r:embed="rId93"/>
                    <a:stretch>
                      <a:fillRect/>
                    </a:stretch>
                  </pic:blipFill>
                  <pic:spPr>
                    <a:xfrm>
                      <a:off x="0" y="0"/>
                      <a:ext cx="5400000" cy="2728142"/>
                    </a:xfrm>
                    <a:prstGeom prst="rect"/>
                  </pic:spPr>
                </pic:pic>
              </a:graphicData>
            </a:graphic>
          </wp:inline>
        </w:drawing>
      </w:r>
    </w:p>
    <w:p>
      <w:r>
        <w:rPr>
          <w:i/>
          <w:sz w:val="16"/>
        </w:rPr>
        <w:t>Figure 4.18 — Growth of the LRT trip origins by TAZ, 2022 → 2050 BU, AM peak hour.</w:t>
      </w:r>
    </w:p>
    <w:p>
      <w:r>
        <w:drawing>
          <wp:inline xmlns:a="http://schemas.openxmlformats.org/drawingml/2006/main" xmlns:pic="http://schemas.openxmlformats.org/drawingml/2006/picture">
            <wp:extent cx="4320000" cy="4265055"/>
            <wp:docPr id="86" name="Picture 86"/>
            <wp:cNvGraphicFramePr>
              <a:graphicFrameLocks noChangeAspect="1"/>
            </wp:cNvGraphicFramePr>
            <a:graphic>
              <a:graphicData uri="http://schemas.openxmlformats.org/drawingml/2006/picture">
                <pic:pic>
                  <pic:nvPicPr>
                    <pic:cNvPr id="0" name="map_growth_AM_BU_2050_zoom.png"/>
                    <pic:cNvPicPr/>
                  </pic:nvPicPr>
                  <pic:blipFill>
                    <a:blip r:embed="rId94"/>
                    <a:stretch>
                      <a:fillRect/>
                    </a:stretch>
                  </pic:blipFill>
                  <pic:spPr>
                    <a:xfrm>
                      <a:off x="0" y="0"/>
                      <a:ext cx="4320000" cy="4265055"/>
                    </a:xfrm>
                    <a:prstGeom prst="rect"/>
                  </pic:spPr>
                </pic:pic>
              </a:graphicData>
            </a:graphic>
          </wp:inline>
        </w:drawing>
      </w:r>
    </w:p>
    <w:p>
      <w:r>
        <w:rPr>
          <w:i/>
          <w:sz w:val="16"/>
        </w:rPr>
        <w:t>Figure 4.18z — The same, zoomed on the extension.</w:t>
      </w:r>
    </w:p>
    <w:p>
      <w:r>
        <w:drawing>
          <wp:inline xmlns:a="http://schemas.openxmlformats.org/drawingml/2006/main" xmlns:pic="http://schemas.openxmlformats.org/drawingml/2006/picture">
            <wp:extent cx="5400000" cy="2728142"/>
            <wp:docPr id="87" name="Picture 87"/>
            <wp:cNvGraphicFramePr>
              <a:graphicFrameLocks noChangeAspect="1"/>
            </wp:cNvGraphicFramePr>
            <a:graphic>
              <a:graphicData uri="http://schemas.openxmlformats.org/drawingml/2006/picture">
                <pic:pic>
                  <pic:nvPicPr>
                    <pic:cNvPr id="0" name="map_growth_AM_HS_2040.png"/>
                    <pic:cNvPicPr/>
                  </pic:nvPicPr>
                  <pic:blipFill>
                    <a:blip r:embed="rId95"/>
                    <a:stretch>
                      <a:fillRect/>
                    </a:stretch>
                  </pic:blipFill>
                  <pic:spPr>
                    <a:xfrm>
                      <a:off x="0" y="0"/>
                      <a:ext cx="5400000" cy="2728142"/>
                    </a:xfrm>
                    <a:prstGeom prst="rect"/>
                  </pic:spPr>
                </pic:pic>
              </a:graphicData>
            </a:graphic>
          </wp:inline>
        </w:drawing>
      </w:r>
    </w:p>
    <w:p>
      <w:r>
        <w:rPr>
          <w:i/>
          <w:sz w:val="16"/>
        </w:rPr>
        <w:t>Figure 4.19 — Growth of the LRT trip origins by TAZ, 2022 → 2040 HS, AM peak hour.</w:t>
      </w:r>
    </w:p>
    <w:p>
      <w:r>
        <w:drawing>
          <wp:inline xmlns:a="http://schemas.openxmlformats.org/drawingml/2006/main" xmlns:pic="http://schemas.openxmlformats.org/drawingml/2006/picture">
            <wp:extent cx="4320000" cy="4265055"/>
            <wp:docPr id="88" name="Picture 88"/>
            <wp:cNvGraphicFramePr>
              <a:graphicFrameLocks noChangeAspect="1"/>
            </wp:cNvGraphicFramePr>
            <a:graphic>
              <a:graphicData uri="http://schemas.openxmlformats.org/drawingml/2006/picture">
                <pic:pic>
                  <pic:nvPicPr>
                    <pic:cNvPr id="0" name="map_growth_AM_HS_2040_zoom.png"/>
                    <pic:cNvPicPr/>
                  </pic:nvPicPr>
                  <pic:blipFill>
                    <a:blip r:embed="rId96"/>
                    <a:stretch>
                      <a:fillRect/>
                    </a:stretch>
                  </pic:blipFill>
                  <pic:spPr>
                    <a:xfrm>
                      <a:off x="0" y="0"/>
                      <a:ext cx="4320000" cy="4265055"/>
                    </a:xfrm>
                    <a:prstGeom prst="rect"/>
                  </pic:spPr>
                </pic:pic>
              </a:graphicData>
            </a:graphic>
          </wp:inline>
        </w:drawing>
      </w:r>
    </w:p>
    <w:p>
      <w:r>
        <w:rPr>
          <w:i/>
          <w:sz w:val="16"/>
        </w:rPr>
        <w:t>Figure 4.19z — The same, zoomed on the extension.</w:t>
      </w:r>
    </w:p>
    <w:p>
      <w:r>
        <w:drawing>
          <wp:inline xmlns:a="http://schemas.openxmlformats.org/drawingml/2006/main" xmlns:pic="http://schemas.openxmlformats.org/drawingml/2006/picture">
            <wp:extent cx="5400000" cy="2728142"/>
            <wp:docPr id="89" name="Picture 89"/>
            <wp:cNvGraphicFramePr>
              <a:graphicFrameLocks noChangeAspect="1"/>
            </wp:cNvGraphicFramePr>
            <a:graphic>
              <a:graphicData uri="http://schemas.openxmlformats.org/drawingml/2006/picture">
                <pic:pic>
                  <pic:nvPicPr>
                    <pic:cNvPr id="0" name="map_growth_AM_HS_2050.png"/>
                    <pic:cNvPicPr/>
                  </pic:nvPicPr>
                  <pic:blipFill>
                    <a:blip r:embed="rId97"/>
                    <a:stretch>
                      <a:fillRect/>
                    </a:stretch>
                  </pic:blipFill>
                  <pic:spPr>
                    <a:xfrm>
                      <a:off x="0" y="0"/>
                      <a:ext cx="5400000" cy="2728142"/>
                    </a:xfrm>
                    <a:prstGeom prst="rect"/>
                  </pic:spPr>
                </pic:pic>
              </a:graphicData>
            </a:graphic>
          </wp:inline>
        </w:drawing>
      </w:r>
    </w:p>
    <w:p>
      <w:r>
        <w:rPr>
          <w:i/>
          <w:sz w:val="16"/>
        </w:rPr>
        <w:t>Figure 4.20 — Growth of the LRT trip origins by TAZ, 2022 → 2050 HS, AM peak hour.</w:t>
      </w:r>
    </w:p>
    <w:p>
      <w:r>
        <w:drawing>
          <wp:inline xmlns:a="http://schemas.openxmlformats.org/drawingml/2006/main" xmlns:pic="http://schemas.openxmlformats.org/drawingml/2006/picture">
            <wp:extent cx="4320000" cy="4265055"/>
            <wp:docPr id="90" name="Picture 90"/>
            <wp:cNvGraphicFramePr>
              <a:graphicFrameLocks noChangeAspect="1"/>
            </wp:cNvGraphicFramePr>
            <a:graphic>
              <a:graphicData uri="http://schemas.openxmlformats.org/drawingml/2006/picture">
                <pic:pic>
                  <pic:nvPicPr>
                    <pic:cNvPr id="0" name="map_growth_AM_HS_2050_zoom.png"/>
                    <pic:cNvPicPr/>
                  </pic:nvPicPr>
                  <pic:blipFill>
                    <a:blip r:embed="rId98"/>
                    <a:stretch>
                      <a:fillRect/>
                    </a:stretch>
                  </pic:blipFill>
                  <pic:spPr>
                    <a:xfrm>
                      <a:off x="0" y="0"/>
                      <a:ext cx="4320000" cy="4265055"/>
                    </a:xfrm>
                    <a:prstGeom prst="rect"/>
                  </pic:spPr>
                </pic:pic>
              </a:graphicData>
            </a:graphic>
          </wp:inline>
        </w:drawing>
      </w:r>
    </w:p>
    <w:p>
      <w:r>
        <w:rPr>
          <w:i/>
          <w:sz w:val="16"/>
        </w:rPr>
        <w:t>Figure 4.20z — The same, zoomed on the extension.</w:t>
      </w:r>
    </w:p>
    <w:p>
      <w:r>
        <w:t>Sources of the LRT trips by origin TAZ in the reference case, one map per source; the bus and Metronit maps share one colour scale, the car map has its own (its values are an order of magnitude smaller).</w:t>
      </w:r>
    </w:p>
    <w:p>
      <w:r>
        <w:drawing>
          <wp:inline xmlns:a="http://schemas.openxmlformats.org/drawingml/2006/main" xmlns:pic="http://schemas.openxmlformats.org/drawingml/2006/picture">
            <wp:extent cx="5400000" cy="2767164"/>
            <wp:docPr id="91" name="Picture 91"/>
            <wp:cNvGraphicFramePr>
              <a:graphicFrameLocks noChangeAspect="1"/>
            </wp:cNvGraphicFramePr>
            <a:graphic>
              <a:graphicData uri="http://schemas.openxmlformats.org/drawingml/2006/picture">
                <pic:pic>
                  <pic:nvPicPr>
                    <pic:cNvPr id="0" name="map_shift_car_AM_BU_2050.png"/>
                    <pic:cNvPicPr/>
                  </pic:nvPicPr>
                  <pic:blipFill>
                    <a:blip r:embed="rId99"/>
                    <a:stretch>
                      <a:fillRect/>
                    </a:stretch>
                  </pic:blipFill>
                  <pic:spPr>
                    <a:xfrm>
                      <a:off x="0" y="0"/>
                      <a:ext cx="5400000" cy="2767164"/>
                    </a:xfrm>
                    <a:prstGeom prst="rect"/>
                  </pic:spPr>
                </pic:pic>
              </a:graphicData>
            </a:graphic>
          </wp:inline>
        </w:drawing>
      </w:r>
    </w:p>
    <w:p>
      <w:r>
        <w:rPr>
          <w:i/>
          <w:sz w:val="16"/>
        </w:rPr>
        <w:t>Figure 4.21 — LRT trips from the car by origin TAZ, 2050 BU, AM peak hour.</w:t>
      </w:r>
    </w:p>
    <w:p>
      <w:r>
        <w:drawing>
          <wp:inline xmlns:a="http://schemas.openxmlformats.org/drawingml/2006/main" xmlns:pic="http://schemas.openxmlformats.org/drawingml/2006/picture">
            <wp:extent cx="4320000" cy="4344486"/>
            <wp:docPr id="92" name="Picture 92"/>
            <wp:cNvGraphicFramePr>
              <a:graphicFrameLocks noChangeAspect="1"/>
            </wp:cNvGraphicFramePr>
            <a:graphic>
              <a:graphicData uri="http://schemas.openxmlformats.org/drawingml/2006/picture">
                <pic:pic>
                  <pic:nvPicPr>
                    <pic:cNvPr id="0" name="map_shift_car_AM_BU_2050_zoom.png"/>
                    <pic:cNvPicPr/>
                  </pic:nvPicPr>
                  <pic:blipFill>
                    <a:blip r:embed="rId100"/>
                    <a:stretch>
                      <a:fillRect/>
                    </a:stretch>
                  </pic:blipFill>
                  <pic:spPr>
                    <a:xfrm>
                      <a:off x="0" y="0"/>
                      <a:ext cx="4320000" cy="4344486"/>
                    </a:xfrm>
                    <a:prstGeom prst="rect"/>
                  </pic:spPr>
                </pic:pic>
              </a:graphicData>
            </a:graphic>
          </wp:inline>
        </w:drawing>
      </w:r>
    </w:p>
    <w:p>
      <w:r>
        <w:rPr>
          <w:i/>
          <w:sz w:val="16"/>
        </w:rPr>
        <w:t>Figure 4.21z — The same, zoomed on the extension.</w:t>
      </w:r>
    </w:p>
    <w:p>
      <w:r>
        <w:drawing>
          <wp:inline xmlns:a="http://schemas.openxmlformats.org/drawingml/2006/main" xmlns:pic="http://schemas.openxmlformats.org/drawingml/2006/picture">
            <wp:extent cx="5400000" cy="2830161"/>
            <wp:docPr id="93" name="Picture 93"/>
            <wp:cNvGraphicFramePr>
              <a:graphicFrameLocks noChangeAspect="1"/>
            </wp:cNvGraphicFramePr>
            <a:graphic>
              <a:graphicData uri="http://schemas.openxmlformats.org/drawingml/2006/picture">
                <pic:pic>
                  <pic:nvPicPr>
                    <pic:cNvPr id="0" name="map_shift_bus_AM_BU_2050.png"/>
                    <pic:cNvPicPr/>
                  </pic:nvPicPr>
                  <pic:blipFill>
                    <a:blip r:embed="rId101"/>
                    <a:stretch>
                      <a:fillRect/>
                    </a:stretch>
                  </pic:blipFill>
                  <pic:spPr>
                    <a:xfrm>
                      <a:off x="0" y="0"/>
                      <a:ext cx="5400000" cy="2830161"/>
                    </a:xfrm>
                    <a:prstGeom prst="rect"/>
                  </pic:spPr>
                </pic:pic>
              </a:graphicData>
            </a:graphic>
          </wp:inline>
        </w:drawing>
      </w:r>
    </w:p>
    <w:p>
      <w:r>
        <w:rPr>
          <w:i/>
          <w:sz w:val="16"/>
        </w:rPr>
        <w:t>Figure 4.22 — LRT trips from bus-based paths by origin TAZ, 2050 BU, AM peak hour.</w:t>
      </w:r>
    </w:p>
    <w:p>
      <w:r>
        <w:drawing>
          <wp:inline xmlns:a="http://schemas.openxmlformats.org/drawingml/2006/main" xmlns:pic="http://schemas.openxmlformats.org/drawingml/2006/picture">
            <wp:extent cx="4320000" cy="4309590"/>
            <wp:docPr id="94" name="Picture 94"/>
            <wp:cNvGraphicFramePr>
              <a:graphicFrameLocks noChangeAspect="1"/>
            </wp:cNvGraphicFramePr>
            <a:graphic>
              <a:graphicData uri="http://schemas.openxmlformats.org/drawingml/2006/picture">
                <pic:pic>
                  <pic:nvPicPr>
                    <pic:cNvPr id="0" name="map_shift_bus_AM_BU_2050_zoom.png"/>
                    <pic:cNvPicPr/>
                  </pic:nvPicPr>
                  <pic:blipFill>
                    <a:blip r:embed="rId102"/>
                    <a:stretch>
                      <a:fillRect/>
                    </a:stretch>
                  </pic:blipFill>
                  <pic:spPr>
                    <a:xfrm>
                      <a:off x="0" y="0"/>
                      <a:ext cx="4320000" cy="4309590"/>
                    </a:xfrm>
                    <a:prstGeom prst="rect"/>
                  </pic:spPr>
                </pic:pic>
              </a:graphicData>
            </a:graphic>
          </wp:inline>
        </w:drawing>
      </w:r>
    </w:p>
    <w:p>
      <w:r>
        <w:rPr>
          <w:i/>
          <w:sz w:val="16"/>
        </w:rPr>
        <w:t>Figure 4.22z — The same, zoomed on the extension.</w:t>
      </w:r>
    </w:p>
    <w:p>
      <w:r>
        <w:drawing>
          <wp:inline xmlns:a="http://schemas.openxmlformats.org/drawingml/2006/main" xmlns:pic="http://schemas.openxmlformats.org/drawingml/2006/picture">
            <wp:extent cx="5400000" cy="2830161"/>
            <wp:docPr id="95" name="Picture 95"/>
            <wp:cNvGraphicFramePr>
              <a:graphicFrameLocks noChangeAspect="1"/>
            </wp:cNvGraphicFramePr>
            <a:graphic>
              <a:graphicData uri="http://schemas.openxmlformats.org/drawingml/2006/picture">
                <pic:pic>
                  <pic:nvPicPr>
                    <pic:cNvPr id="0" name="map_shift_brt_AM_BU_2050.png"/>
                    <pic:cNvPicPr/>
                  </pic:nvPicPr>
                  <pic:blipFill>
                    <a:blip r:embed="rId103"/>
                    <a:stretch>
                      <a:fillRect/>
                    </a:stretch>
                  </pic:blipFill>
                  <pic:spPr>
                    <a:xfrm>
                      <a:off x="0" y="0"/>
                      <a:ext cx="5400000" cy="2830161"/>
                    </a:xfrm>
                    <a:prstGeom prst="rect"/>
                  </pic:spPr>
                </pic:pic>
              </a:graphicData>
            </a:graphic>
          </wp:inline>
        </w:drawing>
      </w:r>
    </w:p>
    <w:p>
      <w:r>
        <w:rPr>
          <w:i/>
          <w:sz w:val="16"/>
        </w:rPr>
        <w:t>Figure 4.23 — LRT trips from Metronit-based paths by origin TAZ, 2050 BU, AM peak hour.</w:t>
      </w:r>
    </w:p>
    <w:p>
      <w:r>
        <w:drawing>
          <wp:inline xmlns:a="http://schemas.openxmlformats.org/drawingml/2006/main" xmlns:pic="http://schemas.openxmlformats.org/drawingml/2006/picture">
            <wp:extent cx="4320000" cy="4309590"/>
            <wp:docPr id="96" name="Picture 96"/>
            <wp:cNvGraphicFramePr>
              <a:graphicFrameLocks noChangeAspect="1"/>
            </wp:cNvGraphicFramePr>
            <a:graphic>
              <a:graphicData uri="http://schemas.openxmlformats.org/drawingml/2006/picture">
                <pic:pic>
                  <pic:nvPicPr>
                    <pic:cNvPr id="0" name="map_shift_brt_AM_BU_2050_zoom.png"/>
                    <pic:cNvPicPr/>
                  </pic:nvPicPr>
                  <pic:blipFill>
                    <a:blip r:embed="rId104"/>
                    <a:stretch>
                      <a:fillRect/>
                    </a:stretch>
                  </pic:blipFill>
                  <pic:spPr>
                    <a:xfrm>
                      <a:off x="0" y="0"/>
                      <a:ext cx="4320000" cy="4309590"/>
                    </a:xfrm>
                    <a:prstGeom prst="rect"/>
                  </pic:spPr>
                </pic:pic>
              </a:graphicData>
            </a:graphic>
          </wp:inline>
        </w:drawing>
      </w:r>
    </w:p>
    <w:p>
      <w:r>
        <w:rPr>
          <w:i/>
          <w:sz w:val="16"/>
        </w:rPr>
        <w:t>Figure 4.23z — The same, zoomed on the extension.</w:t>
      </w:r>
    </w:p>
    <w:p>
      <w:r>
        <w:t>Generalized cost to the reference destination (the TAZ of the busiest LRT alighting station): the best bus or Metronit path today and the LRT, on one colour scale, then their difference.</w:t>
      </w:r>
    </w:p>
    <w:p>
      <w:r>
        <w:drawing>
          <wp:inline xmlns:a="http://schemas.openxmlformats.org/drawingml/2006/main" xmlns:pic="http://schemas.openxmlformats.org/drawingml/2006/picture">
            <wp:extent cx="5400000" cy="2830161"/>
            <wp:docPr id="97" name="Picture 97"/>
            <wp:cNvGraphicFramePr>
              <a:graphicFrameLocks noChangeAspect="1"/>
            </wp:cNvGraphicFramePr>
            <a:graphic>
              <a:graphicData uri="http://schemas.openxmlformats.org/drawingml/2006/picture">
                <pic:pic>
                  <pic:nvPicPr>
                    <pic:cNvPr id="0" name="map_time_bus_AM.png"/>
                    <pic:cNvPicPr/>
                  </pic:nvPicPr>
                  <pic:blipFill>
                    <a:blip r:embed="rId105"/>
                    <a:stretch>
                      <a:fillRect/>
                    </a:stretch>
                  </pic:blipFill>
                  <pic:spPr>
                    <a:xfrm>
                      <a:off x="0" y="0"/>
                      <a:ext cx="5400000" cy="2830161"/>
                    </a:xfrm>
                    <a:prstGeom prst="rect"/>
                  </pic:spPr>
                </pic:pic>
              </a:graphicData>
            </a:graphic>
          </wp:inline>
        </w:drawing>
      </w:r>
    </w:p>
    <w:p>
      <w:r>
        <w:rPr>
          <w:i/>
          <w:sz w:val="16"/>
        </w:rPr>
        <w:t>Figure 4.24 — best bus / Metronit path, no LRT, generalized minutes from every TAZ, AM.</w:t>
      </w:r>
    </w:p>
    <w:p>
      <w:r>
        <w:drawing>
          <wp:inline xmlns:a="http://schemas.openxmlformats.org/drawingml/2006/main" xmlns:pic="http://schemas.openxmlformats.org/drawingml/2006/picture">
            <wp:extent cx="4320000" cy="4309590"/>
            <wp:docPr id="98" name="Picture 98"/>
            <wp:cNvGraphicFramePr>
              <a:graphicFrameLocks noChangeAspect="1"/>
            </wp:cNvGraphicFramePr>
            <a:graphic>
              <a:graphicData uri="http://schemas.openxmlformats.org/drawingml/2006/picture">
                <pic:pic>
                  <pic:nvPicPr>
                    <pic:cNvPr id="0" name="map_time_bus_AM_zoom.png"/>
                    <pic:cNvPicPr/>
                  </pic:nvPicPr>
                  <pic:blipFill>
                    <a:blip r:embed="rId106"/>
                    <a:stretch>
                      <a:fillRect/>
                    </a:stretch>
                  </pic:blipFill>
                  <pic:spPr>
                    <a:xfrm>
                      <a:off x="0" y="0"/>
                      <a:ext cx="4320000" cy="4309590"/>
                    </a:xfrm>
                    <a:prstGeom prst="rect"/>
                  </pic:spPr>
                </pic:pic>
              </a:graphicData>
            </a:graphic>
          </wp:inline>
        </w:drawing>
      </w:r>
    </w:p>
    <w:p>
      <w:r>
        <w:rPr>
          <w:i/>
          <w:sz w:val="16"/>
        </w:rPr>
        <w:t>Figure 4.24z — The same, zoomed on the extension.</w:t>
      </w:r>
    </w:p>
    <w:p>
      <w:r>
        <w:drawing>
          <wp:inline xmlns:a="http://schemas.openxmlformats.org/drawingml/2006/main" xmlns:pic="http://schemas.openxmlformats.org/drawingml/2006/picture">
            <wp:extent cx="5400000" cy="2830161"/>
            <wp:docPr id="99" name="Picture 99"/>
            <wp:cNvGraphicFramePr>
              <a:graphicFrameLocks noChangeAspect="1"/>
            </wp:cNvGraphicFramePr>
            <a:graphic>
              <a:graphicData uri="http://schemas.openxmlformats.org/drawingml/2006/picture">
                <pic:pic>
                  <pic:nvPicPr>
                    <pic:cNvPr id="0" name="map_time_lrt_AM.png"/>
                    <pic:cNvPicPr/>
                  </pic:nvPicPr>
                  <pic:blipFill>
                    <a:blip r:embed="rId107"/>
                    <a:stretch>
                      <a:fillRect/>
                    </a:stretch>
                  </pic:blipFill>
                  <pic:spPr>
                    <a:xfrm>
                      <a:off x="0" y="0"/>
                      <a:ext cx="5400000" cy="2830161"/>
                    </a:xfrm>
                    <a:prstGeom prst="rect"/>
                  </pic:spPr>
                </pic:pic>
              </a:graphicData>
            </a:graphic>
          </wp:inline>
        </w:drawing>
      </w:r>
    </w:p>
    <w:p>
      <w:r>
        <w:rPr>
          <w:i/>
          <w:sz w:val="16"/>
        </w:rPr>
        <w:t>Figure 4.25 — LRT, main route + extension, Prioritized, generalized minutes from every TAZ, AM.</w:t>
      </w:r>
    </w:p>
    <w:p>
      <w:r>
        <w:drawing>
          <wp:inline xmlns:a="http://schemas.openxmlformats.org/drawingml/2006/main" xmlns:pic="http://schemas.openxmlformats.org/drawingml/2006/picture">
            <wp:extent cx="4320000" cy="4309590"/>
            <wp:docPr id="100" name="Picture 100"/>
            <wp:cNvGraphicFramePr>
              <a:graphicFrameLocks noChangeAspect="1"/>
            </wp:cNvGraphicFramePr>
            <a:graphic>
              <a:graphicData uri="http://schemas.openxmlformats.org/drawingml/2006/picture">
                <pic:pic>
                  <pic:nvPicPr>
                    <pic:cNvPr id="0" name="map_time_lrt_AM_zoom.png"/>
                    <pic:cNvPicPr/>
                  </pic:nvPicPr>
                  <pic:blipFill>
                    <a:blip r:embed="rId108"/>
                    <a:stretch>
                      <a:fillRect/>
                    </a:stretch>
                  </pic:blipFill>
                  <pic:spPr>
                    <a:xfrm>
                      <a:off x="0" y="0"/>
                      <a:ext cx="4320000" cy="4309590"/>
                    </a:xfrm>
                    <a:prstGeom prst="rect"/>
                  </pic:spPr>
                </pic:pic>
              </a:graphicData>
            </a:graphic>
          </wp:inline>
        </w:drawing>
      </w:r>
    </w:p>
    <w:p>
      <w:r>
        <w:rPr>
          <w:i/>
          <w:sz w:val="16"/>
        </w:rPr>
        <w:t>Figure 4.25z — The same, zoomed on the extension.</w:t>
      </w:r>
    </w:p>
    <w:p>
      <w:r>
        <w:drawing>
          <wp:inline xmlns:a="http://schemas.openxmlformats.org/drawingml/2006/main" xmlns:pic="http://schemas.openxmlformats.org/drawingml/2006/picture">
            <wp:extent cx="5400000" cy="2744972"/>
            <wp:docPr id="101" name="Picture 101"/>
            <wp:cNvGraphicFramePr>
              <a:graphicFrameLocks noChangeAspect="1"/>
            </wp:cNvGraphicFramePr>
            <a:graphic>
              <a:graphicData uri="http://schemas.openxmlformats.org/drawingml/2006/picture">
                <pic:pic>
                  <pic:nvPicPr>
                    <pic:cNvPr id="0" name="map_time_diff_AM.png"/>
                    <pic:cNvPicPr/>
                  </pic:nvPicPr>
                  <pic:blipFill>
                    <a:blip r:embed="rId109"/>
                    <a:stretch>
                      <a:fillRect/>
                    </a:stretch>
                  </pic:blipFill>
                  <pic:spPr>
                    <a:xfrm>
                      <a:off x="0" y="0"/>
                      <a:ext cx="5400000" cy="2744972"/>
                    </a:xfrm>
                    <a:prstGeom prst="rect"/>
                  </pic:spPr>
                </pic:pic>
              </a:graphicData>
            </a:graphic>
          </wp:inline>
        </w:drawing>
      </w:r>
    </w:p>
    <w:p>
      <w:r>
        <w:rPr>
          <w:i/>
          <w:sz w:val="16"/>
        </w:rPr>
        <w:t>Figure 4.26 — LRT minus best bus (negative = LRT cheaper), generalized minutes from every TAZ, AM.</w:t>
      </w:r>
    </w:p>
    <w:p>
      <w:r>
        <w:drawing>
          <wp:inline xmlns:a="http://schemas.openxmlformats.org/drawingml/2006/main" xmlns:pic="http://schemas.openxmlformats.org/drawingml/2006/picture">
            <wp:extent cx="4320000" cy="4299230"/>
            <wp:docPr id="102" name="Picture 102"/>
            <wp:cNvGraphicFramePr>
              <a:graphicFrameLocks noChangeAspect="1"/>
            </wp:cNvGraphicFramePr>
            <a:graphic>
              <a:graphicData uri="http://schemas.openxmlformats.org/drawingml/2006/picture">
                <pic:pic>
                  <pic:nvPicPr>
                    <pic:cNvPr id="0" name="map_time_diff_AM_zoom.png"/>
                    <pic:cNvPicPr/>
                  </pic:nvPicPr>
                  <pic:blipFill>
                    <a:blip r:embed="rId110"/>
                    <a:stretch>
                      <a:fillRect/>
                    </a:stretch>
                  </pic:blipFill>
                  <pic:spPr>
                    <a:xfrm>
                      <a:off x="0" y="0"/>
                      <a:ext cx="4320000" cy="4299230"/>
                    </a:xfrm>
                    <a:prstGeom prst="rect"/>
                  </pic:spPr>
                </pic:pic>
              </a:graphicData>
            </a:graphic>
          </wp:inline>
        </w:drawing>
      </w:r>
    </w:p>
    <w:p>
      <w:r>
        <w:rPr>
          <w:i/>
          <w:sz w:val="16"/>
        </w:rPr>
        <w:t>Figure 4.26z — The same, zoomed on the extension.</w:t>
      </w:r>
    </w:p>
    <w:p>
      <w:pPr>
        <w:pStyle w:val="Heading1"/>
      </w:pPr>
      <w:r>
        <w:t>5. Conclusions</w:t>
      </w:r>
    </w:p>
    <w:p>
      <w:pPr>
        <w:pStyle w:val="ListBullet"/>
      </w:pPr>
      <w:r>
        <w:t>Reference case. 2050 BU: 7,433 LRT riders in the AM three hours (4,378 in the peak hour), planning range 5,532–10,537 on the cost sensitivity; 6,003 use the extension against 5,939 if the extension terminated at Hamifrats; three markets of similar size (Tirat Carmel ↔ Haifa, Haifa internal, the Krayot by feeder); peak load 1,071 per hour and direction at the Hamifrats entry.</w:t>
      </w:r>
    </w:p>
    <w:p>
      <w:pPr>
        <w:pStyle w:val="ListBullet"/>
      </w:pPr>
      <w:r>
        <w:t>Demand. The through line (main route + extension) carries 6,309 trips in the AM three hours in 2040 BU and 9,225 in 2050 HS (7,433 in 2050 BU, 7,476 in 2040 HS), that is 3,716–5,433 in the AM peak hour; the PM is 85 % of the AM. Of these, 4,950–7,010 (78 %) use the extension and 3,038–4,068 travel between extension stations only: the extension is where most of the line's riders are, the main route feeds it rather than the reverse.</w:t>
      </w:r>
    </w:p>
    <w:p>
      <w:pPr>
        <w:pStyle w:val="ListBullet"/>
      </w:pPr>
      <w:r>
        <w:t>Sources. The LRT is first a transit reorganisation: 3,308–4,548 trips come from the Metronit (33 % of its corridor trips), 2,648–3,365 from the bus, and 353–1,311 from the car (0.5 % of the corridor car trips). The transit share of the corridor market rises by about 0.4 points; the LRT takes 33 % of transit.</w:t>
      </w:r>
    </w:p>
    <w:p>
      <w:pPr>
        <w:pStyle w:val="ListBullet"/>
      </w:pPr>
      <w:r>
        <w:t>Profile. In the AM the busiest segment is the entry into Hamifrats from the main route (S24–M02) in the direction towards Tirat Carmel, 2,114 (2040 BU) to 3,058 (2050 HS) passengers in three hours, 966–1,397 in the peak hour; in the direction towards Nazareth the peak is on the Carmel coast (S14–S15, 765–1,054 in the peak hour). In the PM the two directions nearly balance (S24–M02 towards Nazareth 687–753 in the peak hour; S05–S06 or S11–S12 towards Tirat Carmel 501–787). The main route beyond Kiryat Ata (M06 onwards) carries a few hundred per direction; the extension carries 4 of 5 riders.</w:t>
      </w:r>
    </w:p>
    <w:p>
      <w:pPr>
        <w:pStyle w:val="ListBullet"/>
      </w:pPr>
      <w:r>
        <w:t>Growth. Between 2040 BU and 2050 HS the LRT demand grows by about 45 %, in step with the corridor transit market (×1.3–1.5 on 2022), because the forecast holds behaviour at 2022; the HS scenario adds 15–25 % over BU in the same year.</w:t>
      </w:r>
    </w:p>
    <w:p>
      <w:pPr>
        <w:pStyle w:val="ListBullet"/>
      </w:pPr>
      <w:r>
        <w:t>Regime. Priority at the interchanges is worth about 20–25 % of the LRT trips: at-grade running of the extension lengthens its end-to-end time from 41 to 66 minutes and loses a fifth of the riders, mostly on the extension.</w:t>
      </w:r>
    </w:p>
    <w:p>
      <w:pPr>
        <w:pStyle w:val="ListBullet"/>
      </w:pPr>
      <w:r>
        <w:t>Robustness. The central figures sit within a range of about −25 % / +40 % from the cost sensitivity and the LRT premium alone (step 40); the level of service is held at May 2026 in every year, and if the buses slow with the road (10 % in 2040, 20 % in 2050) the LRT gains 2–5 % in the AM (section 4.9), so the constant-LOS central case is conservative for the LRT; the car-to-LRT shift is the least certain component (caveats 15, 25, 27) and should be read as an order of magnitude; the bus and Metronit shifts rest on observed shares and measured service and are the firmer part.</w:t>
      </w:r>
    </w:p>
    <w:p>
      <w:pPr>
        <w:pStyle w:val="ListBullet"/>
      </w:pPr>
      <w:r>
        <w:t>Fitness. The results support the sizing and location of the extension's market, the ranking of the regimes, and the design-hour scale of the trunk load. They do not support capacity, fleet or frequency decisions or an appraisal without a validated assignment and a full mode-choice model; the next steps are a purpose split of the survey, a PM-specific forecast, the main route's operating plan, and a choice-rider λ from a stated-preference or a revealed choice set with the car cost in it.</w:t>
      </w:r>
    </w:p>
    <w:p>
      <w:r>
        <w:t>Repository record: METHODOLOGY.md §6aq (step 45) and §8; docs/PLAIN_ENGLISH_METHODOLOGY.md Part 5; the alternatives report reports/LRT_Alternatives_Demand_Report.docx and its workbook Output/alternatives/LRT_alternatives_matrices.xlsx; this report's builder tools/build_comprehensive_report.py.</w:t>
      </w:r>
    </w:p>
    <w:p>
      <w:pPr>
        <w:sectPr>
          <w:pgSz w:w="12240" w:h="15840"/>
          <w:pgMar w:top="1440" w:right="1134" w:bottom="1440" w:left="1134" w:header="720" w:footer="720" w:gutter="0"/>
          <w:cols w:space="720"/>
          <w:docGrid w:linePitch="360"/>
        </w:sectPr>
      </w:pPr>
    </w:p>
    <w:p>
      <w:pPr>
        <w:pStyle w:val="Heading1"/>
      </w:pPr>
      <w:r>
        <w:t>Appendix A. Calibration of the light-rail speed and time function</w:t>
      </w:r>
    </w:p>
    <w:p>
      <w:r>
        <w:t>What this appendix answers: where the running times of the planned line come from, why they were measured on the Tel Aviv Red Line, how the measurement was carried over to the Haifa alignment, and what the two operating regimes of the report (Prioritized and Unprioritized) mean in minutes.</w:t>
      </w:r>
    </w:p>
    <w:p>
      <w:pPr>
        <w:pStyle w:val="Heading2"/>
      </w:pPr>
      <w:r>
        <w:t>A.1 Why a calibrated function</w:t>
      </w:r>
    </w:p>
    <w:p>
      <w:r>
        <w:t>The extension has no timetable yet, so the model needs a rule that turns the distance between two stations into minutes. The usual shortcut, a design speed, misses the part of a light-rail trip that is not running: slowing down, standing at the platform, accelerating again, and waiting at road junctions. Those minutes decide whether the LRT beats the bus on a given pair, so the study measured them on an operating Israeli light rail rather than assuming them.</w:t>
      </w:r>
    </w:p>
    <w:p>
      <w:r>
        <w:t>The Tel Aviv Red Line (operator 22, lines 34447 and 34448) was chosen because its one line runs in both of the conditions the study needs: a segregated, underground core through Tel Aviv and street-level sections at its two ends. Measuring the same vehicles and the same operator in both conditions gives two consistent readings, one for a line that never waits at a junction and one for a line that runs with the street.</w:t>
      </w:r>
    </w:p>
    <w:p>
      <w:pPr>
        <w:pStyle w:val="Heading2"/>
      </w:pPr>
      <w:r>
        <w:t>A.2 The data and how it was cleaned</w:t>
      </w:r>
    </w:p>
    <w:p>
      <w:r>
        <w:t>The operator's vehicle-location records give the time at which every tram reached every stop. The extract holds 1,078,845 stop records over 132 Thursdays between May 2023 and September 2026. A journey is kept only when it is complete (all 31 stops in order) and every stop-to-stop time is plausible (above zero and at most 10 minutes). That leaves 26,653 clean journeys and 799,590 stop-to-stop sections, of which 239,877 are underground and 559,713 at the surface.</w:t>
      </w:r>
    </w:p>
    <w:p>
      <w:r>
        <w:t>A section counts as underground only when both of its stations are underground; a section with one surface station is counted as surface. That is the cautious choice, because the portal sections carry some of the street-level delay.</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t>item</w:t>
            </w:r>
          </w:p>
        </w:tc>
        <w:tc>
          <w:tcPr>
            <w:tcW w:type="dxa" w:w="4986"/>
          </w:tcPr>
          <w:p>
            <w:r>
              <w:rPr>
                <w:b/>
                <w:sz w:val="16"/>
              </w:rPr>
              <w:t>value</w:t>
            </w:r>
          </w:p>
        </w:tc>
      </w:tr>
      <w:tr>
        <w:tc>
          <w:tcPr>
            <w:tcW w:type="dxa" w:w="4986"/>
          </w:tcPr>
          <w:p>
            <w:r>
              <w:rPr>
                <w:sz w:val="16"/>
              </w:rPr>
              <w:t>Source</w:t>
            </w:r>
          </w:p>
        </w:tc>
        <w:tc>
          <w:tcPr>
            <w:tcW w:type="dxa" w:w="4986"/>
          </w:tcPr>
          <w:p>
            <w:r>
              <w:rPr>
                <w:sz w:val="16"/>
              </w:rPr>
              <w:t>Operator 22 vehicle-location records, lines 34447 / 34448</w:t>
            </w:r>
          </w:p>
        </w:tc>
      </w:tr>
      <w:tr>
        <w:tc>
          <w:tcPr>
            <w:tcW w:type="dxa" w:w="4986"/>
          </w:tcPr>
          <w:p>
            <w:r>
              <w:rPr>
                <w:sz w:val="16"/>
              </w:rPr>
              <w:t>Days</w:t>
            </w:r>
          </w:p>
        </w:tc>
        <w:tc>
          <w:tcPr>
            <w:tcW w:type="dxa" w:w="4986"/>
          </w:tcPr>
          <w:p>
            <w:r>
              <w:rPr>
                <w:sz w:val="16"/>
              </w:rPr>
              <w:t>132 Thursdays, 25 May 2023 to 10 September 2026 (in practice 2024–2026: no 2023 journey passes the completeness test)</w:t>
            </w:r>
          </w:p>
        </w:tc>
      </w:tr>
      <w:tr>
        <w:tc>
          <w:tcPr>
            <w:tcW w:type="dxa" w:w="4986"/>
          </w:tcPr>
          <w:p>
            <w:r>
              <w:rPr>
                <w:sz w:val="16"/>
              </w:rPr>
              <w:t>Raw records</w:t>
            </w:r>
          </w:p>
        </w:tc>
        <w:tc>
          <w:tcPr>
            <w:tcW w:type="dxa" w:w="4986"/>
          </w:tcPr>
          <w:p>
            <w:r>
              <w:rPr>
                <w:sz w:val="16"/>
              </w:rPr>
              <w:t>1,078,845 stop records in 36,939 journeys</w:t>
            </w:r>
          </w:p>
        </w:tc>
      </w:tr>
      <w:tr>
        <w:tc>
          <w:tcPr>
            <w:tcW w:type="dxa" w:w="4986"/>
          </w:tcPr>
          <w:p>
            <w:r>
              <w:rPr>
                <w:sz w:val="16"/>
              </w:rPr>
              <w:t>Kept</w:t>
            </w:r>
          </w:p>
        </w:tc>
        <w:tc>
          <w:tcPr>
            <w:tcW w:type="dxa" w:w="4986"/>
          </w:tcPr>
          <w:p>
            <w:r>
              <w:rPr>
                <w:sz w:val="16"/>
              </w:rPr>
              <w:t>26,653 complete, clean journeys; 799,590 stop-to-stop sections</w:t>
            </w:r>
          </w:p>
        </w:tc>
      </w:tr>
      <w:tr>
        <w:tc>
          <w:tcPr>
            <w:tcW w:type="dxa" w:w="4986"/>
          </w:tcPr>
          <w:p>
            <w:r>
              <w:rPr>
                <w:sz w:val="16"/>
              </w:rPr>
              <w:t>Underground rule</w:t>
            </w:r>
          </w:p>
        </w:tc>
        <w:tc>
          <w:tcPr>
            <w:tcW w:type="dxa" w:w="4986"/>
          </w:tcPr>
          <w:p>
            <w:r>
              <w:rPr>
                <w:sz w:val="16"/>
              </w:rPr>
              <w:t>both stations of the section in the list of 11 underground stations</w:t>
            </w:r>
          </w:p>
        </w:tc>
      </w:tr>
      <w:tr>
        <w:tc>
          <w:tcPr>
            <w:tcW w:type="dxa" w:w="4986"/>
          </w:tcPr>
          <w:p>
            <w:r>
              <w:rPr>
                <w:sz w:val="16"/>
              </w:rPr>
              <w:t>Quality rule</w:t>
            </w:r>
          </w:p>
        </w:tc>
        <w:tc>
          <w:tcPr>
            <w:tcW w:type="dxa" w:w="4986"/>
          </w:tcPr>
          <w:p>
            <w:r>
              <w:rPr>
                <w:sz w:val="16"/>
              </w:rPr>
              <w:t>every section time &gt; 0 and ≤ 10 minutes</w:t>
            </w:r>
          </w:p>
        </w:tc>
      </w:tr>
    </w:tbl>
    <w:p>
      <w:r>
        <w:rPr>
          <w:i/>
          <w:sz w:val="16"/>
        </w:rPr>
        <w:t>Table A.1 — The calibration sample.</w:t>
      </w:r>
    </w:p>
    <w:p>
      <w:pPr>
        <w:pStyle w:val="Heading2"/>
      </w:pPr>
      <w:r>
        <w:t>A.3 What was measured</w:t>
      </w:r>
    </w:p>
    <w:p>
      <w:r>
        <w:t>The calibration is a mean: how many minutes a tram takes, on average, from one stop to the next, in each regime. Because the mean is what the model needs (the expected time of many trips, not the typical one), it is used rather than the median.</w:t>
      </w:r>
    </w:p>
    <w:p>
      <w:pPr>
        <w:ind w:left="360"/>
      </w:pPr>
      <w:r>
        <w:rPr>
          <w:b/>
        </w:rPr>
        <w:t>Underground: 1.961 minutes per section (95 % interval 1.958–1.963).   Surface: 2.393 minutes per section (2.390–2.395).</w:t>
      </w:r>
    </w:p>
    <w:p>
      <w:r>
        <w:drawing>
          <wp:inline xmlns:a="http://schemas.openxmlformats.org/drawingml/2006/main" xmlns:pic="http://schemas.openxmlformats.org/drawingml/2006/picture">
            <wp:extent cx="4320000" cy="2356364"/>
            <wp:docPr id="103" name="Picture 103"/>
            <wp:cNvGraphicFramePr>
              <a:graphicFrameLocks noChangeAspect="1"/>
            </wp:cNvGraphicFramePr>
            <a:graphic>
              <a:graphicData uri="http://schemas.openxmlformats.org/drawingml/2006/picture">
                <pic:pic>
                  <pic:nvPicPr>
                    <pic:cNvPr id="0" name="appA_redline_section_time_by_regime.png"/>
                    <pic:cNvPicPr/>
                  </pic:nvPicPr>
                  <pic:blipFill>
                    <a:blip r:embed="rId111"/>
                    <a:stretch>
                      <a:fillRect/>
                    </a:stretch>
                  </pic:blipFill>
                  <pic:spPr>
                    <a:xfrm>
                      <a:off x="0" y="0"/>
                      <a:ext cx="4320000" cy="2356364"/>
                    </a:xfrm>
                    <a:prstGeom prst="rect"/>
                  </pic:spPr>
                </pic:pic>
              </a:graphicData>
            </a:graphic>
          </wp:inline>
        </w:drawing>
      </w:r>
    </w:p>
    <w:p>
      <w:r>
        <w:rPr>
          <w:i/>
          <w:sz w:val="16"/>
        </w:rPr>
        <w:t>Figure A.1 — Mean stop-to-stop time by regime on the Red Line; the error bars (the 95 % intervals) are too small to see at this scale. Source: the calibration report, figure 1.</w:t>
      </w:r>
    </w:p>
    <w:p>
      <w:r>
        <w:t>The check that the rule works: a complete Red Line journey has 9 underground and 21 surface sections, so the rule predicts 9 × 1.961 + 21 × 2.393 = 67.9 minutes. The observed mean is 67.9 minutes by construction; what matters is the spread around it: the typical error on a single journey is 3.7 minutes (5.5 %), and the two directions differ by about a minute (68.9 towards one end, 66.8 towards the other).</w:t>
      </w:r>
    </w:p>
    <w:p>
      <w:r>
        <w:drawing>
          <wp:inline xmlns:a="http://schemas.openxmlformats.org/drawingml/2006/main" xmlns:pic="http://schemas.openxmlformats.org/drawingml/2006/picture">
            <wp:extent cx="4320000" cy="2350588"/>
            <wp:docPr id="104" name="Picture 104"/>
            <wp:cNvGraphicFramePr>
              <a:graphicFrameLocks noChangeAspect="1"/>
            </wp:cNvGraphicFramePr>
            <a:graphic>
              <a:graphicData uri="http://schemas.openxmlformats.org/drawingml/2006/picture">
                <pic:pic>
                  <pic:nvPicPr>
                    <pic:cNvPr id="0" name="appA_redline_trip_time_distribution.png"/>
                    <pic:cNvPicPr/>
                  </pic:nvPicPr>
                  <pic:blipFill>
                    <a:blip r:embed="rId112"/>
                    <a:stretch>
                      <a:fillRect/>
                    </a:stretch>
                  </pic:blipFill>
                  <pic:spPr>
                    <a:xfrm>
                      <a:off x="0" y="0"/>
                      <a:ext cx="4320000" cy="2350588"/>
                    </a:xfrm>
                    <a:prstGeom prst="rect"/>
                  </pic:spPr>
                </pic:pic>
              </a:graphicData>
            </a:graphic>
          </wp:inline>
        </w:drawing>
      </w:r>
    </w:p>
    <w:p>
      <w:r>
        <w:rPr>
          <w:i/>
          <w:sz w:val="16"/>
        </w:rPr>
        <w:t>Figure A.2 — Observed end-to-end times of the 26,653 clean journeys against the rule's 67.9 minutes. Source: the calibration report, figure 3.</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year</w:t>
            </w:r>
          </w:p>
        </w:tc>
        <w:tc>
          <w:tcPr>
            <w:tcW w:type="dxa" w:w="2493"/>
          </w:tcPr>
          <w:p>
            <w:r>
              <w:rPr>
                <w:b/>
                <w:sz w:val="16"/>
              </w:rPr>
              <w:t>underground, min per section</w:t>
            </w:r>
          </w:p>
        </w:tc>
        <w:tc>
          <w:tcPr>
            <w:tcW w:type="dxa" w:w="2493"/>
          </w:tcPr>
          <w:p>
            <w:r>
              <w:rPr>
                <w:b/>
                <w:sz w:val="16"/>
              </w:rPr>
              <w:t>surface, min per section</w:t>
            </w:r>
          </w:p>
        </w:tc>
        <w:tc>
          <w:tcPr>
            <w:tcW w:type="dxa" w:w="2493"/>
          </w:tcPr>
          <w:p>
            <w:r>
              <w:rPr>
                <w:b/>
                <w:sz w:val="16"/>
              </w:rPr>
              <w:t>journeys</w:t>
            </w:r>
          </w:p>
        </w:tc>
      </w:tr>
      <w:tr>
        <w:tc>
          <w:tcPr>
            <w:tcW w:type="dxa" w:w="2493"/>
          </w:tcPr>
          <w:p>
            <w:r>
              <w:rPr>
                <w:sz w:val="16"/>
              </w:rPr>
              <w:t>2024</w:t>
            </w:r>
          </w:p>
        </w:tc>
        <w:tc>
          <w:tcPr>
            <w:tcW w:type="dxa" w:w="2493"/>
          </w:tcPr>
          <w:p>
            <w:r>
              <w:rPr>
                <w:sz w:val="16"/>
              </w:rPr>
              <w:t>2.007</w:t>
            </w:r>
          </w:p>
        </w:tc>
        <w:tc>
          <w:tcPr>
            <w:tcW w:type="dxa" w:w="2493"/>
          </w:tcPr>
          <w:p>
            <w:r>
              <w:rPr>
                <w:sz w:val="16"/>
              </w:rPr>
              <w:t>2.528</w:t>
            </w:r>
          </w:p>
        </w:tc>
        <w:tc>
          <w:tcPr>
            <w:tcW w:type="dxa" w:w="2493"/>
          </w:tcPr>
          <w:p>
            <w:r>
              <w:rPr>
                <w:sz w:val="16"/>
              </w:rPr>
              <w:t>9,482</w:t>
            </w:r>
          </w:p>
        </w:tc>
      </w:tr>
      <w:tr>
        <w:tc>
          <w:tcPr>
            <w:tcW w:type="dxa" w:w="2493"/>
          </w:tcPr>
          <w:p>
            <w:r>
              <w:rPr>
                <w:sz w:val="16"/>
              </w:rPr>
              <w:t>2025</w:t>
            </w:r>
          </w:p>
        </w:tc>
        <w:tc>
          <w:tcPr>
            <w:tcW w:type="dxa" w:w="2493"/>
          </w:tcPr>
          <w:p>
            <w:r>
              <w:rPr>
                <w:sz w:val="16"/>
              </w:rPr>
              <w:t>1.946</w:t>
            </w:r>
          </w:p>
        </w:tc>
        <w:tc>
          <w:tcPr>
            <w:tcW w:type="dxa" w:w="2493"/>
          </w:tcPr>
          <w:p>
            <w:r>
              <w:rPr>
                <w:sz w:val="16"/>
              </w:rPr>
              <w:t>2.365</w:t>
            </w:r>
          </w:p>
        </w:tc>
        <w:tc>
          <w:tcPr>
            <w:tcW w:type="dxa" w:w="2493"/>
          </w:tcPr>
          <w:p>
            <w:r>
              <w:rPr>
                <w:sz w:val="16"/>
              </w:rPr>
              <w:t>10,752</w:t>
            </w:r>
          </w:p>
        </w:tc>
      </w:tr>
      <w:tr>
        <w:tc>
          <w:tcPr>
            <w:tcW w:type="dxa" w:w="2493"/>
          </w:tcPr>
          <w:p>
            <w:r>
              <w:rPr>
                <w:sz w:val="16"/>
              </w:rPr>
              <w:t>2026</w:t>
            </w:r>
          </w:p>
        </w:tc>
        <w:tc>
          <w:tcPr>
            <w:tcW w:type="dxa" w:w="2493"/>
          </w:tcPr>
          <w:p>
            <w:r>
              <w:rPr>
                <w:sz w:val="16"/>
              </w:rPr>
              <w:t>1.919</w:t>
            </w:r>
          </w:p>
        </w:tc>
        <w:tc>
          <w:tcPr>
            <w:tcW w:type="dxa" w:w="2493"/>
          </w:tcPr>
          <w:p>
            <w:r>
              <w:rPr>
                <w:sz w:val="16"/>
              </w:rPr>
              <w:t>2.240</w:t>
            </w:r>
          </w:p>
        </w:tc>
        <w:tc>
          <w:tcPr>
            <w:tcW w:type="dxa" w:w="2493"/>
          </w:tcPr>
          <w:p>
            <w:r>
              <w:rPr>
                <w:sz w:val="16"/>
              </w:rPr>
              <w:t>6,419</w:t>
            </w:r>
          </w:p>
        </w:tc>
      </w:tr>
      <w:tr>
        <w:tc>
          <w:tcPr>
            <w:tcW w:type="dxa" w:w="2493"/>
          </w:tcPr>
          <w:p>
            <w:r>
              <w:rPr>
                <w:sz w:val="16"/>
              </w:rPr>
              <w:t>all years (used)</w:t>
            </w:r>
          </w:p>
        </w:tc>
        <w:tc>
          <w:tcPr>
            <w:tcW w:type="dxa" w:w="2493"/>
          </w:tcPr>
          <w:p>
            <w:r>
              <w:rPr>
                <w:sz w:val="16"/>
              </w:rPr>
              <w:t>1.961</w:t>
            </w:r>
          </w:p>
        </w:tc>
        <w:tc>
          <w:tcPr>
            <w:tcW w:type="dxa" w:w="2493"/>
          </w:tcPr>
          <w:p>
            <w:r>
              <w:rPr>
                <w:sz w:val="16"/>
              </w:rPr>
              <w:t>2.393</w:t>
            </w:r>
          </w:p>
        </w:tc>
        <w:tc>
          <w:tcPr>
            <w:tcW w:type="dxa" w:w="2493"/>
          </w:tcPr>
          <w:p>
            <w:r>
              <w:rPr>
                <w:sz w:val="16"/>
              </w:rPr>
              <w:t>26,653</w:t>
            </w:r>
          </w:p>
        </w:tc>
      </w:tr>
    </w:tbl>
    <w:p>
      <w:r>
        <w:rPr>
          <w:i/>
          <w:sz w:val="16"/>
        </w:rPr>
        <w:t>Table A.2 — The same means by year. Operations have become faster each year; the study uses the pooled value, which is 2–6 % slower than 2026 alone and therefore slightly cautious.</w:t>
      </w:r>
    </w:p>
    <w:p>
      <w:pPr>
        <w:pStyle w:val="Heading2"/>
      </w:pPr>
      <w:r>
        <w:t>A.4 From the Red Line to Haifa: the station-spacing correction</w:t>
      </w:r>
    </w:p>
    <w:p>
      <w:r>
        <w:t>A time per section is only useful if we know how long a section is. The calibration report converted its minutes to speeds by assuming 500 metres between stops (15.3 km/h underground, 12.5 km/h at the surface). The Red Line's own timetable, which records the distance at every stop, shows that its underground stations are 970 metres apart on average and its surface stops 577 metres. So 1.961 minutes per underground section is a 30 km/h section, not a 15 km/h one, and applying the 500 m reading to Haifa (the first revision of the study) made the underground case twice too slow.</w:t>
      </w:r>
    </w:p>
    <w:p>
      <w:r>
        <w:t>The study therefore separated each section time into two parts, fitted on the Red Line's 14,477 scheduled sections: a running time that grows with distance, and a fixed stop penalty that covers braking, dwell and acceleration. Each regime is then scaled by the ratio of observed to scheduled time, so the rule still reproduces the measured means on the Red Line's own spacing.</w:t>
      </w:r>
    </w:p>
    <w:p>
      <w:pPr>
        <w:ind w:left="360"/>
      </w:pPr>
      <w:r>
        <w:rPr>
          <w:b/>
        </w:rPr>
        <w:t>Underground: time = 0.94 × (0.81 min + 1.31 min per km)   →   46 km/h between stops plus 49 seconds per stop.</w:t>
      </w:r>
    </w:p>
    <w:p>
      <w:pPr>
        <w:ind w:left="360"/>
      </w:pPr>
      <w:r>
        <w:rPr>
          <w:b/>
        </w:rPr>
        <w:t>Surface:       time = 1.02 × (1.23 min + 1.94 min per km)   →   31 km/h between stops plus 74 seconds per stop.</w:t>
      </w:r>
    </w:p>
    <w:p>
      <w:r>
        <w:t>This form can be applied to any station spacing. On the Haifa extension the 24 stations are 815 metres apart on average (354 to 1,396 m): a section takes 1.77 minutes underground-style (27.6 km/h including stops) and 2.86 minutes at street level (17.1 km/h).</w:t>
      </w:r>
    </w:p>
    <w:p>
      <w:r>
        <w:drawing>
          <wp:inline xmlns:a="http://schemas.openxmlformats.org/drawingml/2006/main" xmlns:pic="http://schemas.openxmlformats.org/drawingml/2006/picture">
            <wp:extent cx="5040000" cy="2520000"/>
            <wp:docPr id="105" name="Picture 105"/>
            <wp:cNvGraphicFramePr>
              <a:graphicFrameLocks noChangeAspect="1"/>
            </wp:cNvGraphicFramePr>
            <a:graphic>
              <a:graphicData uri="http://schemas.openxmlformats.org/drawingml/2006/picture">
                <pic:pic>
                  <pic:nvPicPr>
                    <pic:cNvPr id="0" name="appA_section_time_vs_spacing.png"/>
                    <pic:cNvPicPr/>
                  </pic:nvPicPr>
                  <pic:blipFill>
                    <a:blip r:embed="rId113"/>
                    <a:stretch>
                      <a:fillRect/>
                    </a:stretch>
                  </pic:blipFill>
                  <pic:spPr>
                    <a:xfrm>
                      <a:off x="0" y="0"/>
                      <a:ext cx="5040000" cy="2520000"/>
                    </a:xfrm>
                    <a:prstGeom prst="rect"/>
                  </pic:spPr>
                </pic:pic>
              </a:graphicData>
            </a:graphic>
          </wp:inline>
        </w:drawing>
      </w:r>
    </w:p>
    <w:p>
      <w:r>
        <w:rPr>
          <w:i/>
          <w:sz w:val="16"/>
        </w:rPr>
        <w:t>Figure A.3 — The calibrated rule as a function of station spacing: the Red Line's mean spacing (dots) reproduces the measured section times; the dashed line is the Haifa extension's mean spacing. Source: Output/lrt_v2/lrt_calibration_redline_spacing_check.csv.</w:t>
      </w:r>
    </w:p>
    <w:p>
      <w:r>
        <w:t>A worked example. The first section of the extension, S01 to S02 in Tirat Carmel, is 1,247 metres long. Underground-style: 0.94 × (0.81 + 1.31 × 1.247) = 2.30 minutes. Street level: 1.02 × (1.23 + 1.94 × 1.247) = 3.72 minutes. Summing the 23 sections gives the end-to-end times of the report.</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reading of the calibration</w:t>
            </w:r>
          </w:p>
        </w:tc>
        <w:tc>
          <w:tcPr>
            <w:tcW w:type="dxa" w:w="1994"/>
          </w:tcPr>
          <w:p>
            <w:r>
              <w:rPr>
                <w:b/>
                <w:sz w:val="16"/>
              </w:rPr>
              <w:t>underground-style, min S01–S24</w:t>
            </w:r>
          </w:p>
        </w:tc>
        <w:tc>
          <w:tcPr>
            <w:tcW w:type="dxa" w:w="1994"/>
          </w:tcPr>
          <w:p>
            <w:r>
              <w:rPr>
                <w:b/>
                <w:sz w:val="16"/>
              </w:rPr>
              <w:t>km/h</w:t>
            </w:r>
          </w:p>
        </w:tc>
        <w:tc>
          <w:tcPr>
            <w:tcW w:type="dxa" w:w="1994"/>
          </w:tcPr>
          <w:p>
            <w:r>
              <w:rPr>
                <w:b/>
                <w:sz w:val="16"/>
              </w:rPr>
              <w:t>street level, min S01–S24</w:t>
            </w:r>
          </w:p>
        </w:tc>
        <w:tc>
          <w:tcPr>
            <w:tcW w:type="dxa" w:w="1994"/>
          </w:tcPr>
          <w:p>
            <w:r>
              <w:rPr>
                <w:b/>
                <w:sz w:val="16"/>
              </w:rPr>
              <w:t xml:space="preserve">km/h </w:t>
            </w:r>
          </w:p>
        </w:tc>
      </w:tr>
      <w:tr>
        <w:tc>
          <w:tcPr>
            <w:tcW w:type="dxa" w:w="1994"/>
          </w:tcPr>
          <w:p>
            <w:r>
              <w:rPr>
                <w:sz w:val="16"/>
              </w:rPr>
              <w:t>Decomposed form (running time + stop penalty, used)</w:t>
            </w:r>
          </w:p>
        </w:tc>
        <w:tc>
          <w:tcPr>
            <w:tcW w:type="dxa" w:w="1994"/>
          </w:tcPr>
          <w:p>
            <w:r>
              <w:rPr>
                <w:sz w:val="16"/>
              </w:rPr>
              <w:t>40.6</w:t>
            </w:r>
          </w:p>
        </w:tc>
        <w:tc>
          <w:tcPr>
            <w:tcW w:type="dxa" w:w="1994"/>
          </w:tcPr>
          <w:p>
            <w:r>
              <w:rPr>
                <w:sz w:val="16"/>
              </w:rPr>
              <w:t>27.7</w:t>
            </w:r>
          </w:p>
        </w:tc>
        <w:tc>
          <w:tcPr>
            <w:tcW w:type="dxa" w:w="1994"/>
          </w:tcPr>
          <w:p>
            <w:r>
              <w:rPr>
                <w:sz w:val="16"/>
              </w:rPr>
              <w:t>65.8</w:t>
            </w:r>
          </w:p>
        </w:tc>
        <w:tc>
          <w:tcPr>
            <w:tcW w:type="dxa" w:w="1994"/>
          </w:tcPr>
          <w:p>
            <w:r>
              <w:rPr>
                <w:sz w:val="16"/>
              </w:rPr>
              <w:t>17.1</w:t>
            </w:r>
          </w:p>
        </w:tc>
      </w:tr>
      <w:tr>
        <w:tc>
          <w:tcPr>
            <w:tcW w:type="dxa" w:w="1994"/>
          </w:tcPr>
          <w:p>
            <w:r>
              <w:rPr>
                <w:sz w:val="16"/>
              </w:rPr>
              <w:t>Section form (one calibrated section per link, whatever its length)</w:t>
            </w:r>
          </w:p>
        </w:tc>
        <w:tc>
          <w:tcPr>
            <w:tcW w:type="dxa" w:w="1994"/>
          </w:tcPr>
          <w:p>
            <w:r>
              <w:rPr>
                <w:sz w:val="16"/>
              </w:rPr>
              <w:t>45.1</w:t>
            </w:r>
          </w:p>
        </w:tc>
        <w:tc>
          <w:tcPr>
            <w:tcW w:type="dxa" w:w="1994"/>
          </w:tcPr>
          <w:p>
            <w:r>
              <w:rPr>
                <w:sz w:val="16"/>
              </w:rPr>
              <w:t>24.9</w:t>
            </w:r>
          </w:p>
        </w:tc>
        <w:tc>
          <w:tcPr>
            <w:tcW w:type="dxa" w:w="1994"/>
          </w:tcPr>
          <w:p>
            <w:r>
              <w:rPr>
                <w:sz w:val="16"/>
              </w:rPr>
              <w:t>55.0</w:t>
            </w:r>
          </w:p>
        </w:tc>
        <w:tc>
          <w:tcPr>
            <w:tcW w:type="dxa" w:w="1994"/>
          </w:tcPr>
          <w:p>
            <w:r>
              <w:rPr>
                <w:sz w:val="16"/>
              </w:rPr>
              <w:t>20.4</w:t>
            </w:r>
          </w:p>
        </w:tc>
      </w:tr>
      <w:tr>
        <w:tc>
          <w:tcPr>
            <w:tcW w:type="dxa" w:w="1994"/>
          </w:tcPr>
          <w:p>
            <w:r>
              <w:rPr>
                <w:sz w:val="16"/>
              </w:rPr>
              <w:t>Nominal 500 m form (the report's speeds; superseded)</w:t>
            </w:r>
          </w:p>
        </w:tc>
        <w:tc>
          <w:tcPr>
            <w:tcW w:type="dxa" w:w="1994"/>
          </w:tcPr>
          <w:p>
            <w:r>
              <w:rPr>
                <w:sz w:val="16"/>
              </w:rPr>
              <w:t>73.5</w:t>
            </w:r>
          </w:p>
        </w:tc>
        <w:tc>
          <w:tcPr>
            <w:tcW w:type="dxa" w:w="1994"/>
          </w:tcPr>
          <w:p>
            <w:r>
              <w:rPr>
                <w:sz w:val="16"/>
              </w:rPr>
              <w:t>15.3</w:t>
            </w:r>
          </w:p>
        </w:tc>
        <w:tc>
          <w:tcPr>
            <w:tcW w:type="dxa" w:w="1994"/>
          </w:tcPr>
          <w:p>
            <w:r>
              <w:rPr>
                <w:sz w:val="16"/>
              </w:rPr>
              <w:t>89.7</w:t>
            </w:r>
          </w:p>
        </w:tc>
        <w:tc>
          <w:tcPr>
            <w:tcW w:type="dxa" w:w="1994"/>
          </w:tcPr>
          <w:p>
            <w:r>
              <w:rPr>
                <w:sz w:val="16"/>
              </w:rPr>
              <w:t>12.5</w:t>
            </w:r>
          </w:p>
        </w:tc>
      </w:tr>
    </w:tbl>
    <w:p>
      <w:r>
        <w:rPr>
          <w:i/>
          <w:sz w:val="16"/>
        </w:rPr>
        <w:t>Table A.3 — End-to-end time of the extension (18.7 km, 24 stations) under the three readings of the calibration. The decomposed form is the estimate (40.62 min, quoted as 40.7 elsewhere in the report); the other two are kept as bounds. Source: Output/lrt_v2/lrt_end_to_end_summary.csv.</w:t>
      </w:r>
    </w:p>
    <w:p>
      <w:r>
        <w:drawing>
          <wp:inline xmlns:a="http://schemas.openxmlformats.org/drawingml/2006/main" xmlns:pic="http://schemas.openxmlformats.org/drawingml/2006/picture">
            <wp:extent cx="5760000" cy="2419703"/>
            <wp:docPr id="106" name="Picture 106"/>
            <wp:cNvGraphicFramePr>
              <a:graphicFrameLocks noChangeAspect="1"/>
            </wp:cNvGraphicFramePr>
            <a:graphic>
              <a:graphicData uri="http://schemas.openxmlformats.org/drawingml/2006/picture">
                <pic:pic>
                  <pic:nvPicPr>
                    <pic:cNvPr id="0" name="lrt_line_profile_hf_lrt_3.png"/>
                    <pic:cNvPicPr/>
                  </pic:nvPicPr>
                  <pic:blipFill>
                    <a:blip r:embed="rId114"/>
                    <a:stretch>
                      <a:fillRect/>
                    </a:stretch>
                  </pic:blipFill>
                  <pic:spPr>
                    <a:xfrm>
                      <a:off x="0" y="0"/>
                      <a:ext cx="5760000" cy="2419703"/>
                    </a:xfrm>
                    <a:prstGeom prst="rect"/>
                  </pic:spPr>
                </pic:pic>
              </a:graphicData>
            </a:graphic>
          </wp:inline>
        </w:drawing>
      </w:r>
    </w:p>
    <w:p>
      <w:r>
        <w:rPr>
          <w:i/>
          <w:sz w:val="16"/>
        </w:rPr>
        <w:t>Figure A.4 — Cumulative travel time along the extension under each reading and regime, and the stations on the alignment (step 25).</w:t>
      </w:r>
    </w:p>
    <w:p>
      <w:pPr>
        <w:pStyle w:val="Heading2"/>
      </w:pPr>
      <w:r>
        <w:t>A.5 How the function enters the model</w:t>
      </w:r>
    </w:p>
    <w:p>
      <w:pPr>
        <w:pStyle w:val="ListBullet"/>
      </w:pPr>
      <w:r>
        <w:t>Prioritized regime: the extension runs with full priority at road junctions, so the model gives it the segregated (underground-calibrated) times: 40.7 minutes from Tirat Carmel to Hamifrats. No underground line is planned; the regimes differ in running time only (decision of 5 October 2026).</w:t>
      </w:r>
    </w:p>
    <w:p>
      <w:pPr>
        <w:pStyle w:val="ListBullet"/>
      </w:pPr>
      <w:r>
        <w:t>Unprioritized regime: the extension runs at street level and waits at junctions with the traffic, so it gets the surface times: 65.8 minutes. The difference, 25 minutes on 18.7 km, is what "priority at the junctions" is worth in time, and the report shows it is worth about a quarter of the riders.</w:t>
      </w:r>
    </w:p>
    <w:p>
      <w:pPr>
        <w:pStyle w:val="ListBullet"/>
      </w:pPr>
      <w:r>
        <w:t>Main route (Hamifrats to Nazareth): a different kind of line, mostly interurban with stations 2.1 km apart, for which the client specified 80 km/h between stops and 10 seconds per stop: 33.7 minutes. This is a specification, not a calibration, and is listed among the report's caveats (caveat 28).</w:t>
      </w:r>
    </w:p>
    <w:p>
      <w:pPr>
        <w:pStyle w:val="ListBullet"/>
      </w:pPr>
      <w:r>
        <w:t>Checks on the calibrated regimes: a 50 km/h design speed with 10 s per stop would give 26.3 minutes on the extension; adding a 35-second allowance per stop for braking and acceleration brings it to 39.7 minutes, within 3 % of the calibrated 40.7. The calibrated rule is therefore a 46 km/h line that loses about 50 seconds at every stop, not a slow line.</w:t>
      </w:r>
    </w:p>
    <w:p>
      <w:pPr>
        <w:pStyle w:val="ListBullet"/>
      </w:pPr>
      <w:r>
        <w:t>Headway: a tram every 5 minutes on the whole line, so the average wait is 2.5 minutes; the time on route does not include it.</w:t>
      </w:r>
    </w:p>
    <w:p>
      <w:pPr>
        <w:pStyle w:val="Heading2"/>
      </w:pPr>
      <w:r>
        <w:t>A.6 What to keep in mind</w:t>
      </w:r>
    </w:p>
    <w:p>
      <w:pPr>
        <w:pStyle w:val="ListBullet"/>
      </w:pPr>
      <w:r>
        <w:t>The rule was measured on Thursdays only and pooled over 2024–2026; 2026 alone is 2–6 % faster.</w:t>
      </w:r>
    </w:p>
    <w:p>
      <w:pPr>
        <w:pStyle w:val="ListBullet"/>
      </w:pPr>
      <w:r>
        <w:t>The stop penalty embeds the Red Line's dwell times and acceleration. A Haifa operation with different vehicles or dwell rules would move the times by seconds per stop, tens of seconds end to end.</w:t>
      </w:r>
    </w:p>
    <w:p>
      <w:pPr>
        <w:pStyle w:val="ListBullet"/>
      </w:pPr>
      <w:r>
        <w:t>The two regimes are the two pure cases. A line with priority at most but not all junctions sits between them; the mixed alignment tested in step 25 (the Haifa core segregated, the ends at street level) gives 56 minutes.</w:t>
      </w:r>
    </w:p>
    <w:p>
      <w:pPr>
        <w:pStyle w:val="ListBullet"/>
      </w:pPr>
      <w:r>
        <w:t>The report's results are more sensitive to station access and transfers than to the running time itself (Appendix D), so the calibration decides the regime comparison more than the overall level of demand.</w:t>
      </w:r>
    </w:p>
    <w:p>
      <w:r>
        <w:rPr>
          <w:i/>
          <w:sz w:val="16"/>
        </w:rPr>
        <w:t>Sources: the calibration report (docs/Transit_Travel_Time_Calibration_Report_Operator22.md; the figures reproduced from its docx); METHODOLOGY.md §6w (step 25, revision 2 and addenda); Output/lrt_v2/lrt_calibration_redline_spacing_check.csv, lrt_end_to_end_summary.csv, lrt_line_profile.csv; Output/alternatives/time_on_route.csv.</w:t>
      </w:r>
    </w:p>
    <w:p>
      <w:pPr>
        <w:pStyle w:val="Heading1"/>
      </w:pPr>
      <w:r>
        <w:t>Appendix B. Out-of-vehicle time: what the research found and what the model uses</w:t>
      </w:r>
    </w:p>
    <w:p>
      <w:r>
        <w:t>What this appendix answers: why the minutes spent walking, waiting and changing vehicles are weighted, what the literature and other models say those weights should be, what the study chose, and how much the choice moves the result. It condenses the research memo of 4 October 2026 (docs/OVT_WEIGHTS_PARAMETER_MEMO.md, 275 estimates from five evidence streams).</w:t>
      </w:r>
    </w:p>
    <w:p>
      <w:pPr>
        <w:pStyle w:val="Heading2"/>
      </w:pPr>
      <w:r>
        <w:t>B.1 Why the weights matter here</w:t>
      </w:r>
    </w:p>
    <w:p>
      <w:r>
        <w:t>A trip by public transport is mostly not spent riding. Travellers find a minute of walking to the stop, standing at it or changing vehicles more tiresome than a minute in a moving vehicle, and every transport model counts those minutes more than once. The weight is the number of in-vehicle minutes one out-of-vehicle minute is worth.</w:t>
      </w:r>
    </w:p>
    <w:p>
      <w:r>
        <w:t>For this study the weights are unusually important because of the geometry: the extension has 24 stations where the bus and Metronit network has thousands of stops. On the trunk pairs the walk to an LRT station is 13.9 minutes against 5.1 to a bus stop. With a walk weight of 2.0 that is an 18-minute handicap before the tram moves, which is why the LRT's in-vehicle advantage over the bus does not translate into a cost advantage on most pairs (Appendix D).</w:t>
      </w:r>
    </w:p>
    <w:p>
      <w:pPr>
        <w:pStyle w:val="Heading2"/>
      </w:pPr>
      <w:r>
        <w:t>B.2 What was researched</w:t>
      </w:r>
    </w:p>
    <w:p>
      <w:pPr>
        <w:pStyle w:val="ListBullet"/>
      </w:pPr>
      <w:r>
        <w:t>Appraisal guidance of eleven countries and Israel (the UK TAG, Australia's ATAP, New Zealand, the Netherlands, Norway, Sweden, Denmark, the US FTA and TCQSM, the Israeli נוהל פר"ת and the Ministry of Transport's 2026 model-validation guideline).</w:t>
      </w:r>
    </w:p>
    <w:p>
      <w:pPr>
        <w:pStyle w:val="ListBullet"/>
      </w:pPr>
      <w:r>
        <w:t>Meta-analyses and primary studies of how travellers value walking, waiting and interchange (Wardman and co-authors 2001–2026, TRL, the Dutch and Norwegian national value-of-time studies, London, Madrid, Sydney, Dublin, Copenhagen).</w:t>
      </w:r>
    </w:p>
    <w:p>
      <w:pPr>
        <w:pStyle w:val="ListBullet"/>
      </w:pPr>
      <w:r>
        <w:t>The parameter files of ten calibrated regional models in the United States and Europe, read in full from their public repositories (ActivitySim for San Francisco, Detroit, Atlanta and Washington; San Diego; Seattle; Chicago; MATSim; OpenTripPlanner; R5).</w:t>
      </w:r>
    </w:p>
    <w:p>
      <w:pPr>
        <w:pStyle w:val="ListBullet"/>
      </w:pPr>
      <w:r>
        <w:t>Walking evidence: speeds, detour factors, slopes, stairs and escalators, crossing delays, how far people walk to rail against bus.</w:t>
      </w:r>
    </w:p>
    <w:p>
      <w:r>
        <w:t>One limitation governs how the findings are read: the research session could not open the guidance and study documents themselves (the network policy blocked their hosts), so 255 of the 275 values come from published summaries and only the 20 model parameter files were read in full. By the research plan's own rule nothing is "confirmed"; the findings give the range each parameter lies in and where the study's value sits inside it.</w:t>
      </w:r>
    </w:p>
    <w:p>
      <w:pPr>
        <w:pStyle w:val="Heading2"/>
      </w:pPr>
      <w:r>
        <w:t>B.3 The findings, parameter by parameter</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4"/>
              </w:rPr>
              <w:t>parameter</w:t>
            </w:r>
          </w:p>
        </w:tc>
        <w:tc>
          <w:tcPr>
            <w:tcW w:type="dxa" w:w="2493"/>
          </w:tcPr>
          <w:p>
            <w:r>
              <w:rPr>
                <w:b/>
                <w:sz w:val="14"/>
              </w:rPr>
              <w:t>in the model</w:t>
            </w:r>
          </w:p>
        </w:tc>
        <w:tc>
          <w:tcPr>
            <w:tcW w:type="dxa" w:w="2493"/>
          </w:tcPr>
          <w:p>
            <w:r>
              <w:rPr>
                <w:b/>
                <w:sz w:val="14"/>
              </w:rPr>
              <w:t>what the evidence says</w:t>
            </w:r>
          </w:p>
        </w:tc>
        <w:tc>
          <w:tcPr>
            <w:tcW w:type="dxa" w:w="2493"/>
          </w:tcPr>
          <w:p>
            <w:r>
              <w:rPr>
                <w:b/>
                <w:sz w:val="14"/>
              </w:rPr>
              <w:t>reading</w:t>
            </w:r>
          </w:p>
        </w:tc>
      </w:tr>
      <w:tr>
        <w:tc>
          <w:tcPr>
            <w:tcW w:type="dxa" w:w="2493"/>
          </w:tcPr>
          <w:p>
            <w:r>
              <w:rPr>
                <w:sz w:val="14"/>
              </w:rPr>
              <w:t>Walk weight</w:t>
            </w:r>
          </w:p>
        </w:tc>
        <w:tc>
          <w:tcPr>
            <w:tcW w:type="dxa" w:w="2493"/>
          </w:tcPr>
          <w:p>
            <w:r>
              <w:rPr>
                <w:sz w:val="14"/>
              </w:rPr>
              <w:t>2.0</w:t>
            </w:r>
          </w:p>
        </w:tc>
        <w:tc>
          <w:tcPr>
            <w:tcW w:type="dxa" w:w="2493"/>
          </w:tcPr>
          <w:p>
            <w:r>
              <w:rPr>
                <w:sz w:val="14"/>
              </w:rPr>
              <w:t>studies ≈ 1.5–1.7; guidance 1.5–2.0 (Israel MoT: out-of-vehicle 2–3); ten calibrated models: 2.0</w:t>
            </w:r>
          </w:p>
        </w:tc>
        <w:tc>
          <w:tcPr>
            <w:tcW w:type="dxa" w:w="2493"/>
          </w:tcPr>
          <w:p>
            <w:r>
              <w:rPr>
                <w:sz w:val="14"/>
              </w:rPr>
              <w:t>2.0: the practice median, the floor of the Israeli range, above the study median. Cautious for the LRT (it has the longer walks).</w:t>
            </w:r>
          </w:p>
        </w:tc>
      </w:tr>
      <w:tr>
        <w:tc>
          <w:tcPr>
            <w:tcW w:type="dxa" w:w="2493"/>
          </w:tcPr>
          <w:p>
            <w:r>
              <w:rPr>
                <w:sz w:val="14"/>
              </w:rPr>
              <w:t>Wait weight and rule</w:t>
            </w:r>
          </w:p>
        </w:tc>
        <w:tc>
          <w:tcPr>
            <w:tcW w:type="dxa" w:w="2493"/>
          </w:tcPr>
          <w:p>
            <w:r>
              <w:rPr>
                <w:sz w:val="14"/>
              </w:rPr>
              <w:t>2.0; wait = half the headway, capped at 10 min</w:t>
            </w:r>
          </w:p>
        </w:tc>
        <w:tc>
          <w:tcPr>
            <w:tcW w:type="dxa" w:w="2493"/>
          </w:tcPr>
          <w:p>
            <w:r>
              <w:rPr>
                <w:sz w:val="14"/>
              </w:rPr>
              <w:t>studies ≈ 1.5; guidance 1.4–2.5; models 1.5 or 2.0; half the headway everywhere</w:t>
            </w:r>
          </w:p>
        </w:tc>
        <w:tc>
          <w:tcPr>
            <w:tcW w:type="dxa" w:w="2493"/>
          </w:tcPr>
          <w:p>
            <w:r>
              <w:rPr>
                <w:sz w:val="14"/>
              </w:rPr>
              <w:t>2.0 kept. At the LRT's 5-minute headway the 2.5-minute wait is if anything high: many riders time their arrival.</w:t>
            </w:r>
          </w:p>
        </w:tc>
      </w:tr>
      <w:tr>
        <w:tc>
          <w:tcPr>
            <w:tcW w:type="dxa" w:w="2493"/>
          </w:tcPr>
          <w:p>
            <w:r>
              <w:rPr>
                <w:sz w:val="14"/>
              </w:rPr>
              <w:t>Transfer penalty, bus ↔ LRT and bus ↔ bus</w:t>
            </w:r>
          </w:p>
        </w:tc>
        <w:tc>
          <w:tcPr>
            <w:tcW w:type="dxa" w:w="2493"/>
          </w:tcPr>
          <w:p>
            <w:r>
              <w:rPr>
                <w:sz w:val="14"/>
              </w:rPr>
              <w:t>8 felt minutes</w:t>
            </w:r>
          </w:p>
        </w:tc>
        <w:tc>
          <w:tcPr>
            <w:tcW w:type="dxa" w:w="2493"/>
          </w:tcPr>
          <w:p>
            <w:r>
              <w:rPr>
                <w:sz w:val="14"/>
              </w:rPr>
              <w:t>studies 5–10 (up to 20 for bus–bus); guidance 5–10; models ≈ 10</w:t>
            </w:r>
          </w:p>
        </w:tc>
        <w:tc>
          <w:tcPr>
            <w:tcW w:type="dxa" w:w="2493"/>
          </w:tcPr>
          <w:p>
            <w:r>
              <w:rPr>
                <w:sz w:val="14"/>
              </w:rPr>
              <w:t>8 kept; inside every range; moves the capture by under 1 %.</w:t>
            </w:r>
          </w:p>
        </w:tc>
      </w:tr>
      <w:tr>
        <w:tc>
          <w:tcPr>
            <w:tcW w:type="dxa" w:w="2493"/>
          </w:tcPr>
          <w:p>
            <w:r>
              <w:rPr>
                <w:sz w:val="14"/>
              </w:rPr>
              <w:t>Transfer penalty, Metronit ↔ LRT</w:t>
            </w:r>
          </w:p>
        </w:tc>
        <w:tc>
          <w:tcPr>
            <w:tcW w:type="dxa" w:w="2493"/>
          </w:tcPr>
          <w:p>
            <w:r>
              <w:rPr>
                <w:sz w:val="14"/>
              </w:rPr>
              <w:t>4 felt minutes (was 0 until 5 October 2026)</w:t>
            </w:r>
          </w:p>
        </w:tc>
        <w:tc>
          <w:tcPr>
            <w:tcW w:type="dxa" w:w="2493"/>
          </w:tcPr>
          <w:p>
            <w:r>
              <w:rPr>
                <w:sz w:val="14"/>
              </w:rPr>
              <w:t>same-platform or cross-platform interchange ≈ 4–5; with a level change ≈ 7; no study of a BRT–LRT interchange exists</w:t>
            </w:r>
          </w:p>
        </w:tc>
        <w:tc>
          <w:tcPr>
            <w:tcW w:type="dxa" w:w="2493"/>
          </w:tcPr>
          <w:p>
            <w:r>
              <w:rPr>
                <w:sz w:val="14"/>
              </w:rPr>
              <w:t>A free transfer was below every value found; 4 adopted as the same-platform median. Each minute here matters: the Krayot market reaches the LRT by Metronit.</w:t>
            </w:r>
          </w:p>
        </w:tc>
      </w:tr>
      <w:tr>
        <w:tc>
          <w:tcPr>
            <w:tcW w:type="dxa" w:w="2493"/>
          </w:tcPr>
          <w:p>
            <w:r>
              <w:rPr>
                <w:sz w:val="14"/>
              </w:rPr>
              <w:t>Station access time</w:t>
            </w:r>
          </w:p>
        </w:tc>
        <w:tc>
          <w:tcPr>
            <w:tcW w:type="dxa" w:w="2493"/>
          </w:tcPr>
          <w:p>
            <w:r>
              <w:rPr>
                <w:sz w:val="14"/>
              </w:rPr>
              <w:t>0.5 min per station end (was 0)</w:t>
            </w:r>
          </w:p>
        </w:tc>
        <w:tc>
          <w:tcPr>
            <w:tcW w:type="dxa" w:w="2493"/>
          </w:tcPr>
          <w:p>
            <w:r>
              <w:rPr>
                <w:sz w:val="14"/>
              </w:rPr>
              <w:t>physical 1–3 min per end for an underground station; practice 0.5 min per level (FTA STOPS), 2 min rail boarding (Sound Transit)</w:t>
            </w:r>
          </w:p>
        </w:tc>
        <w:tc>
          <w:tcPr>
            <w:tcW w:type="dxa" w:w="2493"/>
          </w:tcPr>
          <w:p>
            <w:r>
              <w:rPr>
                <w:sz w:val="14"/>
              </w:rPr>
              <w:t>0.5 adopted for surface stations (nothing underground is planned); the 1.5-minute underground test cost 23 % of the riders in the 2022 test.</w:t>
            </w:r>
          </w:p>
        </w:tc>
      </w:tr>
      <w:tr>
        <w:tc>
          <w:tcPr>
            <w:tcW w:type="dxa" w:w="2493"/>
          </w:tcPr>
          <w:p>
            <w:r>
              <w:rPr>
                <w:sz w:val="14"/>
              </w:rPr>
              <w:t>LRT-specific walk weight</w:t>
            </w:r>
          </w:p>
        </w:tc>
        <w:tc>
          <w:tcPr>
            <w:tcW w:type="dxa" w:w="2493"/>
          </w:tcPr>
          <w:p>
            <w:r>
              <w:rPr>
                <w:sz w:val="14"/>
              </w:rPr>
              <w:t>none (same as bus)</w:t>
            </w:r>
          </w:p>
        </w:tc>
        <w:tc>
          <w:tcPr>
            <w:tcW w:type="dxa" w:w="2493"/>
          </w:tcPr>
          <w:p>
            <w:r>
              <w:rPr>
                <w:sz w:val="14"/>
              </w:rPr>
              <w:t>one unverified summary suggests rail access walks are valued less; none of the ten models does this</w:t>
            </w:r>
          </w:p>
        </w:tc>
        <w:tc>
          <w:tcPr>
            <w:tcW w:type="dxa" w:w="2493"/>
          </w:tcPr>
          <w:p>
            <w:r>
              <w:rPr>
                <w:sz w:val="14"/>
              </w:rPr>
              <w:t>Not used. The preference for rail is carried by the LRT premium instead.</w:t>
            </w:r>
          </w:p>
        </w:tc>
      </w:tr>
      <w:tr>
        <w:tc>
          <w:tcPr>
            <w:tcW w:type="dxa" w:w="2493"/>
          </w:tcPr>
          <w:p>
            <w:r>
              <w:rPr>
                <w:sz w:val="14"/>
              </w:rPr>
              <w:t>Walking speed and detour</w:t>
            </w:r>
          </w:p>
        </w:tc>
        <w:tc>
          <w:tcPr>
            <w:tcW w:type="dxa" w:w="2493"/>
          </w:tcPr>
          <w:p>
            <w:r>
              <w:rPr>
                <w:sz w:val="14"/>
              </w:rPr>
              <w:t>4.0 km/h, straight line × 1.3 (was 4.8 km/h)</w:t>
            </w:r>
          </w:p>
        </w:tc>
        <w:tc>
          <w:tcPr>
            <w:tcW w:type="dxa" w:w="2493"/>
          </w:tcPr>
          <w:p>
            <w:r>
              <w:rPr>
                <w:sz w:val="14"/>
              </w:rPr>
              <w:t>level walking 1.2–1.4 m/s; models 4.5–4.8 km/h; Israeli national model reportedly 4 km/h</w:t>
            </w:r>
          </w:p>
        </w:tc>
        <w:tc>
          <w:tcPr>
            <w:tcW w:type="dxa" w:w="2493"/>
          </w:tcPr>
          <w:p>
            <w:r>
              <w:rPr>
                <w:sz w:val="14"/>
              </w:rPr>
              <w:t>4.0 km/h adopted on 5 October 2026 as the Israeli convention; slope-aware walk times remain an open item.</w:t>
            </w:r>
          </w:p>
        </w:tc>
      </w:tr>
      <w:tr>
        <w:tc>
          <w:tcPr>
            <w:tcW w:type="dxa" w:w="2493"/>
          </w:tcPr>
          <w:p>
            <w:r>
              <w:rPr>
                <w:sz w:val="14"/>
              </w:rPr>
              <w:t>LRT premium</w:t>
            </w:r>
          </w:p>
        </w:tc>
        <w:tc>
          <w:tcPr>
            <w:tcW w:type="dxa" w:w="2493"/>
          </w:tcPr>
          <w:p>
            <w:r>
              <w:rPr>
                <w:sz w:val="14"/>
              </w:rPr>
              <w:t>5 felt minutes over a bus path, 2.5 over a Metronit path</w:t>
            </w:r>
          </w:p>
        </w:tc>
        <w:tc>
          <w:tcPr>
            <w:tcW w:type="dxa" w:w="2493"/>
          </w:tcPr>
          <w:p>
            <w:r>
              <w:rPr>
                <w:sz w:val="14"/>
              </w:rPr>
              <w:t>calibrated models value in-vehicle time on LRT at 0.80–0.85 of bus time and on BRT at 0.90–0.95</w:t>
            </w:r>
          </w:p>
        </w:tc>
        <w:tc>
          <w:tcPr>
            <w:tcW w:type="dxa" w:w="2493"/>
          </w:tcPr>
          <w:p>
            <w:r>
              <w:rPr>
                <w:sz w:val="14"/>
              </w:rPr>
              <w:t>A 0.15 gap on the trunk's 14 minutes of riding ≈ 5 minutes; a 0.05–0.10 gap ≈ 1.7–3.3, taken as 2.5.</w:t>
            </w:r>
          </w:p>
        </w:tc>
      </w:tr>
    </w:tbl>
    <w:p>
      <w:r>
        <w:rPr>
          <w:i/>
          <w:sz w:val="16"/>
        </w:rPr>
        <w:t>Table B.1 — The out-of-vehicle parameters: the study's values against the evidence. Full detail per parameter in Output/ovt_research/parameter_summary.csv.</w:t>
      </w:r>
    </w:p>
    <w:p>
      <w:pPr>
        <w:pStyle w:val="Heading2"/>
      </w:pPr>
      <w:r>
        <w:t>B.4 How much the weights move the result</w:t>
      </w:r>
    </w:p>
    <w:p>
      <w:r>
        <w:t>The whole chain was rerun on nine parameter sets in the 2022 test case of step 31 (the extension alone, 25 areas, 4,254 LRT trips in the morning three hours with the weights of the time). The sets span from the evidence-side values, which favour the LRT, to the upper end of the Israeli guidance range with a deep underground station and a level-change interchange, which do not.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parameter set</w:t>
            </w:r>
          </w:p>
        </w:tc>
        <w:tc>
          <w:tcPr>
            <w:tcW w:type="dxa" w:w="2493"/>
          </w:tcPr>
          <w:p>
            <w:r>
              <w:rPr>
                <w:b/>
                <w:sz w:val="16"/>
              </w:rPr>
              <w:t>LRT trips, 2022 test</w:t>
            </w:r>
          </w:p>
        </w:tc>
        <w:tc>
          <w:tcPr>
            <w:tcW w:type="dxa" w:w="2493"/>
          </w:tcPr>
          <w:p>
            <w:r>
              <w:rPr>
                <w:b/>
                <w:sz w:val="16"/>
              </w:rPr>
              <w:t>against 4,254</w:t>
            </w:r>
          </w:p>
        </w:tc>
        <w:tc>
          <w:tcPr>
            <w:tcW w:type="dxa" w:w="2493"/>
          </w:tcPr>
          <w:p>
            <w:r>
              <w:rPr>
                <w:b/>
                <w:sz w:val="16"/>
              </w:rPr>
              <w:t>what drives it</w:t>
            </w:r>
          </w:p>
        </w:tc>
      </w:tr>
      <w:tr>
        <w:tc>
          <w:tcPr>
            <w:tcW w:type="dxa" w:w="2493"/>
          </w:tcPr>
          <w:p>
            <w:r>
              <w:rPr>
                <w:sz w:val="16"/>
              </w:rPr>
              <w:t>Evidence medians (walk 1.5, wait 1.5)</w:t>
            </w:r>
          </w:p>
        </w:tc>
        <w:tc>
          <w:tcPr>
            <w:tcW w:type="dxa" w:w="2493"/>
          </w:tcPr>
          <w:p>
            <w:r>
              <w:rPr>
                <w:sz w:val="16"/>
              </w:rPr>
              <w:t>4,935</w:t>
            </w:r>
          </w:p>
        </w:tc>
        <w:tc>
          <w:tcPr>
            <w:tcW w:type="dxa" w:w="2493"/>
          </w:tcPr>
          <w:p>
            <w:r>
              <w:rPr>
                <w:sz w:val="16"/>
              </w:rPr>
              <w:t>+16 %</w:t>
            </w:r>
          </w:p>
        </w:tc>
        <w:tc>
          <w:tcPr>
            <w:tcW w:type="dxa" w:w="2493"/>
          </w:tcPr>
          <w:p>
            <w:r>
              <w:rPr>
                <w:sz w:val="16"/>
              </w:rPr>
              <w:t>lower weights shorten the LRT's felt walk more than the bus's</w:t>
            </w:r>
          </w:p>
        </w:tc>
      </w:tr>
      <w:tr>
        <w:tc>
          <w:tcPr>
            <w:tcW w:type="dxa" w:w="2493"/>
          </w:tcPr>
          <w:p>
            <w:r>
              <w:rPr>
                <w:sz w:val="16"/>
              </w:rPr>
              <w:t>Today's weights (walk 2, wait 2, transfer 8), no Metronit penalty, no station access</w:t>
            </w:r>
          </w:p>
        </w:tc>
        <w:tc>
          <w:tcPr>
            <w:tcW w:type="dxa" w:w="2493"/>
          </w:tcPr>
          <w:p>
            <w:r>
              <w:rPr>
                <w:sz w:val="16"/>
              </w:rPr>
              <w:t>4,254</w:t>
            </w:r>
          </w:p>
        </w:tc>
        <w:tc>
          <w:tcPr>
            <w:tcW w:type="dxa" w:w="2493"/>
          </w:tcPr>
          <w:p>
            <w:r>
              <w:rPr>
                <w:sz w:val="16"/>
              </w:rPr>
              <w:t>central of the test</w:t>
            </w:r>
          </w:p>
        </w:tc>
        <w:tc>
          <w:tcPr>
            <w:tcW w:type="dxa" w:w="2493"/>
          </w:tcPr>
          <w:p>
            <w:r>
              <w:rPr>
                <w:sz w:val="16"/>
              </w:rPr>
              <w:t>the model before 5 October 2026</w:t>
            </w:r>
          </w:p>
        </w:tc>
      </w:tr>
      <w:tr>
        <w:tc>
          <w:tcPr>
            <w:tcW w:type="dxa" w:w="2493"/>
          </w:tcPr>
          <w:p>
            <w:r>
              <w:rPr>
                <w:sz w:val="16"/>
              </w:rPr>
              <w:t>… plus a 4-minute Metronit ↔ LRT penalty</w:t>
            </w:r>
          </w:p>
        </w:tc>
        <w:tc>
          <w:tcPr>
            <w:tcW w:type="dxa" w:w="2493"/>
          </w:tcPr>
          <w:p>
            <w:r>
              <w:rPr>
                <w:sz w:val="16"/>
              </w:rPr>
              <w:t>3,837</w:t>
            </w:r>
          </w:p>
        </w:tc>
        <w:tc>
          <w:tcPr>
            <w:tcW w:type="dxa" w:w="2493"/>
          </w:tcPr>
          <w:p>
            <w:r>
              <w:rPr>
                <w:sz w:val="16"/>
              </w:rPr>
              <w:t>−10 %</w:t>
            </w:r>
          </w:p>
        </w:tc>
        <w:tc>
          <w:tcPr>
            <w:tcW w:type="dxa" w:w="2493"/>
          </w:tcPr>
          <w:p>
            <w:r>
              <w:rPr>
                <w:sz w:val="16"/>
              </w:rPr>
              <w:t>the Metronit-fed trips pay for the change of vehicle</w:t>
            </w:r>
          </w:p>
        </w:tc>
      </w:tr>
      <w:tr>
        <w:tc>
          <w:tcPr>
            <w:tcW w:type="dxa" w:w="2493"/>
          </w:tcPr>
          <w:p>
            <w:r>
              <w:rPr>
                <w:sz w:val="16"/>
              </w:rPr>
              <w:t>… plus 1.5 min access per underground station end instead</w:t>
            </w:r>
          </w:p>
        </w:tc>
        <w:tc>
          <w:tcPr>
            <w:tcW w:type="dxa" w:w="2493"/>
          </w:tcPr>
          <w:p>
            <w:r>
              <w:rPr>
                <w:sz w:val="16"/>
              </w:rPr>
              <w:t>3,257</w:t>
            </w:r>
          </w:p>
        </w:tc>
        <w:tc>
          <w:tcPr>
            <w:tcW w:type="dxa" w:w="2493"/>
          </w:tcPr>
          <w:p>
            <w:r>
              <w:rPr>
                <w:sz w:val="16"/>
              </w:rPr>
              <w:t>−23 %</w:t>
            </w:r>
          </w:p>
        </w:tc>
        <w:tc>
          <w:tcPr>
            <w:tcW w:type="dxa" w:w="2493"/>
          </w:tcPr>
          <w:p>
            <w:r>
              <w:rPr>
                <w:sz w:val="16"/>
              </w:rPr>
              <w:t>the largest single item; the adopted 0.5 min at surface stations is a third of it</w:t>
            </w:r>
          </w:p>
        </w:tc>
      </w:tr>
      <w:tr>
        <w:tc>
          <w:tcPr>
            <w:tcW w:type="dxa" w:w="2493"/>
          </w:tcPr>
          <w:p>
            <w:r>
              <w:rPr>
                <w:sz w:val="16"/>
              </w:rPr>
              <w:t>… plus both terms</w:t>
            </w:r>
          </w:p>
        </w:tc>
        <w:tc>
          <w:tcPr>
            <w:tcW w:type="dxa" w:w="2493"/>
          </w:tcPr>
          <w:p>
            <w:r>
              <w:rPr>
                <w:sz w:val="16"/>
              </w:rPr>
              <w:t>2,922</w:t>
            </w:r>
          </w:p>
        </w:tc>
        <w:tc>
          <w:tcPr>
            <w:tcW w:type="dxa" w:w="2493"/>
          </w:tcPr>
          <w:p>
            <w:r>
              <w:rPr>
                <w:sz w:val="16"/>
              </w:rPr>
              <w:t>−31 %</w:t>
            </w:r>
          </w:p>
        </w:tc>
        <w:tc>
          <w:tcPr>
            <w:tcW w:type="dxa" w:w="2493"/>
          </w:tcPr>
          <w:p>
            <w:r>
              <w:rPr>
                <w:sz w:val="16"/>
              </w:rPr>
              <w:t>the "today's weights with the two missing terms" case</w:t>
            </w:r>
          </w:p>
        </w:tc>
      </w:tr>
      <w:tr>
        <w:tc>
          <w:tcPr>
            <w:tcW w:type="dxa" w:w="2493"/>
          </w:tcPr>
          <w:p>
            <w:r>
              <w:rPr>
                <w:sz w:val="16"/>
              </w:rPr>
              <w:t>Guidance upper range (walk 2.5, wait 2.5, transfer 10, Metronit 7, access 3)</w:t>
            </w:r>
          </w:p>
        </w:tc>
        <w:tc>
          <w:tcPr>
            <w:tcW w:type="dxa" w:w="2493"/>
          </w:tcPr>
          <w:p>
            <w:r>
              <w:rPr>
                <w:sz w:val="16"/>
              </w:rPr>
              <w:t>1,456</w:t>
            </w:r>
          </w:p>
        </w:tc>
        <w:tc>
          <w:tcPr>
            <w:tcW w:type="dxa" w:w="2493"/>
          </w:tcPr>
          <w:p>
            <w:r>
              <w:rPr>
                <w:sz w:val="16"/>
              </w:rPr>
              <w:t>−66 %</w:t>
            </w:r>
          </w:p>
        </w:tc>
        <w:tc>
          <w:tcPr>
            <w:tcW w:type="dxa" w:w="2493"/>
          </w:tcPr>
          <w:p>
            <w:r>
              <w:rPr>
                <w:sz w:val="16"/>
              </w:rPr>
              <w:t>the LRT-unfavourable bound</w:t>
            </w:r>
          </w:p>
        </w:tc>
      </w:tr>
    </w:tbl>
    <w:p>
      <w:r>
        <w:rPr>
          <w:i/>
          <w:sz w:val="16"/>
        </w:rPr>
        <w:t>Table B.2 — The chain rerun on the out-of-vehicle parameter sets (step 31 chain, 2022, 25 areas, all-underground times). Source: Output/ovt_research/chain_results.csv. The report's reference case already carries the 4-minute Metronit penalty and the 0.5-minute access, so it sits between the second and the fifth row of this table.</w:t>
      </w:r>
    </w:p>
    <w:p>
      <w:r>
        <w:drawing>
          <wp:inline xmlns:a="http://schemas.openxmlformats.org/drawingml/2006/main" xmlns:pic="http://schemas.openxmlformats.org/drawingml/2006/picture">
            <wp:extent cx="5040000" cy="2520000"/>
            <wp:docPr id="107" name="Picture 107"/>
            <wp:cNvGraphicFramePr>
              <a:graphicFrameLocks noChangeAspect="1"/>
            </wp:cNvGraphicFramePr>
            <a:graphic>
              <a:graphicData uri="http://schemas.openxmlformats.org/drawingml/2006/picture">
                <pic:pic>
                  <pic:nvPicPr>
                    <pic:cNvPr id="0" name="lrt_capture_tornado.png"/>
                    <pic:cNvPicPr/>
                  </pic:nvPicPr>
                  <pic:blipFill>
                    <a:blip r:embed="rId16"/>
                    <a:stretch>
                      <a:fillRect/>
                    </a:stretch>
                  </pic:blipFill>
                  <pic:spPr>
                    <a:xfrm>
                      <a:off x="0" y="0"/>
                      <a:ext cx="5040000" cy="2520000"/>
                    </a:xfrm>
                    <a:prstGeom prst="rect"/>
                  </pic:spPr>
                </pic:pic>
              </a:graphicData>
            </a:graphic>
          </wp:inline>
        </w:drawing>
      </w:r>
    </w:p>
    <w:p>
      <w:r>
        <w:rPr>
          <w:i/>
          <w:sz w:val="16"/>
        </w:rPr>
        <w:t>Figure B.1 — Which assumption moves the 2022 LRT number most (step 40): the out-of-vehicle set is the widest factor, ahead of the cost sensitivity and the running regime.</w:t>
      </w:r>
    </w:p>
    <w:p>
      <w:r>
        <w:t>Two readings follow. The weights pull in both directions: the evidence favours lower weights, which help the LRT, and at the same time two terms the model had set to zero (the Metronit interchange and station access) are below every value found, which hurts it. And the cost sensitivity λ is robust to all of it: re-estimated on each set it stays at 0.030–0.036, so the weights change the cost differences themselves, not how travellers respond to them.</w:t>
      </w:r>
    </w:p>
    <w:p>
      <w:pPr>
        <w:pStyle w:val="Heading2"/>
      </w:pPr>
      <w:r>
        <w:t>B.5 What the study decided, and what is still open</w:t>
      </w:r>
    </w:p>
    <w:p>
      <w:pPr>
        <w:pStyle w:val="ListBullet"/>
      </w:pPr>
      <w:r>
        <w:t>Central case: walk 2.0, wait 2.0, transfer 8, Metronit ↔ LRT 4, station access 0.5 per end, walking 4.0 km/h, premium 5 / 2.5. The weights are the practice median and inside every guidance range; the two new terms enter at their lower medians because no underground station is planned.</w:t>
      </w:r>
    </w:p>
    <w:p>
      <w:pPr>
        <w:pStyle w:val="ListBullet"/>
      </w:pPr>
      <w:r>
        <w:t>Carried as sensitivities: the evidence-side weights (walk and wait 1.5) and the guidance-side weights (2.5, transfer 10); the station-access and interchange terms up to their upper values.</w:t>
      </w:r>
    </w:p>
    <w:p>
      <w:pPr>
        <w:pStyle w:val="ListBullet"/>
      </w:pPr>
      <w:r>
        <w:t>Open, in order of value: reading the Israeli documents in full (an independent review attributes walk and wait 2.0, 4 km/h and transfer penalties of 12 bus–bus, 6 bus–rail and 3 rail–rail to the 2021 edition of נוהל פר"ת, unverified here); the station and interchange design (depth, escalators, whether the Metronit interchange is same-platform); slope-aware walking times for Haifa; and the policy decision of whether the guidance range or the evidence median governs the central case.</w:t>
      </w:r>
    </w:p>
    <w:p>
      <w:r>
        <w:rPr>
          <w:i/>
          <w:sz w:val="16"/>
        </w:rPr>
        <w:t>Sources: docs/OVT_WEIGHTS_PARAMETER_MEMO.md and docs/OVT_REPORTS_COMPARISON_2026-10-04.md; METHODOLOGY.md §6al and §6aq; Output/ovt_research/evidence_table.csv, parameter_summary.csv, parameter_sets.csv, chain_results.csv; Output/figures/lrt_capture_tornado.png (step 40).</w:t>
      </w:r>
    </w:p>
    <w:p>
      <w:pPr>
        <w:pStyle w:val="Heading1"/>
      </w:pPr>
      <w:r>
        <w:t>Appendix C. The cost sensitivity λ: what it is, how it is used, with simple examples</w:t>
      </w:r>
    </w:p>
    <w:p>
      <w:r>
        <w:t>What this appendix answers: what the number λ ("lambda") does in the model, why there are two of them, how a cost difference becomes a number of riders, how λ was estimated from the survey, and why the result is reported as a range. Section 2.5 of the report gives the short version; this appendix walks through the arithmetic.</w:t>
      </w:r>
    </w:p>
    <w:p>
      <w:pPr>
        <w:pStyle w:val="Heading2"/>
      </w:pPr>
      <w:r>
        <w:t>C.1 The idea in one sentence</w:t>
      </w:r>
    </w:p>
    <w:p>
      <w:r>
        <w:t>The model does not decide for each traveller. It turns a difference in felt minutes between two options into the share of travellers who pick each one, with a smooth curve: equal costs give an even split, a small advantage a small majority, a large advantage a large majority, never 100 %. λ is the steepness of that curve.</w:t>
      </w:r>
    </w:p>
    <w:p>
      <w:pPr>
        <w:ind w:left="360"/>
      </w:pPr>
      <w:r>
        <w:rPr>
          <w:b/>
        </w:rPr>
        <w:t>Share choosing option A = 1 / (1 + e^(λ × (cost of A − cost of B)))</w:t>
      </w:r>
    </w:p>
    <w:p>
      <w:r>
        <w:t>With λ = 0.03 per felt minute, each minute of advantage changes the odds between the two options by about 3 %; ten minutes change them by about 35 %. A large λ means travellers react strongly to small cost differences; a small λ means habit, availability and things the cost does not capture dominate.</w:t>
      </w:r>
    </w:p>
    <w:p>
      <w:pPr>
        <w:pStyle w:val="Heading2"/>
      </w:pPr>
      <w:r>
        <w:t>C.2 Why there are two λ's</w:t>
      </w:r>
    </w:p>
    <w:p>
      <w:pPr>
        <w:pStyle w:val="ListBullet"/>
      </w:pPr>
      <w:r>
        <w:t>λ_T = 0.06 inside public transport: on a pair of zones that already has a bus or Metronit path, the LRT path competes with it. The two options are alike (both are transit, same fare), so travellers are sensitive to the minutes between them.</w:t>
      </w:r>
    </w:p>
    <w:p>
      <w:pPr>
        <w:pStyle w:val="ListBullet"/>
      </w:pPr>
      <w:r>
        <w:t>λ = 0.03 between the car and public transport: when the LRT is added, the public transport "bundle" as a whole gets better, and some car trips move to it. A car owner weighing a car against any transit option responds to cost about half as strongly as a transit rider choosing between two transit paths.</w:t>
      </w:r>
    </w:p>
    <w:p>
      <w:pPr>
        <w:pStyle w:val="ListBullet"/>
      </w:pPr>
      <w:r>
        <w:t>The ratio λ_T = 2 λ is a standard nesting value, assumed rather than estimated on this corridor. The data support the size of the pooled λ (C.5); the ratio is a modelling convention.</w:t>
      </w:r>
    </w:p>
    <w:p>
      <w:pPr>
        <w:pStyle w:val="Heading2"/>
      </w:pPr>
      <w:r>
        <w:t>C.3 Example 1: the LRT against the bus on one pair</w:t>
      </w:r>
    </w:p>
    <w:p>
      <w:r>
        <w:t>Take the worked example of section 2.4: from Kiryat Haim to Bat Galim the bus trip feels like 58 minutes and the LRT trip like 48, a 10-minute advantage for the LRT (the 5-minute premium included). With λ_T = 0.06 the LRT takes 1 / (1 + e^(−0.06 × 10)) = 65 % of that pair's transit riders. If the pair has 100 transit trips in the morning peak, 65 ride the LRT and 35 stay on the bus.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LRT advantage, felt minutes (negative: the LRT is dearer)</w:t>
            </w:r>
          </w:p>
        </w:tc>
        <w:tc>
          <w:tcPr>
            <w:tcW w:type="dxa" w:w="2493"/>
          </w:tcPr>
          <w:p>
            <w:r>
              <w:rPr>
                <w:b/>
                <w:sz w:val="16"/>
              </w:rPr>
              <w:t>λ_T = 0.03 (λ 0.02)</w:t>
            </w:r>
          </w:p>
        </w:tc>
        <w:tc>
          <w:tcPr>
            <w:tcW w:type="dxa" w:w="2493"/>
          </w:tcPr>
          <w:p>
            <w:r>
              <w:rPr>
                <w:b/>
                <w:sz w:val="16"/>
              </w:rPr>
              <w:t>λ_T = 0.06 (central)</w:t>
            </w:r>
          </w:p>
        </w:tc>
        <w:tc>
          <w:tcPr>
            <w:tcW w:type="dxa" w:w="2493"/>
          </w:tcPr>
          <w:p>
            <w:r>
              <w:rPr>
                <w:b/>
                <w:sz w:val="16"/>
              </w:rPr>
              <w:t>λ_T = 0.10 (λ 0.05)</w:t>
            </w:r>
          </w:p>
        </w:tc>
      </w:tr>
      <w:tr>
        <w:tc>
          <w:tcPr>
            <w:tcW w:type="dxa" w:w="2493"/>
          </w:tcPr>
          <w:p>
            <w:r>
              <w:rPr>
                <w:sz w:val="16"/>
              </w:rPr>
              <w:t>−10</w:t>
            </w:r>
          </w:p>
        </w:tc>
        <w:tc>
          <w:tcPr>
            <w:tcW w:type="dxa" w:w="2493"/>
          </w:tcPr>
          <w:p>
            <w:r>
              <w:rPr>
                <w:sz w:val="16"/>
              </w:rPr>
              <w:t>43 %</w:t>
            </w:r>
          </w:p>
        </w:tc>
        <w:tc>
          <w:tcPr>
            <w:tcW w:type="dxa" w:w="2493"/>
          </w:tcPr>
          <w:p>
            <w:r>
              <w:rPr>
                <w:sz w:val="16"/>
              </w:rPr>
              <w:t>35 %</w:t>
            </w:r>
          </w:p>
        </w:tc>
        <w:tc>
          <w:tcPr>
            <w:tcW w:type="dxa" w:w="2493"/>
          </w:tcPr>
          <w:p>
            <w:r>
              <w:rPr>
                <w:sz w:val="16"/>
              </w:rPr>
              <w:t>27 %</w:t>
            </w:r>
          </w:p>
        </w:tc>
      </w:tr>
      <w:tr>
        <w:tc>
          <w:tcPr>
            <w:tcW w:type="dxa" w:w="2493"/>
          </w:tcPr>
          <w:p>
            <w:r>
              <w:rPr>
                <w:sz w:val="16"/>
              </w:rPr>
              <w:t>−5</w:t>
            </w:r>
          </w:p>
        </w:tc>
        <w:tc>
          <w:tcPr>
            <w:tcW w:type="dxa" w:w="2493"/>
          </w:tcPr>
          <w:p>
            <w:r>
              <w:rPr>
                <w:sz w:val="16"/>
              </w:rPr>
              <w:t>46 %</w:t>
            </w:r>
          </w:p>
        </w:tc>
        <w:tc>
          <w:tcPr>
            <w:tcW w:type="dxa" w:w="2493"/>
          </w:tcPr>
          <w:p>
            <w:r>
              <w:rPr>
                <w:sz w:val="16"/>
              </w:rPr>
              <w:t>43 %</w:t>
            </w:r>
          </w:p>
        </w:tc>
        <w:tc>
          <w:tcPr>
            <w:tcW w:type="dxa" w:w="2493"/>
          </w:tcPr>
          <w:p>
            <w:r>
              <w:rPr>
                <w:sz w:val="16"/>
              </w:rPr>
              <w:t>38 %</w:t>
            </w:r>
          </w:p>
        </w:tc>
      </w:tr>
      <w:tr>
        <w:tc>
          <w:tcPr>
            <w:tcW w:type="dxa" w:w="2493"/>
          </w:tcPr>
          <w:p>
            <w:r>
              <w:rPr>
                <w:sz w:val="16"/>
              </w:rPr>
              <w:t>0</w:t>
            </w:r>
          </w:p>
        </w:tc>
        <w:tc>
          <w:tcPr>
            <w:tcW w:type="dxa" w:w="2493"/>
          </w:tcPr>
          <w:p>
            <w:r>
              <w:rPr>
                <w:sz w:val="16"/>
              </w:rPr>
              <w:t>50 %</w:t>
            </w:r>
          </w:p>
        </w:tc>
        <w:tc>
          <w:tcPr>
            <w:tcW w:type="dxa" w:w="2493"/>
          </w:tcPr>
          <w:p>
            <w:r>
              <w:rPr>
                <w:sz w:val="16"/>
              </w:rPr>
              <w:t>50 %</w:t>
            </w:r>
          </w:p>
        </w:tc>
        <w:tc>
          <w:tcPr>
            <w:tcW w:type="dxa" w:w="2493"/>
          </w:tcPr>
          <w:p>
            <w:r>
              <w:rPr>
                <w:sz w:val="16"/>
              </w:rPr>
              <w:t>50 %</w:t>
            </w:r>
          </w:p>
        </w:tc>
      </w:tr>
      <w:tr>
        <w:tc>
          <w:tcPr>
            <w:tcW w:type="dxa" w:w="2493"/>
          </w:tcPr>
          <w:p>
            <w:r>
              <w:rPr>
                <w:sz w:val="16"/>
              </w:rPr>
              <w:t>+5</w:t>
            </w:r>
          </w:p>
        </w:tc>
        <w:tc>
          <w:tcPr>
            <w:tcW w:type="dxa" w:w="2493"/>
          </w:tcPr>
          <w:p>
            <w:r>
              <w:rPr>
                <w:sz w:val="16"/>
              </w:rPr>
              <w:t>54 %</w:t>
            </w:r>
          </w:p>
        </w:tc>
        <w:tc>
          <w:tcPr>
            <w:tcW w:type="dxa" w:w="2493"/>
          </w:tcPr>
          <w:p>
            <w:r>
              <w:rPr>
                <w:sz w:val="16"/>
              </w:rPr>
              <w:t>57 %</w:t>
            </w:r>
          </w:p>
        </w:tc>
        <w:tc>
          <w:tcPr>
            <w:tcW w:type="dxa" w:w="2493"/>
          </w:tcPr>
          <w:p>
            <w:r>
              <w:rPr>
                <w:sz w:val="16"/>
              </w:rPr>
              <w:t>62 %</w:t>
            </w:r>
          </w:p>
        </w:tc>
      </w:tr>
      <w:tr>
        <w:tc>
          <w:tcPr>
            <w:tcW w:type="dxa" w:w="2493"/>
          </w:tcPr>
          <w:p>
            <w:r>
              <w:rPr>
                <w:sz w:val="16"/>
              </w:rPr>
              <w:t>+10</w:t>
            </w:r>
          </w:p>
        </w:tc>
        <w:tc>
          <w:tcPr>
            <w:tcW w:type="dxa" w:w="2493"/>
          </w:tcPr>
          <w:p>
            <w:r>
              <w:rPr>
                <w:sz w:val="16"/>
              </w:rPr>
              <w:t>57 %</w:t>
            </w:r>
          </w:p>
        </w:tc>
        <w:tc>
          <w:tcPr>
            <w:tcW w:type="dxa" w:w="2493"/>
          </w:tcPr>
          <w:p>
            <w:r>
              <w:rPr>
                <w:sz w:val="16"/>
              </w:rPr>
              <w:t>65 %</w:t>
            </w:r>
          </w:p>
        </w:tc>
        <w:tc>
          <w:tcPr>
            <w:tcW w:type="dxa" w:w="2493"/>
          </w:tcPr>
          <w:p>
            <w:r>
              <w:rPr>
                <w:sz w:val="16"/>
              </w:rPr>
              <w:t>73 %</w:t>
            </w:r>
          </w:p>
        </w:tc>
      </w:tr>
      <w:tr>
        <w:tc>
          <w:tcPr>
            <w:tcW w:type="dxa" w:w="2493"/>
          </w:tcPr>
          <w:p>
            <w:r>
              <w:rPr>
                <w:sz w:val="16"/>
              </w:rPr>
              <w:t>+20</w:t>
            </w:r>
          </w:p>
        </w:tc>
        <w:tc>
          <w:tcPr>
            <w:tcW w:type="dxa" w:w="2493"/>
          </w:tcPr>
          <w:p>
            <w:r>
              <w:rPr>
                <w:sz w:val="16"/>
              </w:rPr>
              <w:t>65 %</w:t>
            </w:r>
          </w:p>
        </w:tc>
        <w:tc>
          <w:tcPr>
            <w:tcW w:type="dxa" w:w="2493"/>
          </w:tcPr>
          <w:p>
            <w:r>
              <w:rPr>
                <w:sz w:val="16"/>
              </w:rPr>
              <w:t>77 %</w:t>
            </w:r>
          </w:p>
        </w:tc>
        <w:tc>
          <w:tcPr>
            <w:tcW w:type="dxa" w:w="2493"/>
          </w:tcPr>
          <w:p>
            <w:r>
              <w:rPr>
                <w:sz w:val="16"/>
              </w:rPr>
              <w:t>88 %</w:t>
            </w:r>
          </w:p>
        </w:tc>
      </w:tr>
      <w:tr>
        <w:tc>
          <w:tcPr>
            <w:tcW w:type="dxa" w:w="2493"/>
          </w:tcPr>
          <w:p>
            <w:r>
              <w:rPr>
                <w:sz w:val="16"/>
              </w:rPr>
              <w:t>+30</w:t>
            </w:r>
          </w:p>
        </w:tc>
        <w:tc>
          <w:tcPr>
            <w:tcW w:type="dxa" w:w="2493"/>
          </w:tcPr>
          <w:p>
            <w:r>
              <w:rPr>
                <w:sz w:val="16"/>
              </w:rPr>
              <w:t>71 %</w:t>
            </w:r>
          </w:p>
        </w:tc>
        <w:tc>
          <w:tcPr>
            <w:tcW w:type="dxa" w:w="2493"/>
          </w:tcPr>
          <w:p>
            <w:r>
              <w:rPr>
                <w:sz w:val="16"/>
              </w:rPr>
              <w:t>86 %</w:t>
            </w:r>
          </w:p>
        </w:tc>
        <w:tc>
          <w:tcPr>
            <w:tcW w:type="dxa" w:w="2493"/>
          </w:tcPr>
          <w:p>
            <w:r>
              <w:rPr>
                <w:sz w:val="16"/>
              </w:rPr>
              <w:t>95 %</w:t>
            </w:r>
          </w:p>
        </w:tc>
      </w:tr>
    </w:tbl>
    <w:p>
      <w:r>
        <w:rPr>
          <w:i/>
          <w:sz w:val="16"/>
        </w:rPr>
        <w:t>Table C.1 — Share of a pair's transit riders choosing the LRT, by its cost advantage and the sensitivity.</w:t>
      </w:r>
    </w:p>
    <w:p>
      <w:pPr>
        <w:pStyle w:val="Heading2"/>
      </w:pPr>
      <w:r>
        <w:t>C.4 Example 2: the car</w:t>
      </w:r>
    </w:p>
    <w:p>
      <w:r>
        <w:t>For the car the model does not compare the car with the LRT directly. It asks how much better the whole public-transport offer became when the LRT path was added, and moves car trips in proportion to that improvement and to the pair's existing transit share. The improvement is the "composite cost" of the logit model:</w:t>
      </w:r>
    </w:p>
    <w:p>
      <w:pPr>
        <w:ind w:left="360"/>
      </w:pPr>
      <w:r>
        <w:rPr>
          <w:b/>
        </w:rPr>
        <w:t>Δ = −(1 / λ_T) × ln(1 + e^(−λ_T × d)),   with d = cost of the LRT path − premium − cost of the bus path</w:t>
      </w:r>
    </w:p>
    <w:p>
      <w:r>
        <w:t>When the LRT path is 10 felt minutes cheaper (d = −10), Δ = −17.3 minutes. When the two are equal, Δ = −11.6. When the LRT path is 10 minutes dearer, Δ = −7.3. The composite cost falls even when the LRT is no better than the bus: this is the standard property of the logit model, which values having two options, and it is one reason the car-to-transit shift is read as an order of magnitude rather than a point estimate.</w:t>
      </w:r>
    </w:p>
    <w:p>
      <w:r>
        <w:t>The new transit share of the pair follows from the old one, S, and Δ:</w:t>
      </w:r>
    </w:p>
    <w:p>
      <w:pPr>
        <w:ind w:left="360"/>
      </w:pPr>
      <w:r>
        <w:rPr>
          <w:b/>
        </w:rPr>
        <w:t>S′ = S × e^(−λΔ) / (S × e^(−λΔ) + 1 − 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transit share of the pair before the LRT</w:t>
            </w:r>
          </w:p>
        </w:tc>
        <w:tc>
          <w:tcPr>
            <w:tcW w:type="dxa" w:w="2493"/>
          </w:tcPr>
          <w:p>
            <w:r>
              <w:rPr>
                <w:b/>
                <w:sz w:val="16"/>
              </w:rPr>
              <w:t>LRT 10 min dearer than the bus path</w:t>
            </w:r>
          </w:p>
        </w:tc>
        <w:tc>
          <w:tcPr>
            <w:tcW w:type="dxa" w:w="2493"/>
          </w:tcPr>
          <w:p>
            <w:r>
              <w:rPr>
                <w:b/>
                <w:sz w:val="16"/>
              </w:rPr>
              <w:t>LRT equal to the bus path</w:t>
            </w:r>
          </w:p>
        </w:tc>
        <w:tc>
          <w:tcPr>
            <w:tcW w:type="dxa" w:w="2493"/>
          </w:tcPr>
          <w:p>
            <w:r>
              <w:rPr>
                <w:b/>
                <w:sz w:val="16"/>
              </w:rPr>
              <w:t>LRT 10 min cheaper</w:t>
            </w:r>
          </w:p>
        </w:tc>
      </w:tr>
      <w:tr>
        <w:tc>
          <w:tcPr>
            <w:tcW w:type="dxa" w:w="2493"/>
          </w:tcPr>
          <w:p>
            <w:r>
              <w:rPr>
                <w:sz w:val="16"/>
              </w:rPr>
              <w:t>2 %</w:t>
            </w:r>
          </w:p>
        </w:tc>
        <w:tc>
          <w:tcPr>
            <w:tcW w:type="dxa" w:w="2493"/>
          </w:tcPr>
          <w:p>
            <w:r>
              <w:rPr>
                <w:sz w:val="16"/>
              </w:rPr>
              <w:t>2.5 % (+0.5 points)</w:t>
            </w:r>
          </w:p>
        </w:tc>
        <w:tc>
          <w:tcPr>
            <w:tcW w:type="dxa" w:w="2493"/>
          </w:tcPr>
          <w:p>
            <w:r>
              <w:rPr>
                <w:sz w:val="16"/>
              </w:rPr>
              <w:t>2.8 % (+0.8 points)</w:t>
            </w:r>
          </w:p>
        </w:tc>
        <w:tc>
          <w:tcPr>
            <w:tcW w:type="dxa" w:w="2493"/>
          </w:tcPr>
          <w:p>
            <w:r>
              <w:rPr>
                <w:sz w:val="16"/>
              </w:rPr>
              <w:t>3.3 % (+1.3 points)</w:t>
            </w:r>
          </w:p>
        </w:tc>
      </w:tr>
      <w:tr>
        <w:tc>
          <w:tcPr>
            <w:tcW w:type="dxa" w:w="2493"/>
          </w:tcPr>
          <w:p>
            <w:r>
              <w:rPr>
                <w:sz w:val="16"/>
              </w:rPr>
              <w:t>5 %</w:t>
            </w:r>
          </w:p>
        </w:tc>
        <w:tc>
          <w:tcPr>
            <w:tcW w:type="dxa" w:w="2493"/>
          </w:tcPr>
          <w:p>
            <w:r>
              <w:rPr>
                <w:sz w:val="16"/>
              </w:rPr>
              <w:t>6.1 % (+1.1 points)</w:t>
            </w:r>
          </w:p>
        </w:tc>
        <w:tc>
          <w:tcPr>
            <w:tcW w:type="dxa" w:w="2493"/>
          </w:tcPr>
          <w:p>
            <w:r>
              <w:rPr>
                <w:sz w:val="16"/>
              </w:rPr>
              <w:t>6.9 % (+1.9 points)</w:t>
            </w:r>
          </w:p>
        </w:tc>
        <w:tc>
          <w:tcPr>
            <w:tcW w:type="dxa" w:w="2493"/>
          </w:tcPr>
          <w:p>
            <w:r>
              <w:rPr>
                <w:sz w:val="16"/>
              </w:rPr>
              <w:t>8.1 % (+3.1 points)</w:t>
            </w:r>
          </w:p>
        </w:tc>
      </w:tr>
      <w:tr>
        <w:tc>
          <w:tcPr>
            <w:tcW w:type="dxa" w:w="2493"/>
          </w:tcPr>
          <w:p>
            <w:r>
              <w:rPr>
                <w:sz w:val="16"/>
              </w:rPr>
              <w:t>20 %</w:t>
            </w:r>
          </w:p>
        </w:tc>
        <w:tc>
          <w:tcPr>
            <w:tcW w:type="dxa" w:w="2493"/>
          </w:tcPr>
          <w:p>
            <w:r>
              <w:rPr>
                <w:sz w:val="16"/>
              </w:rPr>
              <w:t>23.7 % (+3.7 points)</w:t>
            </w:r>
          </w:p>
        </w:tc>
        <w:tc>
          <w:tcPr>
            <w:tcW w:type="dxa" w:w="2493"/>
          </w:tcPr>
          <w:p>
            <w:r>
              <w:rPr>
                <w:sz w:val="16"/>
              </w:rPr>
              <w:t>26.1 % (+6.1 points)</w:t>
            </w:r>
          </w:p>
        </w:tc>
        <w:tc>
          <w:tcPr>
            <w:tcW w:type="dxa" w:w="2493"/>
          </w:tcPr>
          <w:p>
            <w:r>
              <w:rPr>
                <w:sz w:val="16"/>
              </w:rPr>
              <w:t>29.6 % (+9.6 points)</w:t>
            </w:r>
          </w:p>
        </w:tc>
      </w:tr>
    </w:tbl>
    <w:p>
      <w:r>
        <w:rPr>
          <w:i/>
          <w:sz w:val="16"/>
        </w:rPr>
        <w:t>Table C.2 — New transit share of a pair after the LRT, λ = 0.03. The shift is largest where transit already has a foothold; on the car-dominated pairs (2 % transit, the car-available segment of C.5) it is a fraction of a point. The corridor-wide result, 0.9 % of car trips, is the sum of such small shifts.</w:t>
      </w:r>
    </w:p>
    <w:p>
      <w:r>
        <w:drawing>
          <wp:inline xmlns:a="http://schemas.openxmlformats.org/drawingml/2006/main" xmlns:pic="http://schemas.openxmlformats.org/drawingml/2006/picture">
            <wp:extent cx="5760000" cy="2331429"/>
            <wp:docPr id="108" name="Picture 108"/>
            <wp:cNvGraphicFramePr>
              <a:graphicFrameLocks noChangeAspect="1"/>
            </wp:cNvGraphicFramePr>
            <a:graphic>
              <a:graphicData uri="http://schemas.openxmlformats.org/drawingml/2006/picture">
                <pic:pic>
                  <pic:nvPicPr>
                    <pic:cNvPr id="0" name="appC_logit_mechanisms.png"/>
                    <pic:cNvPicPr/>
                  </pic:nvPicPr>
                  <pic:blipFill>
                    <a:blip r:embed="rId115"/>
                    <a:stretch>
                      <a:fillRect/>
                    </a:stretch>
                  </pic:blipFill>
                  <pic:spPr>
                    <a:xfrm>
                      <a:off x="0" y="0"/>
                      <a:ext cx="5760000" cy="2331429"/>
                    </a:xfrm>
                    <a:prstGeom prst="rect"/>
                  </pic:spPr>
                </pic:pic>
              </a:graphicData>
            </a:graphic>
          </wp:inline>
        </w:drawing>
      </w:r>
    </w:p>
    <w:p>
      <w:r>
        <w:rPr>
          <w:i/>
          <w:sz w:val="16"/>
        </w:rPr>
        <w:t>Figure C.1 — The two mechanisms. Left: the LRT's share of a pair's transit riders against its cost advantage, for the three sensitivities carried. Right: the points added to a pair's transit share by the car-to-transit shift, against its share before the LRT.</w:t>
      </w:r>
    </w:p>
    <w:p>
      <w:r>
        <w:t>One more rule connects the two examples: the pair's observed 2022 share is smoothed towards the share of the wider area it belongs to before the pivot (weight k = 20 trips), so a pair with three surveyed trips does not swing the result. Because the model pivots on observed shares, removing the LRT returns the 2022 flows exactly.</w:t>
      </w:r>
    </w:p>
    <w:p>
      <w:pPr>
        <w:pStyle w:val="Heading2"/>
      </w:pPr>
      <w:r>
        <w:t>C.5 How λ was estimated</w:t>
      </w:r>
    </w:p>
    <w:p>
      <w:r>
        <w:t>The obvious route failed. A fit of each area pair's 2022 transit share on the cost difference between bus and car (597 pairs, 70,000 trips) returns λ with the wrong sign: the pairs where transit is cheapest relative to the car are the pairs whose residents own few cars, so the share follows who lives there, not the minutes. A pair-level fit cannot separate the two.</w:t>
      </w:r>
    </w:p>
    <w:p>
      <w:r>
        <w:t>The remedy was to go to the individual survey records (2,310 morning trips of 543 households within the corridor areas) and hold car availability constant: no car in the household, no licence, more licences than cars, or a car per driver; also the purpose of the trip, age, gender, sector and the distance band. Within a group of people with the same access to a car, those facing a smaller transit cost choose transit more often, and that slope is λ.</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4"/>
              </w:rPr>
              <w:t>model</w:t>
            </w:r>
          </w:p>
        </w:tc>
        <w:tc>
          <w:tcPr>
            <w:tcW w:type="dxa" w:w="1246"/>
          </w:tcPr>
          <w:p>
            <w:r>
              <w:rPr>
                <w:b/>
                <w:sz w:val="14"/>
              </w:rPr>
              <w:t>λ per felt minute</w:t>
            </w:r>
          </w:p>
        </w:tc>
        <w:tc>
          <w:tcPr>
            <w:tcW w:type="dxa" w:w="1246"/>
          </w:tcPr>
          <w:p>
            <w:r>
              <w:rPr>
                <w:b/>
                <w:sz w:val="14"/>
              </w:rPr>
              <w:t>95 % low</w:t>
            </w:r>
          </w:p>
        </w:tc>
        <w:tc>
          <w:tcPr>
            <w:tcW w:type="dxa" w:w="1246"/>
          </w:tcPr>
          <w:p>
            <w:r>
              <w:rPr>
                <w:b/>
                <w:sz w:val="14"/>
              </w:rPr>
              <w:t>95 % high</w:t>
            </w:r>
          </w:p>
        </w:tc>
        <w:tc>
          <w:tcPr>
            <w:tcW w:type="dxa" w:w="1246"/>
          </w:tcPr>
          <w:p>
            <w:r>
              <w:rPr>
                <w:b/>
                <w:sz w:val="14"/>
              </w:rPr>
              <w:t>trips</w:t>
            </w:r>
          </w:p>
        </w:tc>
        <w:tc>
          <w:tcPr>
            <w:tcW w:type="dxa" w:w="1246"/>
          </w:tcPr>
          <w:p>
            <w:r>
              <w:rPr>
                <w:b/>
                <w:sz w:val="14"/>
              </w:rPr>
              <w:t>households</w:t>
            </w:r>
          </w:p>
        </w:tc>
        <w:tc>
          <w:tcPr>
            <w:tcW w:type="dxa" w:w="1246"/>
          </w:tcPr>
          <w:p>
            <w:r>
              <w:rPr>
                <w:b/>
                <w:sz w:val="14"/>
              </w:rPr>
              <w:t>assumed in the chain</w:t>
            </w:r>
          </w:p>
        </w:tc>
        <w:tc>
          <w:tcPr>
            <w:tcW w:type="dxa" w:w="1246"/>
          </w:tcPr>
          <w:p>
            <w:r>
              <w:rPr>
                <w:b/>
                <w:sz w:val="14"/>
              </w:rPr>
              <w:t>assumed range</w:t>
            </w:r>
          </w:p>
        </w:tc>
      </w:tr>
      <w:tr>
        <w:tc>
          <w:tcPr>
            <w:tcW w:type="dxa" w:w="1246"/>
          </w:tcPr>
          <w:p>
            <w:r>
              <w:rPr>
                <w:sz w:val="14"/>
              </w:rPr>
              <w:t>M1: dGC + car availability, purpose, person, distance band</w:t>
            </w:r>
          </w:p>
        </w:tc>
        <w:tc>
          <w:tcPr>
            <w:tcW w:type="dxa" w:w="1246"/>
          </w:tcPr>
          <w:p>
            <w:r>
              <w:rPr>
                <w:sz w:val="14"/>
              </w:rPr>
              <w:t>0.035</w:t>
            </w:r>
          </w:p>
        </w:tc>
        <w:tc>
          <w:tcPr>
            <w:tcW w:type="dxa" w:w="1246"/>
          </w:tcPr>
          <w:p>
            <w:r>
              <w:rPr>
                <w:sz w:val="14"/>
              </w:rPr>
              <w:t>0.002</w:t>
            </w:r>
          </w:p>
        </w:tc>
        <w:tc>
          <w:tcPr>
            <w:tcW w:type="dxa" w:w="1246"/>
          </w:tcPr>
          <w:p>
            <w:r>
              <w:rPr>
                <w:sz w:val="14"/>
              </w:rPr>
              <w:t>0.068</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M1b: M1 with the cheaper of bus and Metronit</w:t>
            </w:r>
          </w:p>
        </w:tc>
        <w:tc>
          <w:tcPr>
            <w:tcW w:type="dxa" w:w="1246"/>
          </w:tcPr>
          <w:p>
            <w:r>
              <w:rPr>
                <w:sz w:val="14"/>
              </w:rPr>
              <w:t>0.041</w:t>
            </w:r>
          </w:p>
        </w:tc>
        <w:tc>
          <w:tcPr>
            <w:tcW w:type="dxa" w:w="1246"/>
          </w:tcPr>
          <w:p>
            <w:r>
              <w:rPr>
                <w:sz w:val="14"/>
              </w:rPr>
              <w:t>0.010</w:t>
            </w:r>
          </w:p>
        </w:tc>
        <w:tc>
          <w:tcPr>
            <w:tcW w:type="dxa" w:w="1246"/>
          </w:tcPr>
          <w:p>
            <w:r>
              <w:rPr>
                <w:sz w:val="14"/>
              </w:rPr>
              <w:t>0.071</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M3: M1 + origin and destination area fixed effects</w:t>
            </w:r>
          </w:p>
        </w:tc>
        <w:tc>
          <w:tcPr>
            <w:tcW w:type="dxa" w:w="1246"/>
          </w:tcPr>
          <w:p>
            <w:r>
              <w:rPr>
                <w:sz w:val="14"/>
              </w:rPr>
              <w:t>0.053</w:t>
            </w:r>
          </w:p>
        </w:tc>
        <w:tc>
          <w:tcPr>
            <w:tcW w:type="dxa" w:w="1246"/>
          </w:tcPr>
          <w:p>
            <w:r>
              <w:rPr>
                <w:sz w:val="14"/>
              </w:rPr>
              <w:t>0.012</w:t>
            </w:r>
          </w:p>
        </w:tc>
        <w:tc>
          <w:tcPr>
            <w:tcW w:type="dxa" w:w="1246"/>
          </w:tcPr>
          <w:p>
            <w:r>
              <w:rPr>
                <w:sz w:val="14"/>
              </w:rPr>
              <w:t>0.093</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M4: licence holders in car-owning households only (the segment the LRT would draw from the car)</w:t>
            </w:r>
          </w:p>
        </w:tc>
        <w:tc>
          <w:tcPr>
            <w:tcW w:type="dxa" w:w="1246"/>
          </w:tcPr>
          <w:p>
            <w:r>
              <w:rPr>
                <w:sz w:val="14"/>
              </w:rPr>
              <w:t>0.008</w:t>
            </w:r>
          </w:p>
        </w:tc>
        <w:tc>
          <w:tcPr>
            <w:tcW w:type="dxa" w:w="1246"/>
          </w:tcPr>
          <w:p>
            <w:r>
              <w:rPr>
                <w:sz w:val="14"/>
              </w:rPr>
              <w:t>-0.025</w:t>
            </w:r>
          </w:p>
        </w:tc>
        <w:tc>
          <w:tcPr>
            <w:tcW w:type="dxa" w:w="1246"/>
          </w:tcPr>
          <w:p>
            <w:r>
              <w:rPr>
                <w:sz w:val="14"/>
              </w:rPr>
              <w:t>0.041</w:t>
            </w:r>
          </w:p>
        </w:tc>
        <w:tc>
          <w:tcPr>
            <w:tcW w:type="dxa" w:w="1246"/>
          </w:tcPr>
          <w:p>
            <w:r>
              <w:rPr>
                <w:sz w:val="14"/>
              </w:rPr>
              <w:t>1,443</w:t>
            </w:r>
          </w:p>
        </w:tc>
        <w:tc>
          <w:tcPr>
            <w:tcW w:type="dxa" w:w="1246"/>
          </w:tcPr>
          <w:p>
            <w:r>
              <w:rPr>
                <w:sz w:val="14"/>
              </w:rPr>
              <w:t>424</w:t>
            </w:r>
          </w:p>
        </w:tc>
        <w:tc>
          <w:tcPr>
            <w:tcW w:type="dxa" w:w="1246"/>
          </w:tcPr>
          <w:p>
            <w:r>
              <w:rPr>
                <w:sz w:val="14"/>
              </w:rPr>
              <w:t>0.030</w:t>
            </w:r>
          </w:p>
        </w:tc>
        <w:tc>
          <w:tcPr>
            <w:tcW w:type="dxa" w:w="1246"/>
          </w:tcPr>
          <w:p>
            <w:r>
              <w:rPr>
                <w:sz w:val="14"/>
              </w:rPr>
              <w:t>0.02–0.05</w:t>
            </w:r>
          </w:p>
        </w:tc>
      </w:tr>
      <w:tr>
        <w:tc>
          <w:tcPr>
            <w:tcW w:type="dxa" w:w="1246"/>
          </w:tcPr>
          <w:p>
            <w:r>
              <w:rPr>
                <w:sz w:val="14"/>
              </w:rPr>
              <w:t>M1u: M1 unweighted</w:t>
            </w:r>
          </w:p>
        </w:tc>
        <w:tc>
          <w:tcPr>
            <w:tcW w:type="dxa" w:w="1246"/>
          </w:tcPr>
          <w:p>
            <w:r>
              <w:rPr>
                <w:sz w:val="14"/>
              </w:rPr>
              <w:t>0.042</w:t>
            </w:r>
          </w:p>
        </w:tc>
        <w:tc>
          <w:tcPr>
            <w:tcW w:type="dxa" w:w="1246"/>
          </w:tcPr>
          <w:p>
            <w:r>
              <w:rPr>
                <w:sz w:val="14"/>
              </w:rPr>
              <w:t>0.018</w:t>
            </w:r>
          </w:p>
        </w:tc>
        <w:tc>
          <w:tcPr>
            <w:tcW w:type="dxa" w:w="1246"/>
          </w:tcPr>
          <w:p>
            <w:r>
              <w:rPr>
                <w:sz w:val="14"/>
              </w:rPr>
              <w:t>0.066</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bl>
    <w:p>
      <w:r>
        <w:rPr>
          <w:i/>
          <w:sz w:val="16"/>
        </w:rPr>
        <w:t>Table C.3 — The person-level estimates (step 33). M1 is the central specification; M4 restricts the sample to licence holders in car-owning households. Source: Output/mode_choice/lambda_summary.csv.</w:t>
      </w:r>
    </w:p>
    <w:p>
      <w:r>
        <w:drawing>
          <wp:inline xmlns:a="http://schemas.openxmlformats.org/drawingml/2006/main" xmlns:pic="http://schemas.openxmlformats.org/drawingml/2006/picture">
            <wp:extent cx="5760000" cy="2563556"/>
            <wp:docPr id="109" name="Picture 109"/>
            <wp:cNvGraphicFramePr>
              <a:graphicFrameLocks noChangeAspect="1"/>
            </wp:cNvGraphicFramePr>
            <a:graphic>
              <a:graphicData uri="http://schemas.openxmlformats.org/drawingml/2006/picture">
                <pic:pic>
                  <pic:nvPicPr>
                    <pic:cNvPr id="0" name="mode_choice_person_level_by_segment.png"/>
                    <pic:cNvPicPr/>
                  </pic:nvPicPr>
                  <pic:blipFill>
                    <a:blip r:embed="rId15"/>
                    <a:stretch>
                      <a:fillRect/>
                    </a:stretch>
                  </pic:blipFill>
                  <pic:spPr>
                    <a:xfrm>
                      <a:off x="0" y="0"/>
                      <a:ext cx="5760000" cy="2563556"/>
                    </a:xfrm>
                    <a:prstGeom prst="rect"/>
                  </pic:spPr>
                </pic:pic>
              </a:graphicData>
            </a:graphic>
          </wp:inline>
        </w:drawing>
      </w:r>
    </w:p>
    <w:p>
      <w:r>
        <w:rPr>
          <w:i/>
          <w:sz w:val="16"/>
        </w:rPr>
        <w:t>Figure C.2 — The observed transit share against the cost difference, by car-availability segment: four separate levels, and a visible slope only among the households without a car (step 33).</w:t>
      </w:r>
    </w:p>
    <w:p>
      <w:pPr>
        <w:pStyle w:val="ListBullet"/>
      </w:pPr>
      <w:r>
        <w:t>The pooled estimate, 0.035 (interval 0.002–0.068), has the right sign and supports the assumed 0.03, which sits on its cautious side. On the May 2026 car network it is 0.040.</w:t>
      </w:r>
    </w:p>
    <w:p>
      <w:pPr>
        <w:pStyle w:val="ListBullet"/>
      </w:pPr>
      <w:r>
        <w:t>By segment it is 0.083 for people in households without a car, and not different from zero (0.008 ± 0.017) for licence holders in car-owning households: the very travellers the LRT would have to win from the car. The survey has too few such people choosing transit on comparable pairs to measure their response.</w:t>
      </w:r>
    </w:p>
    <w:p>
      <w:pPr>
        <w:pStyle w:val="ListBullet"/>
      </w:pPr>
      <w:r>
        <w:t>So the transit-side λ_T is supported by the data and the car-side λ is a judgement bounded by its range. The bus and Metronit shifts are the firmer part of every result; the car shift is an order of magnitude. A stated-preference survey of car owners on the corridor is the way to pin it down.</w:t>
      </w:r>
    </w:p>
    <w:p>
      <w:pPr>
        <w:pStyle w:val="Heading2"/>
      </w:pPr>
      <w:r>
        <w:t>C.6 What λ does to the result</w:t>
      </w:r>
    </w:p>
    <w:p>
      <w:r>
        <w:drawing>
          <wp:inline xmlns:a="http://schemas.openxmlformats.org/drawingml/2006/main" xmlns:pic="http://schemas.openxmlformats.org/drawingml/2006/picture">
            <wp:extent cx="5040000" cy="2047500"/>
            <wp:docPr id="110" name="Picture 110"/>
            <wp:cNvGraphicFramePr>
              <a:graphicFrameLocks noChangeAspect="1"/>
            </wp:cNvGraphicFramePr>
            <a:graphic>
              <a:graphicData uri="http://schemas.openxmlformats.org/drawingml/2006/picture">
                <pic:pic>
                  <pic:nvPicPr>
                    <pic:cNvPr id="0" name="appC_lambda_range.png"/>
                    <pic:cNvPicPr/>
                  </pic:nvPicPr>
                  <pic:blipFill>
                    <a:blip r:embed="rId116"/>
                    <a:stretch>
                      <a:fillRect/>
                    </a:stretch>
                  </pic:blipFill>
                  <pic:spPr>
                    <a:xfrm>
                      <a:off x="0" y="0"/>
                      <a:ext cx="5040000" cy="2047500"/>
                    </a:xfrm>
                    <a:prstGeom prst="rect"/>
                  </pic:spPr>
                </pic:pic>
              </a:graphicData>
            </a:graphic>
          </wp:inline>
        </w:drawing>
      </w:r>
    </w:p>
    <w:p>
      <w:r>
        <w:rPr>
          <w:i/>
          <w:sz w:val="16"/>
        </w:rPr>
        <w:t>Figure C.3 — The 2022 test capture (step 31, all underground, 25 areas) under the λ and premium cases carried through the chain.</w:t>
      </w:r>
    </w:p>
    <w:p>
      <w:r>
        <w:t>The λ range alone spans −26 % to +42 % of the capture, the widest single factor after the out-of-vehicle set, which is why the report's planning range (5,532 to 10,537 morning riders around the reference 7,433) is built from it. The LRT premium (0 or 10 minutes instead of 5) gives a narrower band inside it, −20 % to +23 %. Doubling λ roughly doubles the car shift and pushes the LRT's share of transit away from an even split; halving it does the reverse.</w:t>
      </w:r>
    </w:p>
    <w:p>
      <w:r>
        <w:rPr>
          <w:i/>
          <w:sz w:val="16"/>
        </w:rPr>
        <w:t>Sources: METHODOLOGY.md §6ac (step 31), §6ae (step 33), §6ak (step 40), §6aq (step 45); Output/mode_choice/lambda_summary.csv, coefficients_all_models.csv, sample_by_car_segment.csv; Output/skims/lrt_capture_scenarios.csv; the pivot code of notebooks/current/LRT_alternatives_demand.ipynb.</w:t>
      </w:r>
    </w:p>
    <w:p>
      <w:pPr>
        <w:pStyle w:val="Heading1"/>
      </w:pPr>
      <w:r>
        <w:t>Appendix D. The generalized cost function: why, and how we arrived at it</w:t>
      </w:r>
    </w:p>
    <w:p>
      <w:r>
        <w:t>What this appendix answers: why the model reduces every trip to one number, what is in that number, where each ingredient comes from, and the sequence of decisions and corrections between the first draft of the formula in September 2026 and the one the report uses.</w:t>
      </w:r>
    </w:p>
    <w:p>
      <w:pPr>
        <w:pStyle w:val="Heading2"/>
      </w:pPr>
      <w:r>
        <w:t>D.1 Why one number</w:t>
      </w:r>
    </w:p>
    <w:p>
      <w:r>
        <w:t>To ask whether a traveller would switch from a bus, a Metronit or a car to the LRT, the model has to compare trips that differ in every respect: one walks more, one waits less, one changes vehicles, one is faster but further from home. The generalized cost puts them on one scale, "how long the trip feels", in minutes. Minutes spent outside a vehicle count more than once (Appendix B), a change of vehicle carries a flat charge, and the preference for a rail vehicle enters as a bonus.</w:t>
      </w:r>
    </w:p>
    <w:p>
      <w:pPr>
        <w:ind w:left="360"/>
      </w:pPr>
      <w:r>
        <w:rPr>
          <w:b/>
        </w:rPr>
        <w:t>GC = in-vehicle time + 2 × walking + 2 × waiting + 8 per transfer (4 between Metronit and LRT) + 0.5 per LRT station end − LRT premium (5 over a bus path, 2.5 over a Metronit path)</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4"/>
              </w:rPr>
              <w:t>ingredient</w:t>
            </w:r>
          </w:p>
        </w:tc>
        <w:tc>
          <w:tcPr>
            <w:tcW w:type="dxa" w:w="3324"/>
          </w:tcPr>
          <w:p>
            <w:r>
              <w:rPr>
                <w:b/>
                <w:sz w:val="14"/>
              </w:rPr>
              <w:t>where it comes from</w:t>
            </w:r>
          </w:p>
        </w:tc>
        <w:tc>
          <w:tcPr>
            <w:tcW w:type="dxa" w:w="3324"/>
          </w:tcPr>
          <w:p>
            <w:r>
              <w:rPr>
                <w:b/>
                <w:sz w:val="14"/>
              </w:rPr>
              <w:t>how it counts</w:t>
            </w:r>
          </w:p>
        </w:tc>
      </w:tr>
      <w:tr>
        <w:tc>
          <w:tcPr>
            <w:tcW w:type="dxa" w:w="3324"/>
          </w:tcPr>
          <w:p>
            <w:r>
              <w:rPr>
                <w:sz w:val="14"/>
              </w:rPr>
              <w:t>In-vehicle time</w:t>
            </w:r>
          </w:p>
        </w:tc>
        <w:tc>
          <w:tcPr>
            <w:tcW w:type="dxa" w:w="3324"/>
          </w:tcPr>
          <w:p>
            <w:r>
              <w:rPr>
                <w:sz w:val="14"/>
              </w:rPr>
              <w:t>bus and Metronit: May 2026 timetable with the running times measured on the street network in May 2026 (the buses run 1.09 × the timetable in the peak); train: timetable; LRT: the calibrated function of Appendix A; car: the May 2026 measured network speeds between zone centroids, plus 3 minutes for parking and the walk at the ends</w:t>
            </w:r>
          </w:p>
        </w:tc>
        <w:tc>
          <w:tcPr>
            <w:tcW w:type="dxa" w:w="3324"/>
          </w:tcPr>
          <w:p>
            <w:r>
              <w:rPr>
                <w:sz w:val="14"/>
              </w:rPr>
              <w:t>weight 1</w:t>
            </w:r>
          </w:p>
        </w:tc>
      </w:tr>
      <w:tr>
        <w:tc>
          <w:tcPr>
            <w:tcW w:type="dxa" w:w="3324"/>
          </w:tcPr>
          <w:p>
            <w:r>
              <w:rPr>
                <w:sz w:val="14"/>
              </w:rPr>
              <w:t>Walking</w:t>
            </w:r>
          </w:p>
        </w:tc>
        <w:tc>
          <w:tcPr>
            <w:tcW w:type="dxa" w:w="3324"/>
          </w:tcPr>
          <w:p>
            <w:r>
              <w:rPr>
                <w:sz w:val="14"/>
              </w:rPr>
              <w:t>straight line × 1.3 for the street detour, at 4 km/h, from the zone to stops within 1 km and from stop to stop within 300 m for a transfer</w:t>
            </w:r>
          </w:p>
        </w:tc>
        <w:tc>
          <w:tcPr>
            <w:tcW w:type="dxa" w:w="3324"/>
          </w:tcPr>
          <w:p>
            <w:r>
              <w:rPr>
                <w:sz w:val="14"/>
              </w:rPr>
              <w:t>weight 2</w:t>
            </w:r>
          </w:p>
        </w:tc>
      </w:tr>
      <w:tr>
        <w:tc>
          <w:tcPr>
            <w:tcW w:type="dxa" w:w="3324"/>
          </w:tcPr>
          <w:p>
            <w:r>
              <w:rPr>
                <w:sz w:val="14"/>
              </w:rPr>
              <w:t>Waiting</w:t>
            </w:r>
          </w:p>
        </w:tc>
        <w:tc>
          <w:tcPr>
            <w:tcW w:type="dxa" w:w="3324"/>
          </w:tcPr>
          <w:p>
            <w:r>
              <w:rPr>
                <w:sz w:val="14"/>
              </w:rPr>
              <w:t>half the combined headway of the lines serving the pair in the peak hour, capped at 10 minutes; LRT 2.5 minutes (a tram every 5)</w:t>
            </w:r>
          </w:p>
        </w:tc>
        <w:tc>
          <w:tcPr>
            <w:tcW w:type="dxa" w:w="3324"/>
          </w:tcPr>
          <w:p>
            <w:r>
              <w:rPr>
                <w:sz w:val="14"/>
              </w:rPr>
              <w:t>weight 2</w:t>
            </w:r>
          </w:p>
        </w:tc>
      </w:tr>
      <w:tr>
        <w:tc>
          <w:tcPr>
            <w:tcW w:type="dxa" w:w="3324"/>
          </w:tcPr>
          <w:p>
            <w:r>
              <w:rPr>
                <w:sz w:val="14"/>
              </w:rPr>
              <w:t>Transfer</w:t>
            </w:r>
          </w:p>
        </w:tc>
        <w:tc>
          <w:tcPr>
            <w:tcW w:type="dxa" w:w="3324"/>
          </w:tcPr>
          <w:p>
            <w:r>
              <w:rPr>
                <w:sz w:val="14"/>
              </w:rPr>
              <w:t>a flat charge for the uncertainty and effort of changing vehicles, on top of the actual walking and waiting; the first boarding is not a transfer</w:t>
            </w:r>
          </w:p>
        </w:tc>
        <w:tc>
          <w:tcPr>
            <w:tcW w:type="dxa" w:w="3324"/>
          </w:tcPr>
          <w:p>
            <w:r>
              <w:rPr>
                <w:sz w:val="14"/>
              </w:rPr>
              <w:t>8 min; 4 min Metronit ↔ LRT</w:t>
            </w:r>
          </w:p>
        </w:tc>
      </w:tr>
      <w:tr>
        <w:tc>
          <w:tcPr>
            <w:tcW w:type="dxa" w:w="3324"/>
          </w:tcPr>
          <w:p>
            <w:r>
              <w:rPr>
                <w:sz w:val="14"/>
              </w:rPr>
              <w:t>Station access</w:t>
            </w:r>
          </w:p>
        </w:tc>
        <w:tc>
          <w:tcPr>
            <w:tcW w:type="dxa" w:w="3324"/>
          </w:tcPr>
          <w:p>
            <w:r>
              <w:rPr>
                <w:sz w:val="14"/>
              </w:rPr>
              <w:t>the time inside a station from the entrance to the platform</w:t>
            </w:r>
          </w:p>
        </w:tc>
        <w:tc>
          <w:tcPr>
            <w:tcW w:type="dxa" w:w="3324"/>
          </w:tcPr>
          <w:p>
            <w:r>
              <w:rPr>
                <w:sz w:val="14"/>
              </w:rPr>
              <w:t>0.5 min per LRT end</w:t>
            </w:r>
          </w:p>
        </w:tc>
      </w:tr>
      <w:tr>
        <w:tc>
          <w:tcPr>
            <w:tcW w:type="dxa" w:w="3324"/>
          </w:tcPr>
          <w:p>
            <w:r>
              <w:rPr>
                <w:sz w:val="14"/>
              </w:rPr>
              <w:t>LRT premium</w:t>
            </w:r>
          </w:p>
        </w:tc>
        <w:tc>
          <w:tcPr>
            <w:tcW w:type="dxa" w:w="3324"/>
          </w:tcPr>
          <w:p>
            <w:r>
              <w:rPr>
                <w:sz w:val="14"/>
              </w:rPr>
              <w:t>the preference for a rail-like vehicle at equal time, from the calibrated models' in-vehicle multipliers</w:t>
            </w:r>
          </w:p>
        </w:tc>
        <w:tc>
          <w:tcPr>
            <w:tcW w:type="dxa" w:w="3324"/>
          </w:tcPr>
          <w:p>
            <w:r>
              <w:rPr>
                <w:sz w:val="14"/>
              </w:rPr>
              <w:t>−5 min against a bus path, −2.5 against a Metronit path</w:t>
            </w:r>
          </w:p>
        </w:tc>
      </w:tr>
      <w:tr>
        <w:tc>
          <w:tcPr>
            <w:tcW w:type="dxa" w:w="3324"/>
          </w:tcPr>
          <w:p>
            <w:r>
              <w:rPr>
                <w:sz w:val="14"/>
              </w:rPr>
              <w:t>Money</w:t>
            </w:r>
          </w:p>
        </w:tc>
        <w:tc>
          <w:tcPr>
            <w:tcW w:type="dxa" w:w="3324"/>
          </w:tcPr>
          <w:p>
            <w:r>
              <w:rPr>
                <w:sz w:val="14"/>
              </w:rPr>
              <w:t>fare, parking, fuel</w:t>
            </w:r>
          </w:p>
        </w:tc>
        <w:tc>
          <w:tcPr>
            <w:tcW w:type="dxa" w:w="3324"/>
          </w:tcPr>
          <w:p>
            <w:r>
              <w:rPr>
                <w:sz w:val="14"/>
              </w:rPr>
              <w:t>none, by decision (D.2, step 2)</w:t>
            </w:r>
          </w:p>
        </w:tc>
      </w:tr>
    </w:tbl>
    <w:p>
      <w:r>
        <w:rPr>
          <w:i/>
          <w:sz w:val="16"/>
        </w:rPr>
        <w:t>Table D.1 — The ingredients of the generalized cost in the reference case.</w:t>
      </w:r>
    </w:p>
    <w:p>
      <w:pPr>
        <w:pStyle w:val="Heading2"/>
      </w:pPr>
      <w:r>
        <w:t>D.2 How we got here, step by step</w:t>
      </w:r>
    </w:p>
    <w:p>
      <w:pPr>
        <w:pStyle w:val="ListBullet"/>
      </w:pPr>
      <w:r>
        <w:rPr>
          <w:b w:val="0"/>
        </w:rPr>
        <w:t>The textbook starting point (LRT capture plan, 22 September 2026). GC = in-vehicle time + 2 × walk + 2 × wait + 8 per transfer + (fare + parking) ÷ value of time, with a value of time of 30 ILS per hour as a placeholder. The weights 2 / 2 / 8 are the middle of the ranges in standard practice (1.5–2.5 for walking and waiting, 5–10 for a transfer).</w:t>
      </w:r>
    </w:p>
    <w:p>
      <w:pPr>
        <w:pStyle w:val="ListBullet"/>
      </w:pPr>
      <w:r>
        <w:rPr>
          <w:b w:val="0"/>
        </w:rPr>
        <w:t>Money dropped (22 September 2026). The transit fare in the area is flat and integrated, and a daily cap makes transfers and return trips free: the fare is the same for every bus, Metronit or LRT trip and for every pair, so it cannot change the choice between them. Against the car it is a constant per trip, which the model absorbs because it starts from the observed 2022 car-versus-transit split rather than predicting it from costs (C.4). Parking and car running costs were excluded on the same decision; no parking data exist for the area. The cost is in minutes only from here on.</w:t>
      </w:r>
    </w:p>
    <w:p>
      <w:pPr>
        <w:pStyle w:val="ListBullet"/>
      </w:pPr>
      <w:r>
        <w:rPr>
          <w:b w:val="0"/>
        </w:rPr>
        <w:t>Placeholders replaced by measured data (22–23 September 2026). The first fill used an 8-minute walk and a 10-minute headway for every bus pair. These gave way, in order, to the national timetable (walk to the actual stops, wait from the actual headways), then to the running times measured on the street network in May 2026, which are 1.1–1.4 times the timetable on the arterial hops where the demand is. The Metronit became a mode of its own. The LRT in-vehicle time was corrected for station spacing (Appendix A) and its headway set to 5 minutes. A check against the survey found that door-to-door bus times reported by travellers exceed the timetable-based ones by a fixed 7–9 minutes: the transfer, the wait for the line actually needed, and delay, which the transfer and wait terms stand in for.</w:t>
      </w:r>
    </w:p>
    <w:p>
      <w:pPr>
        <w:pStyle w:val="ListBullet"/>
      </w:pPr>
      <w:r>
        <w:rPr>
          <w:b w:val="0"/>
        </w:rPr>
        <w:t>The LRT premium (22 September 2026) and the Metronit premium (5 October 2026). Travellers prefer a rail vehicle at equal time. Calibrated models express this as an in-vehicle multiplier of 0.80–0.85 for LRT against 0.90–0.95 for BRT; on the trunk's 14 minutes of riding the gap is worth about 5 minutes against a bus path and about 2.5 against a Metronit path.</w:t>
      </w:r>
    </w:p>
    <w:p>
      <w:pPr>
        <w:pStyle w:val="ListBullet"/>
      </w:pPr>
      <w:r>
        <w:rPr>
          <w:b w:val="0"/>
        </w:rPr>
        <w:t>The transfer structure (22 September and 5 October 2026). A change between a bus and the LRT costs 8 minutes. The Metronit-to-LRT change was first set free, on the assumption of an integrated, same-platform interchange; the out-of-vehicle research found no study with a value below 4 minutes for even a cross-platform change, and 4 minutes was adopted (Appendix B).</w:t>
      </w:r>
    </w:p>
    <w:p>
      <w:pPr>
        <w:pStyle w:val="ListBullet"/>
      </w:pPr>
      <w:r>
        <w:rPr>
          <w:b w:val="0"/>
        </w:rPr>
        <w:t>Station access and walking speed (5 October 2026). Half a minute per station end for the way from the entrance to the platform, and walking at 4 km/h instead of 4.8 (the Israeli convention), both from the same research.</w:t>
      </w:r>
    </w:p>
    <w:p>
      <w:pPr>
        <w:pStyle w:val="ListBullet"/>
      </w:pPr>
      <w:r>
        <w:rPr>
          <w:b w:val="0"/>
        </w:rPr>
        <w:t>From areas to zones (steps 44–45, October 2026). The cost was first built between 25 corridor areas. An area-level skim pools the headways of every line serving the area and the walk to its nearest stop, which no single traveller gets: it understated the bus cost on the trunk by about a third (30 felt minutes against 45 at zone level). The reference case builds the cost per zone pair on the actual line graph of the timetable, with the LRT boarding at the cheapest-access station at each end.</w:t>
      </w:r>
    </w:p>
    <w:p>
      <w:pPr>
        <w:pStyle w:val="ListBullet"/>
      </w:pPr>
      <w:r>
        <w:rPr>
          <w:b w:val="0"/>
        </w:rPr>
        <w:t>The checks. The whole chain was rerun on nine out-of-vehicle parameter sets (Appendix B); the bus wait rule was tested with the busiest single line instead of the pooled headway (+14 % bus cost, +15 % LRT riders); the car times were compared with the survey's reported door-to-door times (0.90–0.95 of them, so no uplift); and the capture was run on a 2026 car network and on slower 2050 buses (section 4.9).</w:t>
      </w:r>
    </w:p>
    <w:p>
      <w:pPr>
        <w:pStyle w:val="Heading2"/>
      </w:pPr>
      <w:r>
        <w:t>D.3 A worked example</w:t>
      </w:r>
    </w:p>
    <w:p>
      <w:r>
        <w:t>From Kiryat Haim to Bat Galim by bus: walk 6 minutes to the stop, wait 5 (a bus every 10 minutes), ride 28, walk 4 at the end. By LRT: walk 9 to the station, wait 2.5, ride 20, walk 5. In felt minutes the bus trip is 28 + 2 × (6 + 4) + 2 × 5 = 58 and the LRT trip 20 + 2 × (9 + 5) + 2 × 2.5 = 53, less the 5-minute premium: 48. The LRT walks more and still wins by ten felt minutes because it is faster and comes more often; with λ_T = 0.06 that advantage gives it 65 % of the pair's transit riders (Appendix C).</w:t>
      </w:r>
    </w:p>
    <w:p>
      <w:r>
        <w:drawing>
          <wp:inline xmlns:a="http://schemas.openxmlformats.org/drawingml/2006/main" xmlns:pic="http://schemas.openxmlformats.org/drawingml/2006/picture">
            <wp:extent cx="5400000" cy="2541176"/>
            <wp:docPr id="111" name="Picture 111"/>
            <wp:cNvGraphicFramePr>
              <a:graphicFrameLocks noChangeAspect="1"/>
            </wp:cNvGraphicFramePr>
            <a:graphic>
              <a:graphicData uri="http://schemas.openxmlformats.org/drawingml/2006/picture">
                <pic:pic>
                  <pic:nvPicPr>
                    <pic:cNvPr id="0" name="appD_gc_worked_example.png"/>
                    <pic:cNvPicPr/>
                  </pic:nvPicPr>
                  <pic:blipFill>
                    <a:blip r:embed="rId117"/>
                    <a:stretch>
                      <a:fillRect/>
                    </a:stretch>
                  </pic:blipFill>
                  <pic:spPr>
                    <a:xfrm>
                      <a:off x="0" y="0"/>
                      <a:ext cx="5400000" cy="2541176"/>
                    </a:xfrm>
                    <a:prstGeom prst="rect"/>
                  </pic:spPr>
                </pic:pic>
              </a:graphicData>
            </a:graphic>
          </wp:inline>
        </w:drawing>
      </w:r>
    </w:p>
    <w:p>
      <w:r>
        <w:rPr>
          <w:i/>
          <w:sz w:val="16"/>
        </w:rPr>
        <w:t>Figure D.1 — The worked example of section 2.4 as felt minutes: riding, walking and waiting (each weighted twice), and the premium; neither trip involves a transfer.</w:t>
      </w:r>
    </w:p>
    <w:p>
      <w:r>
        <w:t>A second, illustrative case shows what the Metronit terms do. A trip from the Krayot to Bat Galim today rides the Metronit through: say 5 minutes of walking, 3 of waiting and 35 of riding, 35 + 2 × 5 + 2 × 3 = 51 felt minutes. The LRT path for the same trip takes the Metronit to Hamifrats (walk 5, wait 3, ride 18), changes there (4-minute penalty, 2.5-minute wait, 0.5-minute station access), rides the LRT 12 minutes to Bat Galim and walks 5 at the end, with the 2.5-minute premium: 18 + 12 + 2 × (5 + 5) + 2 × (3 + 2.5) + 4 + 0.5 + 0.5 − 2.5 = 63.5 felt minutes. The LRT path is dearer by 12.5 and takes 32 % of the pair's transit riders (the curve of Table C.1). Set the interchange penalty to zero and the station access to zero, as the model did before 5 October, and the gap narrows to 7.5 and the share rises to 39 %: this is why those two terms, not the running speed, decide the Krayot market.</w:t>
      </w:r>
    </w:p>
    <w:p>
      <w:pPr>
        <w:pStyle w:val="Heading2"/>
      </w:pPr>
      <w:r>
        <w:t>D.4 What the function does not capture</w:t>
      </w:r>
    </w:p>
    <w:p>
      <w:pPr>
        <w:pStyle w:val="ListBullet"/>
      </w:pPr>
      <w:r>
        <w:t>The weights are assumptions from the literature and from other calibrated models, not estimates on this corridor; the chain was rerun on nine sets to show the band they open (Appendix B).</w:t>
      </w:r>
    </w:p>
    <w:p>
      <w:pPr>
        <w:pStyle w:val="ListBullet"/>
      </w:pPr>
      <w:r>
        <w:t>No money: a fare or parking policy that treats the modes differently cannot be tested with this function as it stands.</w:t>
      </w:r>
    </w:p>
    <w:p>
      <w:pPr>
        <w:pStyle w:val="ListBullet"/>
      </w:pPr>
      <w:r>
        <w:t>No crowding, reliability or comfort beyond the LRT premium; no slopes in the walking times, in a city where they matter; no difference between a sheltered stop and an exposed one.</w:t>
      </w:r>
    </w:p>
    <w:p>
      <w:pPr>
        <w:pStyle w:val="ListBullet"/>
      </w:pPr>
      <w:r>
        <w:t>The car's absolute cost does not reach the result: the model pivots on the observed 2022 split, so a slower car in 2050 changes nothing (caveat 25). Only the transit side of the cost moves the numbers.</w:t>
      </w:r>
    </w:p>
    <w:p>
      <w:pPr>
        <w:pStyle w:val="ListBullet"/>
      </w:pPr>
      <w:r>
        <w:t>The walking terms are population- and employment-weighted averages per zone, not per address, and the LRT station access is a single figure per end.</w:t>
      </w:r>
    </w:p>
    <w:p>
      <w:r>
        <w:rPr>
          <w:i/>
          <w:sz w:val="16"/>
        </w:rPr>
        <w:t>Sources: docs/LRT_CAPTURE_PLAN.md; METHODOLOGY.md §6x (step 26 and its seven addenda), §6ac (step 31), §6ao (step 44), §6al, §6aq (step 45); Output/alternatives/skims_summary.csv; section 2.4 of this report.</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