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X — Person-level mode-choice logit: estimation of the cost sensitivity λ (model M1)</w:t>
      </w:r>
    </w:p>
    <w:p>
      <w:r>
        <w:rPr>
          <w:sz w:val="18"/>
        </w:rPr>
        <w:t>Dependent variable: transit = 1, car = 0. AM-peak (06:00–08:59) survey trips within the 25 corridor areas, THS 2017/18. Weighted binary logit, standard errors clustered by household.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907"/>
        <w:gridCol w:w="907"/>
        <w:gridCol w:w="737"/>
        <w:gridCol w:w="964"/>
        <w:gridCol w:w="567"/>
        <w:gridCol w:w="1020"/>
      </w:tblGrid>
      <w:tr>
        <w:tc>
          <w:tcPr>
            <w:tcW w:type="dxa" w:w="3742"/>
            <w:shd w:val="clear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907"/>
            <w:shd w:val="clear" w:fill="1F3864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Coef.</w:t>
            </w:r>
          </w:p>
        </w:tc>
        <w:tc>
          <w:tcPr>
            <w:tcW w:type="dxa" w:w="907"/>
            <w:shd w:val="clear" w:fill="1F3864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Std. err.</w:t>
            </w:r>
          </w:p>
        </w:tc>
        <w:tc>
          <w:tcPr>
            <w:tcW w:type="dxa" w:w="737"/>
            <w:shd w:val="clear" w:fill="1F3864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964"/>
            <w:shd w:val="clear" w:fill="1F3864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567"/>
            <w:shd w:val="clear" w:fill="1F3864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20"/>
            <w:shd w:val="clear" w:fill="1F3864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Odds ratio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Cost variable</w:t>
            </w:r>
          </w:p>
        </w:tc>
      </w:tr>
      <w:tr>
        <w:tc>
          <w:tcPr>
            <w:tcW w:type="dxa" w:w="3742"/>
            <w:shd w:val="clear" w:fill="FFF2CC"/>
          </w:tcPr>
          <w:p>
            <w:pPr>
              <w:spacing w:after="0"/>
              <w:ind w:left="170"/>
            </w:pPr>
            <w:r>
              <w:rPr>
                <w:b/>
                <w:i w:val="0"/>
                <w:sz w:val="18"/>
              </w:rPr>
              <w:t>ΔGC: transit minus car generalized cost (gen-min)</w:t>
            </w:r>
          </w:p>
        </w:tc>
        <w:tc>
          <w:tcPr>
            <w:tcW w:type="dxa" w:w="907"/>
            <w:shd w:val="clear" w:fill="FFF2CC"/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-0.0350</w:t>
            </w:r>
          </w:p>
        </w:tc>
        <w:tc>
          <w:tcPr>
            <w:tcW w:type="dxa" w:w="907"/>
            <w:shd w:val="clear" w:fill="FFF2CC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0.0167</w:t>
            </w:r>
          </w:p>
        </w:tc>
        <w:tc>
          <w:tcPr>
            <w:tcW w:type="dxa" w:w="737"/>
            <w:shd w:val="clear" w:fill="FFF2CC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-2.09</w:t>
            </w:r>
          </w:p>
        </w:tc>
        <w:tc>
          <w:tcPr>
            <w:tcW w:type="dxa" w:w="964"/>
            <w:shd w:val="clear" w:fill="FFF2CC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0.036</w:t>
            </w:r>
          </w:p>
        </w:tc>
        <w:tc>
          <w:tcPr>
            <w:tcW w:type="dxa" w:w="567"/>
            <w:shd w:val="clear" w:fill="FFF2CC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</w:t>
            </w:r>
          </w:p>
        </w:tc>
        <w:tc>
          <w:tcPr>
            <w:tcW w:type="dxa" w:w="1020"/>
            <w:shd w:val="clear" w:fill="FFF2CC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0.966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Car availability (ref: car available)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Licences outnumber cars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2.1385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0.5736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3.73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8.487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No driving licence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4.1686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0.6444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6.47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64.625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No car in household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5.5402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0.6101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9.08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254.727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Trip purpose (ref: home-based work)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Home-based education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0.4159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0.6022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0.490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1.516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Home-based other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-2.0176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0.5805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-3.48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0.133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Non-home-based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-1.6200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0.5856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-2.77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0.006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0.198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Age (ref: 35–64)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0–17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-2.1995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0.5679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-3.87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0.111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18–24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0.4016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0.4508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0.89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0.373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1.494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25–34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-0.0059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0.6095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-0.01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0.992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0.994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65+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0.7869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0.6070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1.30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0.195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2.197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Person and sector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Female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0.4569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0.3150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1.45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0.147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1.579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Student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0.2365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0.5509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0.668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1.267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Arab sector (ref: general)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-1.9081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0.7956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-2.40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0.016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0.148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Trip distance (ref: 6–10 km)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&lt; 3 km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-1.0351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0.4729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-2.19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0.029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0.355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3–6 km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-0.0711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0.4046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-0.18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0.861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0.931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10–20 km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0.5603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0.7683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0.73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0.466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1.751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&gt; 20 km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1.2460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1.1040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1.13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0.259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3.476</w:t>
            </w:r>
          </w:p>
        </w:tc>
      </w:tr>
      <w:tr>
        <w:tc>
          <w:tcPr>
            <w:tcW w:type="dxa" w:w="1077"/>
            <w:gridSpan w:val="7"/>
            <w:shd w:val="clear" w:fill="D9E2F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Constant</w:t>
            </w:r>
          </w:p>
        </w:tc>
      </w:tr>
      <w:tr>
        <w:tc>
          <w:tcPr>
            <w:tcW w:type="dxa" w:w="3742"/>
          </w:tcPr>
          <w:p>
            <w:pPr>
              <w:spacing w:after="0"/>
              <w:ind w:left="170"/>
            </w:pPr>
            <w:r>
              <w:rPr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-2.7468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0.6145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-4.47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0.064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Observations (trips)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2,310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Households (clusters)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543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Transit trips in sample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353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Log-likelihood (weighted)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-638.8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Log-likelihood, constant only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-1125.6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McFadden ρ²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0.432</w:t>
            </w:r>
          </w:p>
        </w:tc>
      </w:tr>
      <w:tr>
        <w:tc>
          <w:tcPr>
            <w:tcW w:type="dxa" w:w="5102"/>
            <w:shd w:val="clear" w:fill="FFF2CC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λ = −coef(ΔGC), per generalized minute</w:t>
            </w:r>
          </w:p>
        </w:tc>
        <w:tc>
          <w:tcPr>
            <w:tcW w:type="dxa" w:w="2268"/>
            <w:shd w:val="clear" w:fill="FFF2CC"/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0.0350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95% confidence interval for λ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8"/>
              </w:rPr>
              <w:t>0.0022 to 0.0677</w:t>
            </w:r>
          </w:p>
        </w:tc>
      </w:tr>
    </w:tbl>
    <w:p>
      <w:pPr>
        <w:spacing w:before="120"/>
      </w:pPr>
      <w:r>
        <w:rPr>
          <w:i/>
          <w:sz w:val="16"/>
        </w:rPr>
        <w:t>Notes. *** p&lt;0.01, ** p&lt;0.05, * p&lt;0.10. λ is the negative of the ΔGC coefficient: a higher transit cost relative to the car lowers the odds of choosing transit by a factor exp(−λ·ΔGC); with λ = 0.035, ten generalized minutes change the odds by about 30%. Weights: household expansion weight (new_wf), rescaled to the row count. Standard errors: household-clustered sandwich estimator with a G/(G−1) correction, because the two survey days of one household are not independent. Log-likelihoods are computed with the weights and are therefore pseudo-log-likelihoods. Source: Output/mode_choice/estimation_sample_person_level.csv, notebook Mode_choice_person_level.ipynb (step 33); the table reproduces coefficients_all_models.csv to five decimals.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