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extension — demand study</w:t>
      </w:r>
    </w:p>
    <w:p>
      <w:r>
        <w:t>Comprehensive report: goal, model structure and data, calibration and base scenario, results for the 2040 / 2050 scenarios, conclusions. Produced 5 October 2026 from the repository Nofit_LRT_Extension (notebooks in notebooks/current/, technical record METHODOLOGY.md, plain-language record docs/PLAIN_ENGLISH_METHODOLOGY.md). Every number in this report can be traced to a file under Output/ named in the text.</w:t>
      </w:r>
    </w:p>
    <w:p>
      <w:pPr>
        <w:pStyle w:val="Heading1"/>
      </w:pPr>
      <w:r>
        <w:t>1. Goal and objectives</w:t>
      </w:r>
    </w:p>
    <w:p>
      <w:r>
        <w:t>The Nofit light-rail line (Hamifrats – Nazareth, the "main route") is under construction. The study asks what demand an extension of that line from Hamifrats through Haifa to Tirat Carmel (the "extension", 24 stations, 18.7 km along the Haifa seafront and the lower city) would carry, where that demand comes from, and how it depends on how the extension is operated and on how the metropolis grows.</w:t>
      </w:r>
    </w:p>
    <w:p>
      <w:r>
        <w:t>The objectives, in the order the work addressed them:</w:t>
      </w:r>
    </w:p>
    <w:p>
      <w:pPr>
        <w:pStyle w:val="ListBullet"/>
      </w:pPr>
      <w:r>
        <w:t>Build a base-year (2022) picture of the morning-peak travel market on the corridor — car, bus, Metronit BRT, rail — at the level of traffic analysis zones (TAZs), from the household travel survey and the ticketing, timetable and speed data available, and test it against independent counts.</w:t>
      </w:r>
    </w:p>
    <w:p>
      <w:pPr>
        <w:pStyle w:val="ListBullet"/>
      </w:pPr>
      <w:r>
        <w:t>Grow that base to 2040 and 2050 under the two demographic scenarios of the metropolitan forecast (BU, business as usual; HS, high scenario), holding travel behaviour at 2022.</w:t>
      </w:r>
    </w:p>
    <w:p>
      <w:pPr>
        <w:pStyle w:val="ListBullet"/>
      </w:pPr>
      <w:r>
        <w:t>Build the level of service (travel time, access, waiting, transfers) of the car and of every transit alternative — bus, Metronit, train and the planned LRT — on the same geography, from the May 2026 timetable and measured speeds.</w:t>
      </w:r>
    </w:p>
    <w:p>
      <w:pPr>
        <w:pStyle w:val="ListBullet"/>
      </w:pPr>
      <w:r>
        <w:t>Estimate the demand the LRT would capture from bus, Metronit and car when it is added to that service, for the main route + extension run as one line, in two operating regimes of the extension (Prioritized: full priority at interchanges; Unprioritized: at grade), in the AM and PM peaks, by scenario.</w:t>
      </w:r>
    </w:p>
    <w:p>
      <w:pPr>
        <w:pStyle w:val="ListBullet"/>
      </w:pPr>
      <w:r>
        <w:t>Report what the extension itself carries as a part of the through line: trips that use at least one segment between S01 and S24 (Tirat Carmel – Hamifrats).</w:t>
      </w:r>
    </w:p>
    <w:p>
      <w:pPr>
        <w:pStyle w:val="ListBullet"/>
      </w:pPr>
      <w:r>
        <w:t>State what the chain can and cannot be used for, with every caveat found on the way.</w:t>
      </w:r>
    </w:p>
    <w:p>
      <w:r>
        <w:t>What the study is not: it is not a capacity, frequency or fare study, not an economic appraisal, and not a calibrated four-step regional model. It is a corridor demand screening built from observed data with a transparent, documented chain, intended to size and locate the market and to rank alternatives.</w:t>
      </w:r>
    </w:p>
    <w:p>
      <w:pPr>
        <w:pStyle w:val="Heading1"/>
      </w:pPr>
      <w:r>
        <w:t>2. The model — structure, data and approach</w:t>
      </w:r>
    </w:p>
    <w:p>
      <w:pPr>
        <w:pStyle w:val="Heading2"/>
      </w:pPr>
      <w:r>
        <w:t>2.1 Structure</w:t>
      </w:r>
    </w:p>
    <w:p>
      <w:r>
        <w:t>The "model" is a chain of 45 documented, reproducible steps (Jupyter notebooks). It has four blocks:</w:t>
      </w:r>
    </w:p>
    <w:p>
      <w:pPr>
        <w:pStyle w:val="ListBullet"/>
      </w:pPr>
      <w:r>
        <w:t>Base-year matrices (steps 1–22). Person-journey trip matrices for the AM peak 06:00–09:00 (and, in a later wave, PM 16:00–19:00 and midday) by mode on 778 TAZs of the northern district, built from the 2017/18 household travel survey (THS) with household expansion weights, the bus layer calibrated to the May 2022 RavKav (smart-card) linked journeys with the on-board survey's destination pattern, rail from the national ridership series, and all layers moved from 2018 to a 2022 vintage. Product: Output/final_2022/ (car, transit, total TAZ matrices).</w:t>
      </w:r>
    </w:p>
    <w:p>
      <w:pPr>
        <w:pStyle w:val="ListBullet"/>
      </w:pPr>
      <w:r>
        <w:t>Forecast matrices (step 23). The 2022 matrices moved to 2040 and 2050 under BU and HS by population and employment per TAZ (land-use indices fitted on 2022 demand, Furness balancing per layer), trip rates, destination choice and mode split held at 2022. Product: Output/forecast_taz/{BU_2040, BU_2050, HS_2040, HS_2050}/.</w:t>
      </w:r>
    </w:p>
    <w:p>
      <w:pPr>
        <w:pStyle w:val="ListBullet"/>
      </w:pPr>
      <w:r>
        <w:t>Level of service (steps 25–30, 37, 43, 44). Travel-time, access, wait and transfer components for every mode on the 25 corridor areas and on the 781 TAZs: car routed over the May 2026 car-speed network; bus and Metronit from the Ministry of Transport GTFS of 22 May 2026 (services of Tuesday 2 June 2026) with running times taken from the May 2026 measured bus link speeds; the LRT from the calibrated stop-to-stop function (transferred from the Tel Aviv Red Line) on the planned alignment and stations; combined into a generalized cost GC = in-vehicle time + 2 × walk + 2 × wait + 8 min per transfer (the central set of the out-of-vehicle-weights research).</w:t>
      </w:r>
    </w:p>
    <w:p>
      <w:pPr>
        <w:pStyle w:val="ListBullet"/>
      </w:pPr>
      <w:r>
        <w:t>LRT capture (steps 31–33, 39, 40, 45). An incremental-logit pivot on the observed 2022 mode shares per TAZ pair: within the transit nest the LRT path competes with the bus / Metronit path (binary logit, sensitivity λ_T = 0.06 per generalized minute, an LRT premium of 5 generalized minutes over a bus path and 2.5 over a Metronit path); the improvement of the transit nest's composite cost (logsum) shifts trips from the car (λ = 0.03). The shares are Empirical-Bayes smoothed towards the area pair (k = 20) before the pivot. Step 45 runs this per alternative, regime, period and scenario and loads the LRT trips onto the line between the cheapest-access stations at each end.</w:t>
      </w:r>
    </w:p>
    <w:p>
      <w:r>
        <w:drawing>
          <wp:inline xmlns:a="http://schemas.openxmlformats.org/drawingml/2006/main" xmlns:pic="http://schemas.openxmlformats.org/drawingml/2006/picture">
            <wp:extent cx="5400000" cy="3436364"/>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5400000" cy="3436364"/>
                    </a:xfrm>
                    <a:prstGeom prst="rect"/>
                  </pic:spPr>
                </pic:pic>
              </a:graphicData>
            </a:graphic>
          </wp:inline>
        </w:drawing>
      </w:r>
    </w:p>
    <w:p>
      <w:r>
        <w:rPr>
          <w:i/>
          <w:sz w:val="16"/>
        </w:rPr>
        <w:t>Figure 2.1 — The main route (M01–M20, under construction) and the extension (S01–S24) with the corridor areas. Source: Output/figures/lrt_alternatives_lines.png (step 45).</w:t>
      </w:r>
    </w:p>
    <w:p>
      <w:pPr>
        <w:pStyle w:val="Heading2"/>
      </w:pPr>
      <w:r>
        <w:t>2.2 Data inputs and their dates</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sz w:val="14"/>
              </w:rPr>
              <w:t>Input</w:t>
            </w:r>
          </w:p>
        </w:tc>
        <w:tc>
          <w:tcPr>
            <w:tcW w:type="dxa" w:w="2493"/>
          </w:tcPr>
          <w:p>
            <w:r>
              <w:rPr>
                <w:b/>
                <w:sz w:val="14"/>
              </w:rPr>
              <w:t>Date / vintage</w:t>
            </w:r>
          </w:p>
        </w:tc>
        <w:tc>
          <w:tcPr>
            <w:tcW w:type="dxa" w:w="2493"/>
          </w:tcPr>
          <w:p>
            <w:r>
              <w:rPr>
                <w:b/>
                <w:sz w:val="14"/>
              </w:rPr>
              <w:t>Where</w:t>
            </w:r>
          </w:p>
        </w:tc>
        <w:tc>
          <w:tcPr>
            <w:tcW w:type="dxa" w:w="2493"/>
          </w:tcPr>
          <w:p>
            <w:r>
              <w:rPr>
                <w:b/>
                <w:sz w:val="14"/>
              </w:rPr>
              <w:t>Used for</w:t>
            </w:r>
          </w:p>
        </w:tc>
      </w:tr>
      <w:tr>
        <w:tc>
          <w:tcPr>
            <w:tcW w:type="dxa" w:w="2493"/>
          </w:tcPr>
          <w:p>
            <w:r>
              <w:rPr>
                <w:sz w:val="14"/>
              </w:rPr>
              <w:t>Household travel survey (THS) 2017/18 — trips file, persons, households, activity diary</w:t>
            </w:r>
          </w:p>
        </w:tc>
        <w:tc>
          <w:tcPr>
            <w:tcW w:type="dxa" w:w="2493"/>
          </w:tcPr>
          <w:p>
            <w:r>
              <w:rPr>
                <w:sz w:val="14"/>
              </w:rPr>
              <w:t>2017–2018 (survey years)</w:t>
            </w:r>
          </w:p>
        </w:tc>
        <w:tc>
          <w:tcPr>
            <w:tcW w:type="dxa" w:w="2493"/>
          </w:tcPr>
          <w:p>
            <w:r>
              <w:rPr>
                <w:sz w:val="14"/>
              </w:rPr>
              <w:t>Input/THS_2017-2018/</w:t>
            </w:r>
          </w:p>
        </w:tc>
        <w:tc>
          <w:tcPr>
            <w:tcW w:type="dxa" w:w="2493"/>
          </w:tcPr>
          <w:p>
            <w:r>
              <w:rPr>
                <w:sz w:val="14"/>
              </w:rPr>
              <w:t>Base matrices by mode, trip rates, person-level λ (steps 1–22, 33)</w:t>
            </w:r>
          </w:p>
        </w:tc>
      </w:tr>
      <w:tr>
        <w:tc>
          <w:tcPr>
            <w:tcW w:type="dxa" w:w="2493"/>
          </w:tcPr>
          <w:p>
            <w:r>
              <w:rPr>
                <w:sz w:val="14"/>
              </w:rPr>
              <w:t>Cellular OD, average weekday, hourly, national 1270 zones</w:t>
            </w:r>
          </w:p>
        </w:tc>
        <w:tc>
          <w:tcPr>
            <w:tcW w:type="dxa" w:w="2493"/>
          </w:tcPr>
          <w:p>
            <w:r>
              <w:rPr>
                <w:sz w:val="14"/>
              </w:rPr>
              <w:t>2018–2019</w:t>
            </w:r>
          </w:p>
        </w:tc>
        <w:tc>
          <w:tcPr>
            <w:tcW w:type="dxa" w:w="2493"/>
          </w:tcPr>
          <w:p>
            <w:r>
              <w:rPr>
                <w:sz w:val="14"/>
              </w:rPr>
              <w:t>Input/Matrices/AvgDayHourlyTrips201819_…</w:t>
            </w:r>
          </w:p>
        </w:tc>
        <w:tc>
          <w:tcPr>
            <w:tcW w:type="dxa" w:w="2493"/>
          </w:tcPr>
          <w:p>
            <w:r>
              <w:rPr>
                <w:sz w:val="14"/>
              </w:rPr>
              <w:t>Validation of the survey matrices (step 1b, MoT T5)</w:t>
            </w:r>
          </w:p>
        </w:tc>
      </w:tr>
      <w:tr>
        <w:tc>
          <w:tcPr>
            <w:tcW w:type="dxa" w:w="2493"/>
          </w:tcPr>
          <w:p>
            <w:r>
              <w:rPr>
                <w:sz w:val="14"/>
              </w:rPr>
              <w:t>RavKav linked journeys (bus), May 2022</w:t>
            </w:r>
          </w:p>
        </w:tc>
        <w:tc>
          <w:tcPr>
            <w:tcW w:type="dxa" w:w="2493"/>
          </w:tcPr>
          <w:p>
            <w:r>
              <w:rPr>
                <w:sz w:val="14"/>
              </w:rPr>
              <w:t>May 2022</w:t>
            </w:r>
          </w:p>
        </w:tc>
        <w:tc>
          <w:tcPr>
            <w:tcW w:type="dxa" w:w="2493"/>
          </w:tcPr>
          <w:p>
            <w:r>
              <w:rPr>
                <w:sz w:val="14"/>
              </w:rPr>
              <w:t>Input/BusRavKav/May_2022/</w:t>
            </w:r>
          </w:p>
        </w:tc>
        <w:tc>
          <w:tcPr>
            <w:tcW w:type="dxa" w:w="2493"/>
          </w:tcPr>
          <w:p>
            <w:r>
              <w:rPr>
                <w:sz w:val="14"/>
              </w:rPr>
              <w:t>Bus calibration and the destination pattern (steps 8–9, 15)</w:t>
            </w:r>
          </w:p>
        </w:tc>
      </w:tr>
      <w:tr>
        <w:tc>
          <w:tcPr>
            <w:tcW w:type="dxa" w:w="2493"/>
          </w:tcPr>
          <w:p>
            <w:r>
              <w:rPr>
                <w:sz w:val="14"/>
              </w:rPr>
              <w:t>RavKav 2025 boarding taps — Metronit, rail, national bus</w:t>
            </w:r>
          </w:p>
        </w:tc>
        <w:tc>
          <w:tcPr>
            <w:tcW w:type="dxa" w:w="2493"/>
          </w:tcPr>
          <w:p>
            <w:r>
              <w:rPr>
                <w:sz w:val="14"/>
              </w:rPr>
              <w:t>51–52 Tuesdays of 2025, 06:00–09:00</w:t>
            </w:r>
          </w:p>
        </w:tc>
        <w:tc>
          <w:tcPr>
            <w:tcW w:type="dxa" w:w="2493"/>
          </w:tcPr>
          <w:p>
            <w:r>
              <w:rPr>
                <w:sz w:val="14"/>
              </w:rPr>
              <w:t>Input/BusRavKav/2025/</w:t>
            </w:r>
          </w:p>
        </w:tc>
        <w:tc>
          <w:tcPr>
            <w:tcW w:type="dxa" w:w="2493"/>
          </w:tcPr>
          <w:p>
            <w:r>
              <w:rPr>
                <w:sz w:val="14"/>
              </w:rPr>
              <w:t>Boardings by stop and TAZ, Metronit and rail OD (steps 34, 41; MoT T7, T14)</w:t>
            </w:r>
          </w:p>
        </w:tc>
      </w:tr>
      <w:tr>
        <w:tc>
          <w:tcPr>
            <w:tcW w:type="dxa" w:w="2493"/>
          </w:tcPr>
          <w:p>
            <w:r>
              <w:rPr>
                <w:sz w:val="14"/>
              </w:rPr>
              <w:t>On-board bus survey destination probabilities by TAZ</w:t>
            </w:r>
          </w:p>
        </w:tc>
        <w:tc>
          <w:tcPr>
            <w:tcW w:type="dxa" w:w="2493"/>
          </w:tcPr>
          <w:p>
            <w:r>
              <w:rPr>
                <w:sz w:val="14"/>
              </w:rPr>
              <w:t>2022 (delivered with the RavKav 2022 work)</w:t>
            </w:r>
          </w:p>
        </w:tc>
        <w:tc>
          <w:tcPr>
            <w:tcW w:type="dxa" w:w="2493"/>
          </w:tcPr>
          <w:p>
            <w:r>
              <w:rPr>
                <w:sz w:val="14"/>
              </w:rPr>
              <w:t>Input/6_9_BusProbability_ByTAZ.xlsx</w:t>
            </w:r>
          </w:p>
        </w:tc>
        <w:tc>
          <w:tcPr>
            <w:tcW w:type="dxa" w:w="2493"/>
          </w:tcPr>
          <w:p>
            <w:r>
              <w:rPr>
                <w:sz w:val="14"/>
              </w:rPr>
              <w:t>Destination pattern below super-zone level (step 9)</w:t>
            </w:r>
          </w:p>
        </w:tc>
      </w:tr>
      <w:tr>
        <w:tc>
          <w:tcPr>
            <w:tcW w:type="dxa" w:w="2493"/>
          </w:tcPr>
          <w:p>
            <w:r>
              <w:rPr>
                <w:sz w:val="14"/>
              </w:rPr>
              <w:t>Zonal population and employment 2020, BU 2025; forecast files BU / HS 2040, 2050</w:t>
            </w:r>
          </w:p>
        </w:tc>
        <w:tc>
          <w:tcPr>
            <w:tcW w:type="dxa" w:w="2493"/>
          </w:tcPr>
          <w:p>
            <w:r>
              <w:rPr>
                <w:sz w:val="14"/>
              </w:rPr>
              <w:t>2020 base; forecast vintage of the metropolitan model</w:t>
            </w:r>
          </w:p>
        </w:tc>
        <w:tc>
          <w:tcPr>
            <w:tcW w:type="dxa" w:w="2493"/>
          </w:tcPr>
          <w:p>
            <w:r>
              <w:rPr>
                <w:sz w:val="14"/>
              </w:rPr>
              <w:t>Input/Zonal_2020.csv, Input/Demographic_Forecast/</w:t>
            </w:r>
          </w:p>
        </w:tc>
        <w:tc>
          <w:tcPr>
            <w:tcW w:type="dxa" w:w="2493"/>
          </w:tcPr>
          <w:p>
            <w:r>
              <w:rPr>
                <w:sz w:val="14"/>
              </w:rPr>
              <w:t>Vintage alignment to 2022 and the 2040 / 2050 growth (steps 11, 23)</w:t>
            </w:r>
          </w:p>
        </w:tc>
      </w:tr>
      <w:tr>
        <w:tc>
          <w:tcPr>
            <w:tcW w:type="dxa" w:w="2493"/>
          </w:tcPr>
          <w:p>
            <w:r>
              <w:rPr>
                <w:sz w:val="14"/>
              </w:rPr>
              <w:t>National rail ridership series</w:t>
            </w:r>
          </w:p>
        </w:tc>
        <w:tc>
          <w:tcPr>
            <w:tcW w:type="dxa" w:w="2493"/>
          </w:tcPr>
          <w:p>
            <w:r>
              <w:rPr>
                <w:sz w:val="14"/>
              </w:rPr>
              <w:t>to 2022</w:t>
            </w:r>
          </w:p>
        </w:tc>
        <w:tc>
          <w:tcPr>
            <w:tcW w:type="dxa" w:w="2493"/>
          </w:tcPr>
          <w:p>
            <w:r>
              <w:rPr>
                <w:sz w:val="14"/>
              </w:rPr>
              <w:t>public series (step 10)</w:t>
            </w:r>
          </w:p>
        </w:tc>
        <w:tc>
          <w:tcPr>
            <w:tcW w:type="dxa" w:w="2493"/>
          </w:tcPr>
          <w:p>
            <w:r>
              <w:rPr>
                <w:sz w:val="14"/>
              </w:rPr>
              <w:t>Rail growth 2018 → 2022</w:t>
            </w:r>
          </w:p>
        </w:tc>
      </w:tr>
      <w:tr>
        <w:tc>
          <w:tcPr>
            <w:tcW w:type="dxa" w:w="2493"/>
          </w:tcPr>
          <w:p>
            <w:r>
              <w:rPr>
                <w:sz w:val="14"/>
              </w:rPr>
              <w:t>Emme highway network of the north with hourly traffic counts</w:t>
            </w:r>
          </w:p>
        </w:tc>
        <w:tc>
          <w:tcPr>
            <w:tcW w:type="dxa" w:w="2493"/>
          </w:tcPr>
          <w:p>
            <w:r>
              <w:rPr>
                <w:sz w:val="14"/>
              </w:rPr>
              <w:t>counts 2017–2023 (station dates in the file; network of 23 Sep 2026)</w:t>
            </w:r>
          </w:p>
        </w:tc>
        <w:tc>
          <w:tcPr>
            <w:tcW w:type="dxa" w:w="2493"/>
          </w:tcPr>
          <w:p>
            <w:r>
              <w:rPr>
                <w:sz w:val="14"/>
              </w:rPr>
              <w:t>Input/Network_with_Counts/</w:t>
            </w:r>
          </w:p>
        </w:tc>
        <w:tc>
          <w:tcPr>
            <w:tcW w:type="dxa" w:w="2493"/>
          </w:tcPr>
          <w:p>
            <w:r>
              <w:rPr>
                <w:sz w:val="14"/>
              </w:rPr>
              <w:t>Car layer against road counts, all-or-nothing assignment (steps 36, 42; MoT T8, T11, T12)</w:t>
            </w:r>
          </w:p>
        </w:tc>
      </w:tr>
      <w:tr>
        <w:tc>
          <w:tcPr>
            <w:tcW w:type="dxa" w:w="2493"/>
          </w:tcPr>
          <w:p>
            <w:r>
              <w:rPr>
                <w:sz w:val="14"/>
              </w:rPr>
              <w:t>Ministry of Transport national GTFS feed</w:t>
            </w:r>
          </w:p>
        </w:tc>
        <w:tc>
          <w:tcPr>
            <w:tcW w:type="dxa" w:w="2493"/>
          </w:tcPr>
          <w:p>
            <w:r>
              <w:rPr>
                <w:sz w:val="14"/>
              </w:rPr>
              <w:t>feed of 22 May 2026; services of Tuesday 2 June 2026</w:t>
            </w:r>
          </w:p>
        </w:tc>
        <w:tc>
          <w:tcPr>
            <w:tcW w:type="dxa" w:w="2493"/>
          </w:tcPr>
          <w:p>
            <w:r>
              <w:rPr>
                <w:sz w:val="14"/>
              </w:rPr>
              <w:t>Input/GTFS/israel-public-transportation.zip</w:t>
            </w:r>
          </w:p>
        </w:tc>
        <w:tc>
          <w:tcPr>
            <w:tcW w:type="dxa" w:w="2493"/>
          </w:tcPr>
          <w:p>
            <w:r>
              <w:rPr>
                <w:sz w:val="14"/>
              </w:rPr>
              <w:t>Bus, Metronit and train level of service, time on route (steps 29, 30, 44, 45)</w:t>
            </w:r>
          </w:p>
        </w:tc>
      </w:tr>
      <w:tr>
        <w:tc>
          <w:tcPr>
            <w:tcW w:type="dxa" w:w="2493"/>
          </w:tcPr>
          <w:p>
            <w:r>
              <w:rPr>
                <w:sz w:val="14"/>
              </w:rPr>
              <w:t>Bus link speeds on the street network (operator data)</w:t>
            </w:r>
          </w:p>
        </w:tc>
        <w:tc>
          <w:tcPr>
            <w:tcW w:type="dxa" w:w="2493"/>
          </w:tcPr>
          <w:p>
            <w:r>
              <w:rPr>
                <w:sz w:val="14"/>
              </w:rPr>
              <w:t>May 2026, by weekday and hour</w:t>
            </w:r>
          </w:p>
        </w:tc>
        <w:tc>
          <w:tcPr>
            <w:tcW w:type="dxa" w:w="2493"/>
          </w:tcPr>
          <w:p>
            <w:r>
              <w:rPr>
                <w:sz w:val="14"/>
              </w:rPr>
              <w:t>Input/BusSpeedData/ (Streets.shp, std_202605.csv)</w:t>
            </w:r>
          </w:p>
        </w:tc>
        <w:tc>
          <w:tcPr>
            <w:tcW w:type="dxa" w:w="2493"/>
          </w:tcPr>
          <w:p>
            <w:r>
              <w:rPr>
                <w:sz w:val="14"/>
              </w:rPr>
              <w:t>Observed bus running times; the routing topology (steps 30, 37, 43)</w:t>
            </w:r>
          </w:p>
        </w:tc>
      </w:tr>
      <w:tr>
        <w:tc>
          <w:tcPr>
            <w:tcW w:type="dxa" w:w="2493"/>
          </w:tcPr>
          <w:p>
            <w:r>
              <w:rPr>
                <w:sz w:val="14"/>
              </w:rPr>
              <w:t>Car link speeds, whole country (GoogleSpeed)</w:t>
            </w:r>
          </w:p>
        </w:tc>
        <w:tc>
          <w:tcPr>
            <w:tcW w:type="dxa" w:w="2493"/>
          </w:tcPr>
          <w:p>
            <w:r>
              <w:rPr>
                <w:sz w:val="14"/>
              </w:rPr>
              <w:t>May 2026, by hour (no weekday dimension)</w:t>
            </w:r>
          </w:p>
        </w:tc>
        <w:tc>
          <w:tcPr>
            <w:tcW w:type="dxa" w:w="2493"/>
          </w:tcPr>
          <w:p>
            <w:r>
              <w:rPr>
                <w:sz w:val="14"/>
              </w:rPr>
              <w:t>Input/CarSpeedData/GoogleSpeed_202605/</w:t>
            </w:r>
          </w:p>
        </w:tc>
        <w:tc>
          <w:tcPr>
            <w:tcW w:type="dxa" w:w="2493"/>
          </w:tcPr>
          <w:p>
            <w:r>
              <w:rPr>
                <w:sz w:val="14"/>
              </w:rPr>
              <w:t>Car skims by TAZ and area (steps 43, 37, 44)</w:t>
            </w:r>
          </w:p>
        </w:tc>
      </w:tr>
      <w:tr>
        <w:tc>
          <w:tcPr>
            <w:tcW w:type="dxa" w:w="2493"/>
          </w:tcPr>
          <w:p>
            <w:r>
              <w:rPr>
                <w:sz w:val="14"/>
              </w:rPr>
              <w:t>Planned LRT extension alignment and platforms (hf_lrt_3)</w:t>
            </w:r>
          </w:p>
        </w:tc>
        <w:tc>
          <w:tcPr>
            <w:tcW w:type="dxa" w:w="2493"/>
          </w:tcPr>
          <w:p>
            <w:r>
              <w:rPr>
                <w:sz w:val="14"/>
              </w:rPr>
              <w:t>delivered 22 Sep 2026</w:t>
            </w:r>
          </w:p>
        </w:tc>
        <w:tc>
          <w:tcPr>
            <w:tcW w:type="dxa" w:w="2493"/>
          </w:tcPr>
          <w:p>
            <w:r>
              <w:rPr>
                <w:sz w:val="14"/>
              </w:rPr>
              <w:t>Input/GeneralHalufa/</w:t>
            </w:r>
          </w:p>
        </w:tc>
        <w:tc>
          <w:tcPr>
            <w:tcW w:type="dxa" w:w="2493"/>
          </w:tcPr>
          <w:p>
            <w:r>
              <w:rPr>
                <w:sz w:val="14"/>
              </w:rPr>
              <w:t>24 stations, station-to-station times (step 25)</w:t>
            </w:r>
          </w:p>
        </w:tc>
      </w:tr>
      <w:tr>
        <w:tc>
          <w:tcPr>
            <w:tcW w:type="dxa" w:w="2493"/>
          </w:tcPr>
          <w:p>
            <w:r>
              <w:rPr>
                <w:sz w:val="14"/>
              </w:rPr>
              <w:t>Main Nofit route (under construction) and its 20 stop nodes</w:t>
            </w:r>
          </w:p>
        </w:tc>
        <w:tc>
          <w:tcPr>
            <w:tcW w:type="dxa" w:w="2493"/>
          </w:tcPr>
          <w:p>
            <w:r>
              <w:rPr>
                <w:sz w:val="14"/>
              </w:rPr>
              <w:t>delivered 5 Oct 2026</w:t>
            </w:r>
          </w:p>
        </w:tc>
        <w:tc>
          <w:tcPr>
            <w:tcW w:type="dxa" w:w="2493"/>
          </w:tcPr>
          <w:p>
            <w:r>
              <w:rPr>
                <w:sz w:val="14"/>
              </w:rPr>
              <w:t>Input/Main_Nofit/</w:t>
            </w:r>
          </w:p>
        </w:tc>
        <w:tc>
          <w:tcPr>
            <w:tcW w:type="dxa" w:w="2493"/>
          </w:tcPr>
          <w:p>
            <w:r>
              <w:rPr>
                <w:sz w:val="14"/>
              </w:rPr>
              <w:t>Main-route stations and running time at 80 km/h (step 45)</w:t>
            </w:r>
          </w:p>
        </w:tc>
      </w:tr>
      <w:tr>
        <w:tc>
          <w:tcPr>
            <w:tcW w:type="dxa" w:w="2493"/>
          </w:tcPr>
          <w:p>
            <w:r>
              <w:rPr>
                <w:sz w:val="14"/>
              </w:rPr>
              <w:t>Corridor aggregation V2 — 25 areas, 174 TAZs, three route orders</w:t>
            </w:r>
          </w:p>
        </w:tc>
        <w:tc>
          <w:tcPr>
            <w:tcW w:type="dxa" w:w="2493"/>
          </w:tcPr>
          <w:p>
            <w:r>
              <w:rPr>
                <w:sz w:val="14"/>
              </w:rPr>
              <w:t>delivered 22 Sep 2026</w:t>
            </w:r>
          </w:p>
        </w:tc>
        <w:tc>
          <w:tcPr>
            <w:tcW w:type="dxa" w:w="2493"/>
          </w:tcPr>
          <w:p>
            <w:r>
              <w:rPr>
                <w:sz w:val="14"/>
              </w:rPr>
              <w:t>Input/Corridor_TAZ_Agg_V2.xlsx</w:t>
            </w:r>
          </w:p>
        </w:tc>
        <w:tc>
          <w:tcPr>
            <w:tcW w:type="dxa" w:w="2493"/>
          </w:tcPr>
          <w:p>
            <w:r>
              <w:rPr>
                <w:sz w:val="14"/>
              </w:rPr>
              <w:t>Reporting geography, area skims, EB smoothing (steps 24–45)</w:t>
            </w:r>
          </w:p>
        </w:tc>
      </w:tr>
      <w:tr>
        <w:tc>
          <w:tcPr>
            <w:tcW w:type="dxa" w:w="2493"/>
          </w:tcPr>
          <w:p>
            <w:r>
              <w:rPr>
                <w:sz w:val="14"/>
              </w:rPr>
              <w:t>Transit travel-time calibration (Tel Aviv Red Line, operator 22)</w:t>
            </w:r>
          </w:p>
        </w:tc>
        <w:tc>
          <w:tcPr>
            <w:tcW w:type="dxa" w:w="2493"/>
          </w:tcPr>
          <w:p>
            <w:r>
              <w:rPr>
                <w:sz w:val="14"/>
              </w:rPr>
              <w:t>2024–2025 operating data (calibration report)</w:t>
            </w:r>
          </w:p>
        </w:tc>
        <w:tc>
          <w:tcPr>
            <w:tcW w:type="dxa" w:w="2493"/>
          </w:tcPr>
          <w:p>
            <w:r>
              <w:rPr>
                <w:sz w:val="14"/>
              </w:rPr>
              <w:t>docs/Transit_Travel_Time_Calibration_Report_Operator22.md</w:t>
            </w:r>
          </w:p>
        </w:tc>
        <w:tc>
          <w:tcPr>
            <w:tcW w:type="dxa" w:w="2493"/>
          </w:tcPr>
          <w:p>
            <w:r>
              <w:rPr>
                <w:sz w:val="14"/>
              </w:rPr>
              <w:t>Stop-to-stop LRT running-time function, underground / ground (step 25)</w:t>
            </w:r>
          </w:p>
        </w:tc>
      </w:tr>
      <w:tr>
        <w:tc>
          <w:tcPr>
            <w:tcW w:type="dxa" w:w="2493"/>
          </w:tcPr>
          <w:p>
            <w:r>
              <w:rPr>
                <w:sz w:val="14"/>
              </w:rPr>
              <w:t>Out-of-vehicle weights research (literature and the calibrated Israeli models)</w:t>
            </w:r>
          </w:p>
        </w:tc>
        <w:tc>
          <w:tcPr>
            <w:tcW w:type="dxa" w:w="2493"/>
          </w:tcPr>
          <w:p>
            <w:r>
              <w:rPr>
                <w:sz w:val="14"/>
              </w:rPr>
              <w:t>executed 4 Oct 2026</w:t>
            </w:r>
          </w:p>
        </w:tc>
        <w:tc>
          <w:tcPr>
            <w:tcW w:type="dxa" w:w="2493"/>
          </w:tcPr>
          <w:p>
            <w:r>
              <w:rPr>
                <w:sz w:val="14"/>
              </w:rPr>
              <w:t>docs/OVT_WEIGHTS_PARAMETER_MEMO.md</w:t>
            </w:r>
          </w:p>
        </w:tc>
        <w:tc>
          <w:tcPr>
            <w:tcW w:type="dxa" w:w="2493"/>
          </w:tcPr>
          <w:p>
            <w:r>
              <w:rPr>
                <w:sz w:val="14"/>
              </w:rPr>
              <w:t>Walk / wait weights, transfer penalties, LRT premium (steps 44, 45)</w:t>
            </w:r>
          </w:p>
        </w:tc>
      </w:tr>
    </w:tbl>
    <w:p>
      <w:pPr>
        <w:pStyle w:val="Heading2"/>
      </w:pPr>
      <w:r>
        <w:t>2.3 Approach</w:t>
      </w:r>
    </w:p>
    <w:p>
      <w:pPr>
        <w:pStyle w:val="ListBullet"/>
      </w:pPr>
      <w:r>
        <w:t>Trips, not vehicles. Every matrix is person journeys of residents of the study area with both ends inside it, in the three-hour peak. Car occupancy (1.33 AM) and PCE factors enter only where the car layer is compared with counts.</w:t>
      </w:r>
    </w:p>
    <w:p>
      <w:pPr>
        <w:pStyle w:val="ListBullet"/>
      </w:pPr>
      <w:r>
        <w:t>Two geographies. TAZs (781) for routing, access and the pivot; the 25 corridor areas for reporting, for the Empirical-Bayes prior and for the line profiles. The corridor market is the 174 TAZs of the V2 aggregation; demand is counted on pairs of TAZs in different areas.</w:t>
      </w:r>
    </w:p>
    <w:p>
      <w:pPr>
        <w:pStyle w:val="ListBullet"/>
      </w:pPr>
      <w:r>
        <w:t>Level of service from measured data. Car and bus times are the May 2026 observed speeds (07:00 for AM, 17:00 for PM), not modelled congestion; the transit service is the actual timetable with wait = half the combined headway (capped at 10 min), access by walking at 4 km/h × 1.3 detour within 1 km, transfers within 300 m.</w:t>
      </w:r>
    </w:p>
    <w:p>
      <w:pPr>
        <w:pStyle w:val="ListBullet"/>
      </w:pPr>
      <w:r>
        <w:t>The LRT as a new path inside the transit nest. For each TAZ pair the LRT path is the cheapest-access station at each end (gateway rule), its running time, a 2.5-min wait (5-min headway), 0.5 min station access per end, and a feeder leg by bus (8-min penalty) or Metronit (4-min penalty) where the stations are beyond walking distance. The LRT premium of 5 generalized minutes over a bus path and 2.5 over a Metronit path comes from the in-vehicle-time multipliers of the calibrated Israeli models (LRT 0.80–0.85 against BRT 0.90–0.95).</w:t>
      </w:r>
    </w:p>
    <w:p>
      <w:pPr>
        <w:pStyle w:val="ListBullet"/>
      </w:pPr>
      <w:r>
        <w:t>Pivot, not re-estimation. The observed 2022 shares per TAZ pair are the anchor; the LRT changes them through P(LRT | transit) and the logsum change. The car's absolute cost cancels in the pivot (caveat 25), so the car-to-LRT shift rests on λ and the transit-side costs alone.</w:t>
      </w:r>
    </w:p>
    <w:p>
      <w:pPr>
        <w:pStyle w:val="ListBullet"/>
      </w:pPr>
      <w:r>
        <w:t>Forecasts as demographic references. The 2040 / 2050 sets move the 2022 pattern with the people and jobs; they carry no service change, no change in car ownership, fares or telework. The PM forecast sets are the PM 2022 base grown at the AM growth per TAZ pair (caveat 28).</w:t>
      </w:r>
    </w:p>
    <w:p>
      <w:pPr>
        <w:pStyle w:val="ListBullet"/>
      </w:pPr>
      <w:r>
        <w:t>Every step is a notebook with its inputs, outputs and checks recorded in METHODOLOGY.md; every result is reproducible from the repository (METHODOLOGY §9).</w:t>
      </w:r>
    </w:p>
    <w:p>
      <w:pPr>
        <w:pStyle w:val="Heading1"/>
      </w:pPr>
      <w:r>
        <w:t>3. Calibration and the base scenario</w:t>
      </w:r>
    </w:p>
    <w:p>
      <w:pPr>
        <w:pStyle w:val="Heading2"/>
      </w:pPr>
      <w:r>
        <w:t>3.1 Building the 2022 base</w:t>
      </w:r>
    </w:p>
    <w:p>
      <w:r>
        <w:t>The base-year matrices come from the 2017/18 household travel survey (16,401 persons, 5,108 households, two survey days), weighted with the revised household weights, with the AM peak defined by the departure hour 06:00–08:59. The bus layer was calibrated to the May 2022 RavKav linked journeys under a segmented coverage rule: where the ticketing covers a super-zone pair well it sets the volume, elsewhere the survey keeps it, with the on-board survey's destination probabilities placing the trips below super-zone level. The rail layer is the survey's rail trips grown by the national ridership series. All layers were then moved from 2018 to 2022 by TAZ population and employment (geometric interpolation between the 2020 and BU-2025 zonal files).</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sz w:val="16"/>
              </w:rPr>
              <w:t>2022, AM 06:00–09:00</w:t>
            </w:r>
          </w:p>
        </w:tc>
        <w:tc>
          <w:tcPr>
            <w:tcW w:type="dxa" w:w="1994"/>
          </w:tcPr>
          <w:p>
            <w:r>
              <w:rPr>
                <w:b/>
                <w:sz w:val="16"/>
              </w:rPr>
              <w:t>car</w:t>
            </w:r>
          </w:p>
        </w:tc>
        <w:tc>
          <w:tcPr>
            <w:tcW w:type="dxa" w:w="1994"/>
          </w:tcPr>
          <w:p>
            <w:r>
              <w:rPr>
                <w:b/>
                <w:sz w:val="16"/>
              </w:rPr>
              <w:t>bus (+ Metronit)</w:t>
            </w:r>
          </w:p>
        </w:tc>
        <w:tc>
          <w:tcPr>
            <w:tcW w:type="dxa" w:w="1994"/>
          </w:tcPr>
          <w:p>
            <w:r>
              <w:rPr>
                <w:b/>
                <w:sz w:val="16"/>
              </w:rPr>
              <w:t>taxi-type</w:t>
            </w:r>
          </w:p>
        </w:tc>
        <w:tc>
          <w:tcPr>
            <w:tcW w:type="dxa" w:w="1994"/>
          </w:tcPr>
          <w:p>
            <w:r>
              <w:rPr>
                <w:b/>
                <w:sz w:val="16"/>
              </w:rPr>
              <w:t>rail</w:t>
            </w:r>
          </w:p>
        </w:tc>
      </w:tr>
      <w:tr>
        <w:tc>
          <w:tcPr>
            <w:tcW w:type="dxa" w:w="1994"/>
          </w:tcPr>
          <w:p>
            <w:r>
              <w:rPr>
                <w:sz w:val="16"/>
              </w:rPr>
              <w:t>corridor → corridor</w:t>
            </w:r>
          </w:p>
        </w:tc>
        <w:tc>
          <w:tcPr>
            <w:tcW w:type="dxa" w:w="1994"/>
          </w:tcPr>
          <w:p>
            <w:r>
              <w:rPr>
                <w:sz w:val="16"/>
              </w:rPr>
              <w:t>72,331</w:t>
            </w:r>
          </w:p>
        </w:tc>
        <w:tc>
          <w:tcPr>
            <w:tcW w:type="dxa" w:w="1994"/>
          </w:tcPr>
          <w:p>
            <w:r>
              <w:rPr>
                <w:sz w:val="16"/>
              </w:rPr>
              <w:t>10,255</w:t>
            </w:r>
          </w:p>
        </w:tc>
        <w:tc>
          <w:tcPr>
            <w:tcW w:type="dxa" w:w="1994"/>
          </w:tcPr>
          <w:p>
            <w:r>
              <w:rPr>
                <w:sz w:val="16"/>
              </w:rPr>
              <w:t>313</w:t>
            </w:r>
          </w:p>
        </w:tc>
        <w:tc>
          <w:tcPr>
            <w:tcW w:type="dxa" w:w="1994"/>
          </w:tcPr>
          <w:p>
            <w:r>
              <w:rPr>
                <w:sz w:val="16"/>
              </w:rPr>
              <w:t>0</w:t>
            </w:r>
          </w:p>
        </w:tc>
      </w:tr>
      <w:tr>
        <w:tc>
          <w:tcPr>
            <w:tcW w:type="dxa" w:w="1994"/>
          </w:tcPr>
          <w:p>
            <w:r>
              <w:rPr>
                <w:sz w:val="16"/>
              </w:rPr>
              <w:t>corridor → outside</w:t>
            </w:r>
          </w:p>
        </w:tc>
        <w:tc>
          <w:tcPr>
            <w:tcW w:type="dxa" w:w="1994"/>
          </w:tcPr>
          <w:p>
            <w:r>
              <w:rPr>
                <w:sz w:val="16"/>
              </w:rPr>
              <w:t>47,011</w:t>
            </w:r>
          </w:p>
        </w:tc>
        <w:tc>
          <w:tcPr>
            <w:tcW w:type="dxa" w:w="1994"/>
          </w:tcPr>
          <w:p>
            <w:r>
              <w:rPr>
                <w:sz w:val="16"/>
              </w:rPr>
              <w:t>8,947</w:t>
            </w:r>
          </w:p>
        </w:tc>
        <w:tc>
          <w:tcPr>
            <w:tcW w:type="dxa" w:w="1994"/>
          </w:tcPr>
          <w:p>
            <w:r>
              <w:rPr>
                <w:sz w:val="16"/>
              </w:rPr>
              <w:t>573</w:t>
            </w:r>
          </w:p>
        </w:tc>
        <w:tc>
          <w:tcPr>
            <w:tcW w:type="dxa" w:w="1994"/>
          </w:tcPr>
          <w:p>
            <w:r>
              <w:rPr>
                <w:sz w:val="16"/>
              </w:rPr>
              <w:t>292</w:t>
            </w:r>
          </w:p>
        </w:tc>
      </w:tr>
      <w:tr>
        <w:tc>
          <w:tcPr>
            <w:tcW w:type="dxa" w:w="1994"/>
          </w:tcPr>
          <w:p>
            <w:r>
              <w:rPr>
                <w:sz w:val="16"/>
              </w:rPr>
              <w:t>outside → corridor</w:t>
            </w:r>
          </w:p>
        </w:tc>
        <w:tc>
          <w:tcPr>
            <w:tcW w:type="dxa" w:w="1994"/>
          </w:tcPr>
          <w:p>
            <w:r>
              <w:rPr>
                <w:sz w:val="16"/>
              </w:rPr>
              <w:t>89,181</w:t>
            </w:r>
          </w:p>
        </w:tc>
        <w:tc>
          <w:tcPr>
            <w:tcW w:type="dxa" w:w="1994"/>
          </w:tcPr>
          <w:p>
            <w:r>
              <w:rPr>
                <w:sz w:val="16"/>
              </w:rPr>
              <w:t>19,144</w:t>
            </w:r>
          </w:p>
        </w:tc>
        <w:tc>
          <w:tcPr>
            <w:tcW w:type="dxa" w:w="1994"/>
          </w:tcPr>
          <w:p>
            <w:r>
              <w:rPr>
                <w:sz w:val="16"/>
              </w:rPr>
              <w:t>1,020</w:t>
            </w:r>
          </w:p>
        </w:tc>
        <w:tc>
          <w:tcPr>
            <w:tcW w:type="dxa" w:w="1994"/>
          </w:tcPr>
          <w:p>
            <w:r>
              <w:rPr>
                <w:sz w:val="16"/>
              </w:rPr>
              <w:t>2,618</w:t>
            </w:r>
          </w:p>
        </w:tc>
      </w:tr>
      <w:tr>
        <w:tc>
          <w:tcPr>
            <w:tcW w:type="dxa" w:w="1994"/>
          </w:tcPr>
          <w:p>
            <w:r>
              <w:rPr>
                <w:sz w:val="16"/>
              </w:rPr>
              <w:t>outside → outside</w:t>
            </w:r>
          </w:p>
        </w:tc>
        <w:tc>
          <w:tcPr>
            <w:tcW w:type="dxa" w:w="1994"/>
          </w:tcPr>
          <w:p>
            <w:r>
              <w:rPr>
                <w:sz w:val="16"/>
              </w:rPr>
              <w:t>1,145,275</w:t>
            </w:r>
          </w:p>
        </w:tc>
        <w:tc>
          <w:tcPr>
            <w:tcW w:type="dxa" w:w="1994"/>
          </w:tcPr>
          <w:p>
            <w:r>
              <w:rPr>
                <w:sz w:val="16"/>
              </w:rPr>
              <w:t>79,615</w:t>
            </w:r>
          </w:p>
        </w:tc>
        <w:tc>
          <w:tcPr>
            <w:tcW w:type="dxa" w:w="1994"/>
          </w:tcPr>
          <w:p>
            <w:r>
              <w:rPr>
                <w:sz w:val="16"/>
              </w:rPr>
              <w:t>7,545</w:t>
            </w:r>
          </w:p>
        </w:tc>
        <w:tc>
          <w:tcPr>
            <w:tcW w:type="dxa" w:w="1994"/>
          </w:tcPr>
          <w:p>
            <w:r>
              <w:rPr>
                <w:sz w:val="16"/>
              </w:rPr>
              <w:t>1,141</w:t>
            </w:r>
          </w:p>
        </w:tc>
      </w:tr>
      <w:tr>
        <w:tc>
          <w:tcPr>
            <w:tcW w:type="dxa" w:w="1994"/>
          </w:tcPr>
          <w:p>
            <w:r>
              <w:rPr>
                <w:sz w:val="16"/>
              </w:rPr>
              <w:t>all study area</w:t>
            </w:r>
          </w:p>
        </w:tc>
        <w:tc>
          <w:tcPr>
            <w:tcW w:type="dxa" w:w="1994"/>
          </w:tcPr>
          <w:p>
            <w:r>
              <w:rPr>
                <w:sz w:val="16"/>
              </w:rPr>
              <w:t>1,353,798</w:t>
            </w:r>
          </w:p>
        </w:tc>
        <w:tc>
          <w:tcPr>
            <w:tcW w:type="dxa" w:w="1994"/>
          </w:tcPr>
          <w:p>
            <w:r>
              <w:rPr>
                <w:sz w:val="16"/>
              </w:rPr>
              <w:t>117,961</w:t>
            </w:r>
          </w:p>
        </w:tc>
        <w:tc>
          <w:tcPr>
            <w:tcW w:type="dxa" w:w="1994"/>
          </w:tcPr>
          <w:p>
            <w:r>
              <w:rPr>
                <w:sz w:val="16"/>
              </w:rPr>
              <w:t>9,451</w:t>
            </w:r>
          </w:p>
        </w:tc>
        <w:tc>
          <w:tcPr>
            <w:tcW w:type="dxa" w:w="1994"/>
          </w:tcPr>
          <w:p>
            <w:r>
              <w:rPr>
                <w:sz w:val="16"/>
              </w:rPr>
              <w:t>4,050</w:t>
            </w:r>
          </w:p>
        </w:tc>
      </w:tr>
    </w:tbl>
    <w:p>
      <w:r>
        <w:rPr>
          <w:sz w:val="16"/>
        </w:rPr>
        <w:t>Table 3.1 — The 2022 base by corridor class (Output/ths2017/three_mode_2022/summary_2018_2022.csv). The corridor is the 28-sub-area definition of step 17; on the V2 corridor (25 areas, 174 TAZs) the off-diagonal market is 56,445 car / 14,133 transit / 720 taxi-type trips, transit share 0.20.</w:t>
      </w:r>
    </w:p>
    <w:p>
      <w:r>
        <w:drawing>
          <wp:inline xmlns:a="http://schemas.openxmlformats.org/drawingml/2006/main" xmlns:pic="http://schemas.openxmlformats.org/drawingml/2006/picture">
            <wp:extent cx="5400000" cy="1850875"/>
            <wp:docPr id="2" name="Picture 2"/>
            <wp:cNvGraphicFramePr>
              <a:graphicFrameLocks noChangeAspect="1"/>
            </wp:cNvGraphicFramePr>
            <a:graphic>
              <a:graphicData uri="http://schemas.openxmlformats.org/drawingml/2006/picture">
                <pic:pic>
                  <pic:nvPicPr>
                    <pic:cNvPr id="0" name="three_mode_2022.png"/>
                    <pic:cNvPicPr/>
                  </pic:nvPicPr>
                  <pic:blipFill>
                    <a:blip r:embed="rId10"/>
                    <a:stretch>
                      <a:fillRect/>
                    </a:stretch>
                  </pic:blipFill>
                  <pic:spPr>
                    <a:xfrm>
                      <a:off x="0" y="0"/>
                      <a:ext cx="5400000" cy="1850875"/>
                    </a:xfrm>
                    <a:prstGeom prst="rect"/>
                  </pic:spPr>
                </pic:pic>
              </a:graphicData>
            </a:graphic>
          </wp:inline>
        </w:drawing>
      </w:r>
    </w:p>
    <w:p>
      <w:r>
        <w:rPr>
          <w:i/>
          <w:sz w:val="16"/>
        </w:rPr>
        <w:t>Figure 3.1 — The 2022 layers: car, bus, taxi-type and rail by super-zone (step 16).</w:t>
      </w:r>
    </w:p>
    <w:p>
      <w:pPr>
        <w:pStyle w:val="Heading2"/>
      </w:pPr>
      <w:r>
        <w:t>3.2 Tests against independent data</w:t>
      </w:r>
    </w:p>
    <w:p>
      <w:r>
        <w:t>The base was tested against four independent sources. The outcome in one line each:</w:t>
      </w:r>
    </w:p>
    <w:p>
      <w:pPr>
        <w:pStyle w:val="ListBullet"/>
      </w:pPr>
      <w:r>
        <w:t>Bus against the RavKav ticketing on the corridor (step 28): on the Haifa trunk the calibrated survey profile is within 1–4 % of the ticketing profile in the direction towards Nazareth (1.01–1.04) and within −14 % / +12 % in the other direction; beyond Hamifrats the two frames differ by up to 1.5 × in one direction (Figure 3.2).</w:t>
      </w:r>
    </w:p>
    <w:p>
      <w:pPr>
        <w:pStyle w:val="ListBullet"/>
      </w:pPr>
      <w:r>
        <w:t>Bus against RavKav by time of day (MoT T14): RavKav / survey bus trips 0.73 in the AM (education trips are 40 % of the survey's AM bus trips and are under-represented in the card data), 0.96 in the PM, 0.92 at midday.</w:t>
      </w:r>
    </w:p>
    <w:p>
      <w:pPr>
        <w:pStyle w:val="ListBullet"/>
      </w:pPr>
      <w:r>
        <w:t>Car against road counts on closed cordons (step 36, Figure 3.3): survey car vehicles ÷ counted vehicles 0.58–0.90 on the outer cordons and 0.61–0.62 on the metropolitan core, the expected order for a residents' personal-trip layer against all traffic (through, commercial and non-resident traffic are not in the survey). The survey's departure-time profile is peakier than the road's: 62 % of the three hours in the peak hour against 38–43 % on the counted links (caveat 18).</w:t>
      </w:r>
    </w:p>
    <w:p>
      <w:pPr>
        <w:pStyle w:val="ListBullet"/>
      </w:pPr>
      <w:r>
        <w:t>Car assignment against link counts (step 42, MoT T11): all-or-nothing on the Emme network reproduces the counted volumes in total (assigned ÷ counted 0.93 on the 1,346 links counted 2021–2023) but not their pattern (R² 0.47 and RMSE 113 % against the guideline's 0.85 and 35 %) — a person-trip layer without commercial traffic or route choice does not pass a link-level test (caveat 23).</w:t>
      </w:r>
    </w:p>
    <w:p>
      <w:pPr>
        <w:pStyle w:val="ListBullet"/>
      </w:pPr>
      <w:r>
        <w:t>Survey against cellular OD (step 1b, MoT T5): the super-zone matrices agree in structure; the one systematic divergence is intra-zone travel, which the survey holds above the cellular frame in every super-zone.</w:t>
      </w:r>
    </w:p>
    <w:p>
      <w:pPr>
        <w:pStyle w:val="ListBullet"/>
      </w:pPr>
      <w:r>
        <w:t>Ministry of Transport validation guideline (2024 draft, tests T1–T19 on 226 items): 75 pass, 123 miss with a documented explanation, 10 findings, the rest not applicable or not run. The misses are concentrated in the tests written for a four-step assignment model (link volumes, trip-length distributions at TAZ level, intra-zonal shares); the trip rates (T3: 17 of 24 pass), mode split (T9: 15 of 21) and the car profile against counts (T8: 20 of 21) pass.</w:t>
      </w:r>
    </w:p>
    <w:p>
      <w:r>
        <w:drawing>
          <wp:inline xmlns:a="http://schemas.openxmlformats.org/drawingml/2006/main" xmlns:pic="http://schemas.openxmlformats.org/drawingml/2006/picture">
            <wp:extent cx="5760000" cy="6845976"/>
            <wp:docPr id="3" name="Picture 3"/>
            <wp:cNvGraphicFramePr>
              <a:graphicFrameLocks noChangeAspect="1"/>
            </wp:cNvGraphicFramePr>
            <a:graphic>
              <a:graphicData uri="http://schemas.openxmlformats.org/drawingml/2006/picture">
                <pic:pic>
                  <pic:nvPicPr>
                    <pic:cNvPr id="0" name="corridor_v2_survey_vs_ticketing.png"/>
                    <pic:cNvPicPr/>
                  </pic:nvPicPr>
                  <pic:blipFill>
                    <a:blip r:embed="rId11"/>
                    <a:stretch>
                      <a:fillRect/>
                    </a:stretch>
                  </pic:blipFill>
                  <pic:spPr>
                    <a:xfrm>
                      <a:off x="0" y="0"/>
                      <a:ext cx="5760000" cy="6845976"/>
                    </a:xfrm>
                    <a:prstGeom prst="rect"/>
                  </pic:spPr>
                </pic:pic>
              </a:graphicData>
            </a:graphic>
          </wp:inline>
        </w:drawing>
      </w:r>
    </w:p>
    <w:p>
      <w:r>
        <w:rPr>
          <w:i/>
          <w:sz w:val="16"/>
        </w:rPr>
        <w:t>Figure 3.2 — Transit profile on the corridor: calibrated survey against the RavKav ticketing, by route and direction (step 28).</w:t>
      </w:r>
    </w:p>
    <w:p>
      <w:r>
        <w:drawing>
          <wp:inline xmlns:a="http://schemas.openxmlformats.org/drawingml/2006/main" xmlns:pic="http://schemas.openxmlformats.org/drawingml/2006/picture">
            <wp:extent cx="5760000" cy="2592000"/>
            <wp:docPr id="4" name="Picture 4"/>
            <wp:cNvGraphicFramePr>
              <a:graphicFrameLocks noChangeAspect="1"/>
            </wp:cNvGraphicFramePr>
            <a:graphic>
              <a:graphicData uri="http://schemas.openxmlformats.org/drawingml/2006/picture">
                <pic:pic>
                  <pic:nvPicPr>
                    <pic:cNvPr id="0" name="car_cordon_counts.png"/>
                    <pic:cNvPicPr/>
                  </pic:nvPicPr>
                  <pic:blipFill>
                    <a:blip r:embed="rId12"/>
                    <a:stretch>
                      <a:fillRect/>
                    </a:stretch>
                  </pic:blipFill>
                  <pic:spPr>
                    <a:xfrm>
                      <a:off x="0" y="0"/>
                      <a:ext cx="5760000" cy="2592000"/>
                    </a:xfrm>
                    <a:prstGeom prst="rect"/>
                  </pic:spPr>
                </pic:pic>
              </a:graphicData>
            </a:graphic>
          </wp:inline>
        </w:drawing>
      </w:r>
    </w:p>
    <w:p>
      <w:r>
        <w:rPr>
          <w:i/>
          <w:sz w:val="16"/>
        </w:rPr>
        <w:t>Figure 3.3 — Car layer against the road counts on closed cordons (step 36).</w:t>
      </w:r>
    </w:p>
    <w:p>
      <w:r>
        <w:drawing>
          <wp:inline xmlns:a="http://schemas.openxmlformats.org/drawingml/2006/main" xmlns:pic="http://schemas.openxmlformats.org/drawingml/2006/picture">
            <wp:extent cx="5400000" cy="2511538"/>
            <wp:docPr id="5" name="Picture 5"/>
            <wp:cNvGraphicFramePr>
              <a:graphicFrameLocks noChangeAspect="1"/>
            </wp:cNvGraphicFramePr>
            <a:graphic>
              <a:graphicData uri="http://schemas.openxmlformats.org/drawingml/2006/picture">
                <pic:pic>
                  <pic:nvPicPr>
                    <pic:cNvPr id="0" name="mot_T9_modesplit.png"/>
                    <pic:cNvPicPr/>
                  </pic:nvPicPr>
                  <pic:blipFill>
                    <a:blip r:embed="rId13"/>
                    <a:stretch>
                      <a:fillRect/>
                    </a:stretch>
                  </pic:blipFill>
                  <pic:spPr>
                    <a:xfrm>
                      <a:off x="0" y="0"/>
                      <a:ext cx="5400000" cy="2511538"/>
                    </a:xfrm>
                    <a:prstGeom prst="rect"/>
                  </pic:spPr>
                </pic:pic>
              </a:graphicData>
            </a:graphic>
          </wp:inline>
        </w:drawing>
      </w:r>
    </w:p>
    <w:p>
      <w:r>
        <w:rPr>
          <w:i/>
          <w:sz w:val="16"/>
        </w:rPr>
        <w:t>Figure 3.4 — Mode split by super-zone against the guideline bands (MoT T9).</w:t>
      </w:r>
    </w:p>
    <w:p>
      <w:pPr>
        <w:pStyle w:val="Heading2"/>
      </w:pPr>
      <w:r>
        <w:t>3.3 Level of service and the cost sensitivity</w:t>
      </w:r>
    </w:p>
    <w:p>
      <w:r>
        <w:t>The transit level of service was built from the timetable with the measured May 2026 running times: observed ÷ scheduled is 1.09 per bus trip (Metronit 0.87), 1.00 on hops under 500 m and 1.42 on hops over 2 km (Figure 3.5). The car times on the May 2026 network are 0.90 × the survey's reported door-to-door times on the trunk pairs and 0.95 × over all pairs, so there is no 2026 uplift of the car time (step 37). The May 2026 car speeds hardly move by hour (median 2.3 km/h across the day; caveat 24), so the "07:00" car skim is in effect an all-day May 2026 speed.</w:t>
      </w:r>
    </w:p>
    <w:p>
      <w:r>
        <w:drawing>
          <wp:inline xmlns:a="http://schemas.openxmlformats.org/drawingml/2006/main" xmlns:pic="http://schemas.openxmlformats.org/drawingml/2006/picture">
            <wp:extent cx="5040000" cy="2352170"/>
            <wp:docPr id="6" name="Picture 6"/>
            <wp:cNvGraphicFramePr>
              <a:graphicFrameLocks noChangeAspect="1"/>
            </wp:cNvGraphicFramePr>
            <a:graphic>
              <a:graphicData uri="http://schemas.openxmlformats.org/drawingml/2006/picture">
                <pic:pic>
                  <pic:nvPicPr>
                    <pic:cNvPr id="0" name="gtfs_bus_observed_vs_scheduled.png"/>
                    <pic:cNvPicPr/>
                  </pic:nvPicPr>
                  <pic:blipFill>
                    <a:blip r:embed="rId14"/>
                    <a:stretch>
                      <a:fillRect/>
                    </a:stretch>
                  </pic:blipFill>
                  <pic:spPr>
                    <a:xfrm>
                      <a:off x="0" y="0"/>
                      <a:ext cx="5040000" cy="2352170"/>
                    </a:xfrm>
                    <a:prstGeom prst="rect"/>
                  </pic:spPr>
                </pic:pic>
              </a:graphicData>
            </a:graphic>
          </wp:inline>
        </w:drawing>
      </w:r>
    </w:p>
    <w:p>
      <w:r>
        <w:rPr>
          <w:i/>
          <w:sz w:val="16"/>
        </w:rPr>
        <w:t>Figure 3.5 — Observed against scheduled bus running times, May 2026 (step 30).</w:t>
      </w:r>
    </w:p>
    <w:p>
      <w:r>
        <w:t>Generalized cost on the trunk pairs (trip-weighted, AM, generalized minutes; Output/alternatives/skims_summary.csv): car 13.8; bus / Metronit 44.8 at TAZ level (the area-level skim of step 31 had 27–30 because it pooled every direct line's headway and the nearest stop's walk — caveat 26); LRT through line 48.7 Prioritized / 57.2 Unprioritized including the 5-minute premium. The LRT's in-vehicle time on the trunk is below the bus's; its remaining disadvantage is station access and the transfer where a feeder is needed.</w:t>
      </w:r>
    </w:p>
    <w:p>
      <w:r>
        <w:t>The cost sensitivity λ could not be identified from the 2022 cross-section of pair shares (wrong sign, ρ² 0.002): the composition of the market by car availability hides it. At the person level (step 33, binary logit on the survey's AM trips within the corridor, car availability, purpose, person and distance held constant) λ = 0.035 per generalized minute (95 % interval 0.002–0.068; 0.040 on the 2026 car skim; 0.053 with area fixed effects), but it is 0.083 for no-car households, not significant for licence holders in car-owning households (0.008 ± 0.017) — the segment the LRT would draw from the car. The chain therefore uses an assumed λ = 0.03 (range 0.02–0.05) and λ_T = 2λ, and reports the range (Figure 3.6).</w:t>
      </w:r>
    </w:p>
    <w:p>
      <w:r>
        <w:drawing>
          <wp:inline xmlns:a="http://schemas.openxmlformats.org/drawingml/2006/main" xmlns:pic="http://schemas.openxmlformats.org/drawingml/2006/picture">
            <wp:extent cx="5040000" cy="2243111"/>
            <wp:docPr id="7" name="Picture 7"/>
            <wp:cNvGraphicFramePr>
              <a:graphicFrameLocks noChangeAspect="1"/>
            </wp:cNvGraphicFramePr>
            <a:graphic>
              <a:graphicData uri="http://schemas.openxmlformats.org/drawingml/2006/picture">
                <pic:pic>
                  <pic:nvPicPr>
                    <pic:cNvPr id="0" name="mode_choice_person_level_by_segment.png"/>
                    <pic:cNvPicPr/>
                  </pic:nvPicPr>
                  <pic:blipFill>
                    <a:blip r:embed="rId15"/>
                    <a:stretch>
                      <a:fillRect/>
                    </a:stretch>
                  </pic:blipFill>
                  <pic:spPr>
                    <a:xfrm>
                      <a:off x="0" y="0"/>
                      <a:ext cx="5040000" cy="2243111"/>
                    </a:xfrm>
                    <a:prstGeom prst="rect"/>
                  </pic:spPr>
                </pic:pic>
              </a:graphicData>
            </a:graphic>
          </wp:inline>
        </w:drawing>
      </w:r>
    </w:p>
    <w:p>
      <w:r>
        <w:rPr>
          <w:i/>
          <w:sz w:val="16"/>
        </w:rPr>
        <w:t>Figure 3.6 — λ by car-availability segment, person-level estimation (step 33).</w:t>
      </w:r>
    </w:p>
    <w:p>
      <w:pPr>
        <w:pStyle w:val="Heading2"/>
      </w:pPr>
      <w:r>
        <w:t>3.4 The base scenario with the LRT (2022)</w:t>
      </w:r>
    </w:p>
    <w:p>
      <w:r>
        <w:t>With the main route + extension added to the 2022 service, the AM three-hour LRT demand on the corridor market is 5,193 trips Prioritized (4,209 Unprioritized), 4,004 of them using the extension; 295 come from the car and 4,898 from bus and Metronit. The transit share of the corridor market moves from 20.0 % to 20.8 %. The PM figure is 4,101 (79 % of the AM). In the peak hour: 3,059 AM and 1,961 PM (factors 0.59 / 0.48).</w:t>
      </w:r>
    </w:p>
    <w:p>
      <w:r>
        <w:t>The uncertainty experiment (step 40) and the λ / premium ranges of step 31 put the 2022 capture between about 0.75 × and 1.4 × the central value: λ 0.02 → +40 %, λ 0.05 → −25 %; premium 0 → −20 %, premium 10 → +25 %. The regime (running time) is worth about −20 % (Unprioritized against Prioritized), of the same order as the λ range.</w:t>
      </w:r>
    </w:p>
    <w:p>
      <w:r>
        <w:drawing>
          <wp:inline xmlns:a="http://schemas.openxmlformats.org/drawingml/2006/main" xmlns:pic="http://schemas.openxmlformats.org/drawingml/2006/picture">
            <wp:extent cx="5040000" cy="2520000"/>
            <wp:docPr id="8" name="Picture 8"/>
            <wp:cNvGraphicFramePr>
              <a:graphicFrameLocks noChangeAspect="1"/>
            </wp:cNvGraphicFramePr>
            <a:graphic>
              <a:graphicData uri="http://schemas.openxmlformats.org/drawingml/2006/picture">
                <pic:pic>
                  <pic:nvPicPr>
                    <pic:cNvPr id="0" name="lrt_capture_tornado.png"/>
                    <pic:cNvPicPr/>
                  </pic:nvPicPr>
                  <pic:blipFill>
                    <a:blip r:embed="rId16"/>
                    <a:stretch>
                      <a:fillRect/>
                    </a:stretch>
                  </pic:blipFill>
                  <pic:spPr>
                    <a:xfrm>
                      <a:off x="0" y="0"/>
                      <a:ext cx="5040000" cy="2520000"/>
                    </a:xfrm>
                    <a:prstGeom prst="rect"/>
                  </pic:spPr>
                </pic:pic>
              </a:graphicData>
            </a:graphic>
          </wp:inline>
        </w:drawing>
      </w:r>
    </w:p>
    <w:p>
      <w:r>
        <w:rPr>
          <w:i/>
          <w:sz w:val="16"/>
        </w:rPr>
        <w:t>Figure 3.7 — Sensitivity of the 2022 LRT capture to the assumed factors (step 40).</w:t>
      </w:r>
    </w:p>
    <w:p>
      <w:r>
        <w:drawing>
          <wp:inline xmlns:a="http://schemas.openxmlformats.org/drawingml/2006/main" xmlns:pic="http://schemas.openxmlformats.org/drawingml/2006/picture">
            <wp:extent cx="5760000" cy="4680000"/>
            <wp:docPr id="9" name="Picture 9"/>
            <wp:cNvGraphicFramePr>
              <a:graphicFrameLocks noChangeAspect="1"/>
            </wp:cNvGraphicFramePr>
            <a:graphic>
              <a:graphicData uri="http://schemas.openxmlformats.org/drawingml/2006/picture">
                <pic:pic>
                  <pic:nvPicPr>
                    <pic:cNvPr id="0" name="map_line_loads_AM_2022.png"/>
                    <pic:cNvPicPr/>
                  </pic:nvPicPr>
                  <pic:blipFill>
                    <a:blip r:embed="rId17"/>
                    <a:stretch>
                      <a:fillRect/>
                    </a:stretch>
                  </pic:blipFill>
                  <pic:spPr>
                    <a:xfrm>
                      <a:off x="0" y="0"/>
                      <a:ext cx="5760000" cy="4680000"/>
                    </a:xfrm>
                    <a:prstGeom prst="rect"/>
                  </pic:spPr>
                </pic:pic>
              </a:graphicData>
            </a:graphic>
          </wp:inline>
        </w:drawing>
      </w:r>
    </w:p>
    <w:p>
      <w:r>
        <w:rPr>
          <w:i/>
          <w:sz w:val="16"/>
        </w:rPr>
        <w:t>Figure 3.8 — LRT line loads and station boardings in the peak hour, 2022 AM, main route + extension, Prioritized (step 45).</w:t>
      </w:r>
    </w:p>
    <w:p>
      <w:pPr>
        <w:pStyle w:val="Heading2"/>
      </w:pPr>
      <w:r>
        <w:t>3.5 What the model is good for, and what it should not be used for</w:t>
      </w:r>
    </w:p>
    <w:p>
      <w:r>
        <w:t>Good for:</w:t>
      </w:r>
    </w:p>
    <w:p>
      <w:pPr>
        <w:pStyle w:val="ListBullet"/>
      </w:pPr>
      <w:r>
        <w:t>Sizing the corridor market by mode and locating it (which areas and TAZs, which stations), at the three-hour peak and at the design-hour scale (≈ 1.8 × an average hour).</w:t>
      </w:r>
    </w:p>
    <w:p>
      <w:pPr>
        <w:pStyle w:val="ListBullet"/>
      </w:pPr>
      <w:r>
        <w:t>Ranking alternatives and regimes against each other — through line against extension only, Prioritized against Unprioritized — and reading the order of magnitude of the LRT's draw from bus, Metronit and car.</w:t>
      </w:r>
    </w:p>
    <w:p>
      <w:pPr>
        <w:pStyle w:val="ListBullet"/>
      </w:pPr>
      <w:r>
        <w:t>Showing how that market grows under the BU and HS demographics, with behaviour held constant.</w:t>
      </w:r>
    </w:p>
    <w:p>
      <w:pPr>
        <w:pStyle w:val="ListBullet"/>
      </w:pPr>
      <w:r>
        <w:t>Relative statements about the line profile: where the load peaks, how the two directions differ, how much of the line's demand uses the extension.</w:t>
      </w:r>
    </w:p>
    <w:p>
      <w:r>
        <w:t>Not to be used for:</w:t>
      </w:r>
    </w:p>
    <w:p>
      <w:pPr>
        <w:pStyle w:val="ListBullet"/>
      </w:pPr>
      <w:r>
        <w:t>Passenger loads for capacity, fleet or frequency decisions, or for appraisal. The volumes are unvalidated externally at the link level; the loads are three-hour potential movements between the cheapest-access stations with no capacity constraint or crowding.</w:t>
      </w:r>
    </w:p>
    <w:p>
      <w:pPr>
        <w:pStyle w:val="ListBullet"/>
      </w:pPr>
      <w:r>
        <w:t>Any statement that depends on the car's absolute travel time or on congestion in 2040 / 2050: the pivot cancels the car cost (caveat 25), the skims are May 2026 observed speeds, and the forecast carries no road or car-ownership change.</w:t>
      </w:r>
    </w:p>
    <w:p>
      <w:pPr>
        <w:pStyle w:val="ListBullet"/>
      </w:pPr>
      <w:r>
        <w:t>The exact split between "from car" and "from transit": the induced car trips depend on the aggregation level the pivot is run at (TAZ gives 130 where the area level gives 414; caveat 27), and λ for choice riders is not identified (caveat 15).</w:t>
      </w:r>
    </w:p>
    <w:p>
      <w:pPr>
        <w:pStyle w:val="ListBullet"/>
      </w:pPr>
      <w:r>
        <w:t>TAZ-level detail as such: below the area level the matrices are allocations of survey trips by weights, not observations; a single TAZ's number is not reliable.</w:t>
      </w:r>
    </w:p>
    <w:p>
      <w:pPr>
        <w:pStyle w:val="ListBullet"/>
      </w:pPr>
      <w:r>
        <w:t>Operations of the main route: its stations, the 80 km/h at-grade running, the 5-minute headway and the through-running at Hamifrats without a transfer are assumptions (caveat 28); the PM forecast sets are grown at the AM rates.</w:t>
      </w:r>
    </w:p>
    <w:p>
      <w:r>
        <w:t>The full list of caveats (METHODOLOGY §8, 28 items) in brief:</w:t>
      </w:r>
    </w:p>
    <w:tbl>
      <w:tblPr>
        <w:tblStyle w:val="LightGrid-Accent1"/>
        <w:tblW w:type="auto" w:w="0"/>
        <w:tblLook w:firstColumn="1" w:firstRow="1" w:lastColumn="0" w:lastRow="0" w:noHBand="0" w:noVBand="1" w:val="04A0"/>
      </w:tblPr>
      <w:tblGrid>
        <w:gridCol w:w="4986"/>
        <w:gridCol w:w="4986"/>
      </w:tblGrid>
      <w:tr>
        <w:tc>
          <w:tcPr>
            <w:tcW w:type="dxa" w:w="4986"/>
          </w:tcPr>
          <w:p>
            <w:r>
              <w:rPr>
                <w:b/>
                <w:sz w:val="14"/>
              </w:rPr>
              <w:t>Caveat</w:t>
            </w:r>
          </w:p>
        </w:tc>
        <w:tc>
          <w:tcPr>
            <w:tcW w:type="dxa" w:w="4986"/>
          </w:tcPr>
          <w:p>
            <w:r>
              <w:rPr>
                <w:b/>
                <w:sz w:val="14"/>
              </w:rPr>
              <w:t>In brief</w:t>
            </w:r>
          </w:p>
        </w:tc>
      </w:tr>
      <w:tr>
        <w:tc>
          <w:tcPr>
            <w:tcW w:type="dxa" w:w="4986"/>
          </w:tcPr>
          <w:p>
            <w:r>
              <w:rPr>
                <w:sz w:val="14"/>
              </w:rPr>
              <w:t>1–3</w:t>
            </w:r>
          </w:p>
        </w:tc>
        <w:tc>
          <w:tcPr>
            <w:tcW w:type="dxa" w:w="4986"/>
          </w:tcPr>
          <w:p>
            <w:r>
              <w:rPr>
                <w:sz w:val="14"/>
              </w:rPr>
              <w:t>Survey file version newer than the original run; coarse cellular zone mapping; intra-zone divergence survey vs cellular (72 % vs 34 %).</w:t>
            </w:r>
          </w:p>
        </w:tc>
      </w:tr>
      <w:tr>
        <w:tc>
          <w:tcPr>
            <w:tcW w:type="dxa" w:w="4986"/>
          </w:tcPr>
          <w:p>
            <w:r>
              <w:rPr>
                <w:sz w:val="14"/>
              </w:rPr>
              <w:t>4–6</w:t>
            </w:r>
          </w:p>
        </w:tc>
        <w:tc>
          <w:tcPr>
            <w:tcW w:type="dxa" w:w="4986"/>
          </w:tcPr>
          <w:p>
            <w:r>
              <w:rPr>
                <w:sz w:val="14"/>
              </w:rPr>
              <w:t>Both survey days are the same households (cross-day validation is a lower bound); TAZ volumes scale hybrid probabilities; super-zone OD blocks of the TAZ hybrids are not conserved exactly.</w:t>
            </w:r>
          </w:p>
        </w:tc>
      </w:tr>
      <w:tr>
        <w:tc>
          <w:tcPr>
            <w:tcW w:type="dxa" w:w="4986"/>
          </w:tcPr>
          <w:p>
            <w:r>
              <w:rPr>
                <w:sz w:val="14"/>
              </w:rPr>
              <w:t>7–9</w:t>
            </w:r>
          </w:p>
        </w:tc>
        <w:tc>
          <w:tcPr>
            <w:tcW w:type="dxa" w:w="4986"/>
          </w:tcPr>
          <w:p>
            <w:r>
              <w:rPr>
                <w:sz w:val="14"/>
              </w:rPr>
              <w:t>Units of the transit sources (OnBoard, RavKav) not reconciled; the segmented coverage rule is an assumption with a threshold (bus base 96,000–129,500 under the sweep); taxi-type codes carried as a separate layer.</w:t>
            </w:r>
          </w:p>
        </w:tc>
      </w:tr>
      <w:tr>
        <w:tc>
          <w:tcPr>
            <w:tcW w:type="dxa" w:w="4986"/>
          </w:tcPr>
          <w:p>
            <w:r>
              <w:rPr>
                <w:sz w:val="14"/>
              </w:rPr>
              <w:t>10–11</w:t>
            </w:r>
          </w:p>
        </w:tc>
        <w:tc>
          <w:tcPr>
            <w:tcW w:type="dxa" w:w="4986"/>
          </w:tcPr>
          <w:p>
            <w:r>
              <w:rPr>
                <w:sz w:val="14"/>
              </w:rPr>
              <w:t>The forecast rests on demographic factors only; the 2022 vintage alignment is an interpolation assumption.</w:t>
            </w:r>
          </w:p>
        </w:tc>
      </w:tr>
      <w:tr>
        <w:tc>
          <w:tcPr>
            <w:tcW w:type="dxa" w:w="4986"/>
          </w:tcPr>
          <w:p>
            <w:r>
              <w:rPr>
                <w:sz w:val="14"/>
              </w:rPr>
              <w:t>12–13</w:t>
            </w:r>
          </w:p>
        </w:tc>
        <w:tc>
          <w:tcPr>
            <w:tcW w:type="dxa" w:w="4986"/>
          </w:tcPr>
          <w:p>
            <w:r>
              <w:rPr>
                <w:sz w:val="14"/>
              </w:rPr>
              <w:t>Corridor profiles are potential movements between areas, not loads; the similarity tests are diagnostics, not acceptance criteria.</w:t>
            </w:r>
          </w:p>
        </w:tc>
      </w:tr>
      <w:tr>
        <w:tc>
          <w:tcPr>
            <w:tcW w:type="dxa" w:w="4986"/>
          </w:tcPr>
          <w:p>
            <w:r>
              <w:rPr>
                <w:sz w:val="14"/>
              </w:rPr>
              <w:t>14</w:t>
            </w:r>
          </w:p>
        </w:tc>
        <w:tc>
          <w:tcPr>
            <w:tcW w:type="dxa" w:w="4986"/>
          </w:tcPr>
          <w:p>
            <w:r>
              <w:rPr>
                <w:sz w:val="14"/>
              </w:rPr>
              <w:t>The trips file's mode codes 4 and 5 (group taxi, Metronit) were swapped in early runs; corrected and the chain rerun — Metronit riders are in the transit layer.</w:t>
            </w:r>
          </w:p>
        </w:tc>
      </w:tr>
      <w:tr>
        <w:tc>
          <w:tcPr>
            <w:tcW w:type="dxa" w:w="4986"/>
          </w:tcPr>
          <w:p>
            <w:r>
              <w:rPr>
                <w:sz w:val="14"/>
              </w:rPr>
              <w:t>15</w:t>
            </w:r>
          </w:p>
        </w:tc>
        <w:tc>
          <w:tcPr>
            <w:tcW w:type="dxa" w:w="4986"/>
          </w:tcPr>
          <w:p>
            <w:r>
              <w:rPr>
                <w:sz w:val="14"/>
              </w:rPr>
              <w:t>λ is estimated at the person level (0.035) but not identified for choice riders; the assumed 0.03 (0.02–0.05) is carried with its range.</w:t>
            </w:r>
          </w:p>
        </w:tc>
      </w:tr>
      <w:tr>
        <w:tc>
          <w:tcPr>
            <w:tcW w:type="dxa" w:w="4986"/>
          </w:tcPr>
          <w:p>
            <w:r>
              <w:rPr>
                <w:sz w:val="14"/>
              </w:rPr>
              <w:t>16–17</w:t>
            </w:r>
          </w:p>
        </w:tc>
        <w:tc>
          <w:tcPr>
            <w:tcW w:type="dxa" w:w="4986"/>
          </w:tcPr>
          <w:p>
            <w:r>
              <w:rPr>
                <w:sz w:val="14"/>
              </w:rPr>
              <w:t>RavKav 2025 taps are boardings whose transfer tag is not the 2022 journey definition; the OnBoard destination pattern is what separates the ticketing products.</w:t>
            </w:r>
          </w:p>
        </w:tc>
      </w:tr>
      <w:tr>
        <w:tc>
          <w:tcPr>
            <w:tcW w:type="dxa" w:w="4986"/>
          </w:tcPr>
          <w:p>
            <w:r>
              <w:rPr>
                <w:sz w:val="14"/>
              </w:rPr>
              <w:t>18</w:t>
            </w:r>
          </w:p>
        </w:tc>
        <w:tc>
          <w:tcPr>
            <w:tcW w:type="dxa" w:w="4986"/>
          </w:tcPr>
          <w:p>
            <w:r>
              <w:rPr>
                <w:sz w:val="14"/>
              </w:rPr>
              <w:t>The survey's departure-time profile is peakier than the road counts and the fare gates (0.62 vs 0.38–0.48 of the three hours in the peak hour).</w:t>
            </w:r>
          </w:p>
        </w:tc>
      </w:tr>
      <w:tr>
        <w:tc>
          <w:tcPr>
            <w:tcW w:type="dxa" w:w="4986"/>
          </w:tcPr>
          <w:p>
            <w:r>
              <w:rPr>
                <w:sz w:val="14"/>
              </w:rPr>
              <w:t>19</w:t>
            </w:r>
          </w:p>
        </w:tc>
        <w:tc>
          <w:tcPr>
            <w:tcW w:type="dxa" w:w="4986"/>
          </w:tcPr>
          <w:p>
            <w:r>
              <w:rPr>
                <w:sz w:val="14"/>
              </w:rPr>
              <w:t>Two super-zone keys disagree on 142 TAZs; the keys table is used by decision.</w:t>
            </w:r>
          </w:p>
        </w:tc>
      </w:tr>
      <w:tr>
        <w:tc>
          <w:tcPr>
            <w:tcW w:type="dxa" w:w="4986"/>
          </w:tcPr>
          <w:p>
            <w:r>
              <w:rPr>
                <w:sz w:val="14"/>
              </w:rPr>
              <w:t>20</w:t>
            </w:r>
          </w:p>
        </w:tc>
        <w:tc>
          <w:tcPr>
            <w:tcW w:type="dxa" w:w="4986"/>
          </w:tcPr>
          <w:p>
            <w:r>
              <w:rPr>
                <w:sz w:val="14"/>
              </w:rPr>
              <w:t>The RavKav shortfall against the survey is an AM, education-heavy phenomenon (0.74 AM, 0.96 PM).</w:t>
            </w:r>
          </w:p>
        </w:tc>
      </w:tr>
      <w:tr>
        <w:tc>
          <w:tcPr>
            <w:tcW w:type="dxa" w:w="4986"/>
          </w:tcPr>
          <w:p>
            <w:r>
              <w:rPr>
                <w:sz w:val="14"/>
              </w:rPr>
              <w:t>21–22</w:t>
            </w:r>
          </w:p>
        </w:tc>
        <w:tc>
          <w:tcPr>
            <w:tcW w:type="dxa" w:w="4986"/>
          </w:tcPr>
          <w:p>
            <w:r>
              <w:rPr>
                <w:sz w:val="14"/>
              </w:rPr>
              <w:t>Car occupancy computed with the wrong hour in step 36 (1.33 stands within the band); the survey population is 5 % above the zonal population.</w:t>
            </w:r>
          </w:p>
        </w:tc>
      </w:tr>
      <w:tr>
        <w:tc>
          <w:tcPr>
            <w:tcW w:type="dxa" w:w="4986"/>
          </w:tcPr>
          <w:p>
            <w:r>
              <w:rPr>
                <w:sz w:val="14"/>
              </w:rPr>
              <w:t>23</w:t>
            </w:r>
          </w:p>
        </w:tc>
        <w:tc>
          <w:tcPr>
            <w:tcW w:type="dxa" w:w="4986"/>
          </w:tcPr>
          <w:p>
            <w:r>
              <w:rPr>
                <w:sz w:val="14"/>
              </w:rPr>
              <w:t>The car layer does not reproduce the link counts' pattern (all-or-nothing, no commercial traffic).</w:t>
            </w:r>
          </w:p>
        </w:tc>
      </w:tr>
      <w:tr>
        <w:tc>
          <w:tcPr>
            <w:tcW w:type="dxa" w:w="4986"/>
          </w:tcPr>
          <w:p>
            <w:r>
              <w:rPr>
                <w:sz w:val="14"/>
              </w:rPr>
              <w:t>24</w:t>
            </w:r>
          </w:p>
        </w:tc>
        <w:tc>
          <w:tcPr>
            <w:tcW w:type="dxa" w:w="4986"/>
          </w:tcPr>
          <w:p>
            <w:r>
              <w:rPr>
                <w:sz w:val="14"/>
              </w:rPr>
              <w:t>The May 2026 car speeds are nearly the same in every hour — an all-day speed, not a peak one.</w:t>
            </w:r>
          </w:p>
        </w:tc>
      </w:tr>
      <w:tr>
        <w:tc>
          <w:tcPr>
            <w:tcW w:type="dxa" w:w="4986"/>
          </w:tcPr>
          <w:p>
            <w:r>
              <w:rPr>
                <w:sz w:val="14"/>
              </w:rPr>
              <w:t>25</w:t>
            </w:r>
          </w:p>
        </w:tc>
        <w:tc>
          <w:tcPr>
            <w:tcW w:type="dxa" w:w="4986"/>
          </w:tcPr>
          <w:p>
            <w:r>
              <w:rPr>
                <w:sz w:val="14"/>
              </w:rPr>
              <w:t>The car skim's level does not reach the capture (the pivot cancels it).</w:t>
            </w:r>
          </w:p>
        </w:tc>
      </w:tr>
      <w:tr>
        <w:tc>
          <w:tcPr>
            <w:tcW w:type="dxa" w:w="4986"/>
          </w:tcPr>
          <w:p>
            <w:r>
              <w:rPr>
                <w:sz w:val="14"/>
              </w:rPr>
              <w:t>26</w:t>
            </w:r>
          </w:p>
        </w:tc>
        <w:tc>
          <w:tcPr>
            <w:tcW w:type="dxa" w:w="4986"/>
          </w:tcPr>
          <w:p>
            <w:r>
              <w:rPr>
                <w:sz w:val="14"/>
              </w:rPr>
              <w:t>The area-level transit skim understates the TAZ traveller's cost by 1.5 ×; the alternatives are run at TAZ level for bus and LRT alike.</w:t>
            </w:r>
          </w:p>
        </w:tc>
      </w:tr>
      <w:tr>
        <w:tc>
          <w:tcPr>
            <w:tcW w:type="dxa" w:w="4986"/>
          </w:tcPr>
          <w:p>
            <w:r>
              <w:rPr>
                <w:sz w:val="14"/>
              </w:rPr>
              <w:t>27</w:t>
            </w:r>
          </w:p>
        </w:tc>
        <w:tc>
          <w:tcPr>
            <w:tcW w:type="dxa" w:w="4986"/>
          </w:tcPr>
          <w:p>
            <w:r>
              <w:rPr>
                <w:sz w:val="14"/>
              </w:rPr>
              <w:t>The trips induced from the car depend on the aggregation level of the pivot.</w:t>
            </w:r>
          </w:p>
        </w:tc>
      </w:tr>
      <w:tr>
        <w:tc>
          <w:tcPr>
            <w:tcW w:type="dxa" w:w="4986"/>
          </w:tcPr>
          <w:p>
            <w:r>
              <w:rPr>
                <w:sz w:val="14"/>
              </w:rPr>
              <w:t>28</w:t>
            </w:r>
          </w:p>
        </w:tc>
        <w:tc>
          <w:tcPr>
            <w:tcW w:type="dxa" w:w="4986"/>
          </w:tcPr>
          <w:p>
            <w:r>
              <w:rPr>
                <w:sz w:val="14"/>
              </w:rPr>
              <w:t>The main route's operation is assumed; PM forecast sets grown at AM rates.</w:t>
            </w:r>
          </w:p>
        </w:tc>
      </w:tr>
    </w:tbl>
    <w:p>
      <w:pPr>
        <w:pStyle w:val="Heading1"/>
      </w:pPr>
      <w:r>
        <w:t>4. Results — the 2040 and 2050 scenarios</w:t>
      </w:r>
    </w:p>
    <w:p>
      <w:r>
        <w:t>All results in this section are for the main route + extension run as one through line (Tirat Carmel – Hamifrats – Nazareth) in the Prioritized regime of the extension, on the corridor market (TAZ pairs of the 174 corridor TAZs in different areas), three-hour periods. The extension part is reported within that run: trips that ride at least one segment between S01 and S24, and trips with both ends at extension stations. The Unprioritized regime is given as a sensitivity in 4.5. The 2022 row is the base with the LRT added to today's service. Source: Output/alternatives/demand_summary.csv and the per-run folders Output/alternatives/{AM,PM}/{scenario}/main_ext_prioritized/.</w:t>
      </w:r>
    </w:p>
    <w:p>
      <w:r>
        <w:t>Periods and the peak hour. The matrices are three-hour periods (AM 06:00–09:00, PM 16:00–19:00); the tables give the three-hour totals with the peak-hour values beside them, and every chart and map is drawn for the peak hour. The peak-hour factors are the share of the three hours in the busiest sliding 60-minute window of the survey's departures (step 27's method, run on both windows; Output/alternatives/peak_hour_factors.csv): line loads use the network bus factor of the direction (the chain's convention for LRT loads since step 31, the LRT and total transit alike); totals use the study-area factor of the layer. The observed design-hour factors are lower (RavKav boardings 0.43–0.48, road counts 0.38–0.43 in the AM; caveat 18), so the peak-hour values here are the survey's, the upper reading.</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4"/>
              </w:rPr>
              <w:t>period</w:t>
            </w:r>
          </w:p>
        </w:tc>
        <w:tc>
          <w:tcPr>
            <w:tcW w:type="dxa" w:w="1662"/>
          </w:tcPr>
          <w:p>
            <w:r>
              <w:rPr>
                <w:b/>
                <w:sz w:val="14"/>
              </w:rPr>
              <w:t>layer</w:t>
            </w:r>
          </w:p>
        </w:tc>
        <w:tc>
          <w:tcPr>
            <w:tcW w:type="dxa" w:w="1662"/>
          </w:tcPr>
          <w:p>
            <w:r>
              <w:rPr>
                <w:b/>
                <w:sz w:val="14"/>
              </w:rPr>
              <w:t>direction</w:t>
            </w:r>
          </w:p>
        </w:tc>
        <w:tc>
          <w:tcPr>
            <w:tcW w:type="dxa" w:w="1662"/>
          </w:tcPr>
          <w:p>
            <w:r>
              <w:rPr>
                <w:b/>
                <w:sz w:val="14"/>
              </w:rPr>
              <w:t>PHF3h</w:t>
            </w:r>
          </w:p>
        </w:tc>
        <w:tc>
          <w:tcPr>
            <w:tcW w:type="dxa" w:w="1662"/>
          </w:tcPr>
          <w:p>
            <w:r>
              <w:rPr>
                <w:b/>
                <w:sz w:val="14"/>
              </w:rPr>
              <w:t>peak hour</w:t>
            </w:r>
          </w:p>
        </w:tc>
        <w:tc>
          <w:tcPr>
            <w:tcW w:type="dxa" w:w="1662"/>
          </w:tcPr>
          <w:p>
            <w:r>
              <w:rPr>
                <w:b/>
                <w:sz w:val="14"/>
              </w:rPr>
              <w:t>basis</w:t>
            </w:r>
          </w:p>
        </w:tc>
      </w:tr>
      <w:tr>
        <w:tc>
          <w:tcPr>
            <w:tcW w:type="dxa" w:w="1662"/>
          </w:tcPr>
          <w:p>
            <w:r>
              <w:rPr>
                <w:sz w:val="14"/>
              </w:rPr>
              <w:t>AM</w:t>
            </w:r>
          </w:p>
        </w:tc>
        <w:tc>
          <w:tcPr>
            <w:tcW w:type="dxa" w:w="1662"/>
          </w:tcPr>
          <w:p>
            <w:r>
              <w:rPr>
                <w:sz w:val="14"/>
              </w:rPr>
              <w:t>car</w:t>
            </w:r>
          </w:p>
        </w:tc>
        <w:tc>
          <w:tcPr>
            <w:tcW w:type="dxa" w:w="1662"/>
          </w:tcPr>
          <w:p>
            <w:r>
              <w:rPr>
                <w:sz w:val="14"/>
              </w:rPr>
              <w:t>up</w:t>
            </w:r>
          </w:p>
        </w:tc>
        <w:tc>
          <w:tcPr>
            <w:tcW w:type="dxa" w:w="1662"/>
          </w:tcPr>
          <w:p>
            <w:r>
              <w:rPr>
                <w:sz w:val="14"/>
              </w:rPr>
              <w:t>0.556</w:t>
            </w:r>
          </w:p>
        </w:tc>
        <w:tc>
          <w:tcPr>
            <w:tcW w:type="dxa" w:w="1662"/>
          </w:tcPr>
          <w:p>
            <w:r>
              <w:rPr>
                <w:sz w:val="14"/>
              </w:rPr>
              <w:t>07:15–08:15</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down</w:t>
            </w:r>
          </w:p>
        </w:tc>
        <w:tc>
          <w:tcPr>
            <w:tcW w:type="dxa" w:w="1662"/>
          </w:tcPr>
          <w:p>
            <w:r>
              <w:rPr>
                <w:sz w:val="14"/>
              </w:rPr>
              <w:t>0.522</w:t>
            </w:r>
          </w:p>
        </w:tc>
        <w:tc>
          <w:tcPr>
            <w:tcW w:type="dxa" w:w="1662"/>
          </w:tcPr>
          <w:p>
            <w:r>
              <w:rPr>
                <w:sz w:val="14"/>
              </w:rPr>
              <w:t>07:00–08:00</w:t>
            </w:r>
          </w:p>
        </w:tc>
        <w:tc>
          <w:tcPr>
            <w:tcW w:type="dxa" w:w="1662"/>
          </w:tcPr>
          <w:p>
            <w:r>
              <w:rPr>
                <w:sz w:val="14"/>
              </w:rPr>
              <w:t>step 27's method, network scope, CAR trips crossing links in this direction</w:t>
            </w:r>
          </w:p>
        </w:tc>
      </w:tr>
      <w:tr>
        <w:tc>
          <w:tcPr>
            <w:tcW w:type="dxa" w:w="1662"/>
          </w:tcPr>
          <w:p>
            <w:r>
              <w:rPr>
                <w:sz w:val="14"/>
              </w:rPr>
              <w:t>AM</w:t>
            </w:r>
          </w:p>
        </w:tc>
        <w:tc>
          <w:tcPr>
            <w:tcW w:type="dxa" w:w="1662"/>
          </w:tcPr>
          <w:p>
            <w:r>
              <w:rPr>
                <w:sz w:val="14"/>
              </w:rPr>
              <w:t>car</w:t>
            </w:r>
          </w:p>
        </w:tc>
        <w:tc>
          <w:tcPr>
            <w:tcW w:type="dxa" w:w="1662"/>
          </w:tcPr>
          <w:p>
            <w:r>
              <w:rPr>
                <w:sz w:val="14"/>
              </w:rPr>
              <w:t>all</w:t>
            </w:r>
          </w:p>
        </w:tc>
        <w:tc>
          <w:tcPr>
            <w:tcW w:type="dxa" w:w="1662"/>
          </w:tcPr>
          <w:p>
            <w:r>
              <w:rPr>
                <w:sz w:val="14"/>
              </w:rPr>
              <w:t>0.621</w:t>
            </w:r>
          </w:p>
        </w:tc>
        <w:tc>
          <w:tcPr>
            <w:tcW w:type="dxa" w:w="1662"/>
          </w:tcPr>
          <w:p>
            <w:r>
              <w:rPr>
                <w:sz w:val="14"/>
              </w:rPr>
              <w:t>07:00–08:00</w:t>
            </w:r>
          </w:p>
        </w:tc>
        <w:tc>
          <w:tcPr>
            <w:tcW w:type="dxa" w:w="1662"/>
          </w:tcPr>
          <w:p>
            <w:r>
              <w:rPr>
                <w:sz w:val="14"/>
              </w:rPr>
              <w:t>step 27's method, study area, all CAR trips</w:t>
            </w:r>
          </w:p>
        </w:tc>
      </w:tr>
      <w:tr>
        <w:tc>
          <w:tcPr>
            <w:tcW w:type="dxa" w:w="1662"/>
          </w:tcPr>
          <w:p>
            <w:r>
              <w:rPr>
                <w:sz w:val="14"/>
              </w:rPr>
              <w:t>AM</w:t>
            </w:r>
          </w:p>
        </w:tc>
        <w:tc>
          <w:tcPr>
            <w:tcW w:type="dxa" w:w="1662"/>
          </w:tcPr>
          <w:p>
            <w:r>
              <w:rPr>
                <w:sz w:val="14"/>
              </w:rPr>
              <w:t>transit</w:t>
            </w:r>
          </w:p>
        </w:tc>
        <w:tc>
          <w:tcPr>
            <w:tcW w:type="dxa" w:w="1662"/>
          </w:tcPr>
          <w:p>
            <w:r>
              <w:rPr>
                <w:sz w:val="14"/>
              </w:rPr>
              <w:t>up</w:t>
            </w:r>
          </w:p>
        </w:tc>
        <w:tc>
          <w:tcPr>
            <w:tcW w:type="dxa" w:w="1662"/>
          </w:tcPr>
          <w:p>
            <w:r>
              <w:rPr>
                <w:sz w:val="14"/>
              </w:rPr>
              <w:t>0.549</w:t>
            </w:r>
          </w:p>
        </w:tc>
        <w:tc>
          <w:tcPr>
            <w:tcW w:type="dxa" w:w="1662"/>
          </w:tcPr>
          <w:p>
            <w:r>
              <w:rPr>
                <w:sz w:val="14"/>
              </w:rPr>
              <w:t>07:30–08:30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down</w:t>
            </w:r>
          </w:p>
        </w:tc>
        <w:tc>
          <w:tcPr>
            <w:tcW w:type="dxa" w:w="1662"/>
          </w:tcPr>
          <w:p>
            <w:r>
              <w:rPr>
                <w:sz w:val="14"/>
              </w:rPr>
              <w:t>0.457</w:t>
            </w:r>
          </w:p>
        </w:tc>
        <w:tc>
          <w:tcPr>
            <w:tcW w:type="dxa" w:w="1662"/>
          </w:tcPr>
          <w:p>
            <w:r>
              <w:rPr>
                <w:sz w:val="14"/>
              </w:rPr>
              <w:t>07:00–08:00</w:t>
            </w:r>
          </w:p>
        </w:tc>
        <w:tc>
          <w:tcPr>
            <w:tcW w:type="dxa" w:w="1662"/>
          </w:tcPr>
          <w:p>
            <w:r>
              <w:rPr>
                <w:sz w:val="14"/>
              </w:rPr>
              <w:t>step 27's method, network scope, BUS trips crossing links in this direction</w:t>
            </w:r>
          </w:p>
        </w:tc>
      </w:tr>
      <w:tr>
        <w:tc>
          <w:tcPr>
            <w:tcW w:type="dxa" w:w="1662"/>
          </w:tcPr>
          <w:p>
            <w:r>
              <w:rPr>
                <w:sz w:val="14"/>
              </w:rPr>
              <w:t>AM</w:t>
            </w:r>
          </w:p>
        </w:tc>
        <w:tc>
          <w:tcPr>
            <w:tcW w:type="dxa" w:w="1662"/>
          </w:tcPr>
          <w:p>
            <w:r>
              <w:rPr>
                <w:sz w:val="14"/>
              </w:rPr>
              <w:t>transit</w:t>
            </w:r>
          </w:p>
        </w:tc>
        <w:tc>
          <w:tcPr>
            <w:tcW w:type="dxa" w:w="1662"/>
          </w:tcPr>
          <w:p>
            <w:r>
              <w:rPr>
                <w:sz w:val="14"/>
              </w:rPr>
              <w:t>all</w:t>
            </w:r>
          </w:p>
        </w:tc>
        <w:tc>
          <w:tcPr>
            <w:tcW w:type="dxa" w:w="1662"/>
          </w:tcPr>
          <w:p>
            <w:r>
              <w:rPr>
                <w:sz w:val="14"/>
              </w:rPr>
              <w:t>0.589</w:t>
            </w:r>
          </w:p>
        </w:tc>
        <w:tc>
          <w:tcPr>
            <w:tcW w:type="dxa" w:w="1662"/>
          </w:tcPr>
          <w:p>
            <w:r>
              <w:rPr>
                <w:sz w:val="14"/>
              </w:rPr>
              <w:t>07:00–08:00</w:t>
            </w:r>
          </w:p>
        </w:tc>
        <w:tc>
          <w:tcPr>
            <w:tcW w:type="dxa" w:w="1662"/>
          </w:tcPr>
          <w:p>
            <w:r>
              <w:rPr>
                <w:sz w:val="14"/>
              </w:rPr>
              <w:t>step 27's method, study area, all BUS trips</w:t>
            </w:r>
          </w:p>
        </w:tc>
      </w:tr>
      <w:tr>
        <w:tc>
          <w:tcPr>
            <w:tcW w:type="dxa" w:w="1662"/>
          </w:tcPr>
          <w:p>
            <w:r>
              <w:rPr>
                <w:sz w:val="14"/>
              </w:rPr>
              <w:t>PM</w:t>
            </w:r>
          </w:p>
        </w:tc>
        <w:tc>
          <w:tcPr>
            <w:tcW w:type="dxa" w:w="1662"/>
          </w:tcPr>
          <w:p>
            <w:r>
              <w:rPr>
                <w:sz w:val="14"/>
              </w:rPr>
              <w:t>car</w:t>
            </w:r>
          </w:p>
        </w:tc>
        <w:tc>
          <w:tcPr>
            <w:tcW w:type="dxa" w:w="1662"/>
          </w:tcPr>
          <w:p>
            <w:r>
              <w:rPr>
                <w:sz w:val="14"/>
              </w:rPr>
              <w:t>up</w:t>
            </w:r>
          </w:p>
        </w:tc>
        <w:tc>
          <w:tcPr>
            <w:tcW w:type="dxa" w:w="1662"/>
          </w:tcPr>
          <w:p>
            <w:r>
              <w:rPr>
                <w:sz w:val="14"/>
              </w:rPr>
              <w:t>0.445</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down</w:t>
            </w:r>
          </w:p>
        </w:tc>
        <w:tc>
          <w:tcPr>
            <w:tcW w:type="dxa" w:w="1662"/>
          </w:tcPr>
          <w:p>
            <w:r>
              <w:rPr>
                <w:sz w:val="14"/>
              </w:rPr>
              <w:t>0.434</w:t>
            </w:r>
          </w:p>
        </w:tc>
        <w:tc>
          <w:tcPr>
            <w:tcW w:type="dxa" w:w="1662"/>
          </w:tcPr>
          <w:p>
            <w:r>
              <w:rPr>
                <w:sz w:val="14"/>
              </w:rPr>
              <w:t>16:00–17:00</w:t>
            </w:r>
          </w:p>
        </w:tc>
        <w:tc>
          <w:tcPr>
            <w:tcW w:type="dxa" w:w="1662"/>
          </w:tcPr>
          <w:p>
            <w:r>
              <w:rPr>
                <w:sz w:val="14"/>
              </w:rPr>
              <w:t>step 27's method, network scope, CAR trips crossing links in this direction, PM window 16:00–19:00</w:t>
            </w:r>
          </w:p>
        </w:tc>
      </w:tr>
      <w:tr>
        <w:tc>
          <w:tcPr>
            <w:tcW w:type="dxa" w:w="1662"/>
          </w:tcPr>
          <w:p>
            <w:r>
              <w:rPr>
                <w:sz w:val="14"/>
              </w:rPr>
              <w:t>PM</w:t>
            </w:r>
          </w:p>
        </w:tc>
        <w:tc>
          <w:tcPr>
            <w:tcW w:type="dxa" w:w="1662"/>
          </w:tcPr>
          <w:p>
            <w:r>
              <w:rPr>
                <w:sz w:val="14"/>
              </w:rPr>
              <w:t>car</w:t>
            </w:r>
          </w:p>
        </w:tc>
        <w:tc>
          <w:tcPr>
            <w:tcW w:type="dxa" w:w="1662"/>
          </w:tcPr>
          <w:p>
            <w:r>
              <w:rPr>
                <w:sz w:val="14"/>
              </w:rPr>
              <w:t>all</w:t>
            </w:r>
          </w:p>
        </w:tc>
        <w:tc>
          <w:tcPr>
            <w:tcW w:type="dxa" w:w="1662"/>
          </w:tcPr>
          <w:p>
            <w:r>
              <w:rPr>
                <w:sz w:val="14"/>
              </w:rPr>
              <w:t>0.447</w:t>
            </w:r>
          </w:p>
        </w:tc>
        <w:tc>
          <w:tcPr>
            <w:tcW w:type="dxa" w:w="1662"/>
          </w:tcPr>
          <w:p>
            <w:r>
              <w:rPr>
                <w:sz w:val="14"/>
              </w:rPr>
              <w:t>16:00–17:00</w:t>
            </w:r>
          </w:p>
        </w:tc>
        <w:tc>
          <w:tcPr>
            <w:tcW w:type="dxa" w:w="1662"/>
          </w:tcPr>
          <w:p>
            <w:r>
              <w:rPr>
                <w:sz w:val="14"/>
              </w:rPr>
              <w:t>step 27's method, study area, all CAR trips, PM window 16:00–19:00</w:t>
            </w:r>
          </w:p>
        </w:tc>
      </w:tr>
      <w:tr>
        <w:tc>
          <w:tcPr>
            <w:tcW w:type="dxa" w:w="1662"/>
          </w:tcPr>
          <w:p>
            <w:r>
              <w:rPr>
                <w:sz w:val="14"/>
              </w:rPr>
              <w:t>PM</w:t>
            </w:r>
          </w:p>
        </w:tc>
        <w:tc>
          <w:tcPr>
            <w:tcW w:type="dxa" w:w="1662"/>
          </w:tcPr>
          <w:p>
            <w:r>
              <w:rPr>
                <w:sz w:val="14"/>
              </w:rPr>
              <w:t>transit</w:t>
            </w:r>
          </w:p>
        </w:tc>
        <w:tc>
          <w:tcPr>
            <w:tcW w:type="dxa" w:w="1662"/>
          </w:tcPr>
          <w:p>
            <w:r>
              <w:rPr>
                <w:sz w:val="14"/>
              </w:rPr>
              <w:t>up</w:t>
            </w:r>
          </w:p>
        </w:tc>
        <w:tc>
          <w:tcPr>
            <w:tcW w:type="dxa" w:w="1662"/>
          </w:tcPr>
          <w:p>
            <w:r>
              <w:rPr>
                <w:sz w:val="14"/>
              </w:rPr>
              <w:t>0.535</w:t>
            </w:r>
          </w:p>
        </w:tc>
        <w:tc>
          <w:tcPr>
            <w:tcW w:type="dxa" w:w="1662"/>
          </w:tcPr>
          <w:p>
            <w:r>
              <w:rPr>
                <w:sz w:val="14"/>
              </w:rPr>
              <w:t>16:00–17:00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down</w:t>
            </w:r>
          </w:p>
        </w:tc>
        <w:tc>
          <w:tcPr>
            <w:tcW w:type="dxa" w:w="1662"/>
          </w:tcPr>
          <w:p>
            <w:r>
              <w:rPr>
                <w:sz w:val="14"/>
              </w:rPr>
              <w:t>0.468</w:t>
            </w:r>
          </w:p>
        </w:tc>
        <w:tc>
          <w:tcPr>
            <w:tcW w:type="dxa" w:w="1662"/>
          </w:tcPr>
          <w:p>
            <w:r>
              <w:rPr>
                <w:sz w:val="14"/>
              </w:rPr>
              <w:t>17:30–18:30</w:t>
            </w:r>
          </w:p>
        </w:tc>
        <w:tc>
          <w:tcPr>
            <w:tcW w:type="dxa" w:w="1662"/>
          </w:tcPr>
          <w:p>
            <w:r>
              <w:rPr>
                <w:sz w:val="14"/>
              </w:rPr>
              <w:t>step 27's method, network scope, BUS trips crossing links in this direction, PM window 16:00–19:00</w:t>
            </w:r>
          </w:p>
        </w:tc>
      </w:tr>
      <w:tr>
        <w:tc>
          <w:tcPr>
            <w:tcW w:type="dxa" w:w="1662"/>
          </w:tcPr>
          <w:p>
            <w:r>
              <w:rPr>
                <w:sz w:val="14"/>
              </w:rPr>
              <w:t>PM</w:t>
            </w:r>
          </w:p>
        </w:tc>
        <w:tc>
          <w:tcPr>
            <w:tcW w:type="dxa" w:w="1662"/>
          </w:tcPr>
          <w:p>
            <w:r>
              <w:rPr>
                <w:sz w:val="14"/>
              </w:rPr>
              <w:t>transit</w:t>
            </w:r>
          </w:p>
        </w:tc>
        <w:tc>
          <w:tcPr>
            <w:tcW w:type="dxa" w:w="1662"/>
          </w:tcPr>
          <w:p>
            <w:r>
              <w:rPr>
                <w:sz w:val="14"/>
              </w:rPr>
              <w:t>all</w:t>
            </w:r>
          </w:p>
        </w:tc>
        <w:tc>
          <w:tcPr>
            <w:tcW w:type="dxa" w:w="1662"/>
          </w:tcPr>
          <w:p>
            <w:r>
              <w:rPr>
                <w:sz w:val="14"/>
              </w:rPr>
              <w:t>0.478</w:t>
            </w:r>
          </w:p>
        </w:tc>
        <w:tc>
          <w:tcPr>
            <w:tcW w:type="dxa" w:w="1662"/>
          </w:tcPr>
          <w:p>
            <w:r>
              <w:rPr>
                <w:sz w:val="14"/>
              </w:rPr>
              <w:t>16:00–17:00</w:t>
            </w:r>
          </w:p>
        </w:tc>
        <w:tc>
          <w:tcPr>
            <w:tcW w:type="dxa" w:w="1662"/>
          </w:tcPr>
          <w:p>
            <w:r>
              <w:rPr>
                <w:sz w:val="14"/>
              </w:rPr>
              <w:t>step 27's method, study area, all BUS trips, PM window 16:00–19:00</w:t>
            </w:r>
          </w:p>
        </w:tc>
      </w:tr>
    </w:tbl>
    <w:p>
      <w:r>
        <w:rPr>
          <w:sz w:val="16"/>
        </w:rPr>
        <w:t>Table 4.0 — Peak-hour factors applied (share of the three-hour period in the peak hour).</w:t>
      </w:r>
    </w:p>
    <w:p>
      <w:pPr>
        <w:pStyle w:val="Heading2"/>
      </w:pPr>
      <w:r>
        <w:t>4.1 Shift to the LRT and total demand by mode</w:t>
      </w:r>
    </w:p>
    <w:p>
      <w:pPr>
        <w:sectPr>
          <w:pgSz w:w="12240" w:h="15840"/>
          <w:pgMar w:top="1440" w:right="1134" w:bottom="1440" w:left="1134" w:header="720" w:footer="720" w:gutter="0"/>
          <w:cols w:space="720"/>
          <w:docGrid w:linePitch="360"/>
        </w:sectPr>
      </w:pPr>
    </w:p>
    <w:p>
      <w:r>
        <w:rPr>
          <w:b/>
        </w:rPr>
        <w:t>Table 4.1 — AM 06:00–09:00: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56,445</w:t>
            </w:r>
          </w:p>
        </w:tc>
        <w:tc>
          <w:tcPr>
            <w:tcW w:type="dxa" w:w="1178"/>
          </w:tcPr>
          <w:p>
            <w:r>
              <w:rPr>
                <w:sz w:val="14"/>
              </w:rPr>
              <w:t>6,103</w:t>
            </w:r>
          </w:p>
        </w:tc>
        <w:tc>
          <w:tcPr>
            <w:tcW w:type="dxa" w:w="1178"/>
          </w:tcPr>
          <w:p>
            <w:r>
              <w:rPr>
                <w:sz w:val="14"/>
              </w:rPr>
              <w:t>8,031</w:t>
            </w:r>
          </w:p>
        </w:tc>
        <w:tc>
          <w:tcPr>
            <w:tcW w:type="dxa" w:w="1178"/>
          </w:tcPr>
          <w:p>
            <w:r>
              <w:rPr>
                <w:sz w:val="14"/>
              </w:rPr>
              <w:t>14,133</w:t>
            </w:r>
          </w:p>
        </w:tc>
        <w:tc>
          <w:tcPr>
            <w:tcW w:type="dxa" w:w="1178"/>
          </w:tcPr>
          <w:p>
            <w:r>
              <w:rPr>
                <w:sz w:val="14"/>
              </w:rPr>
              <w:t>563</w:t>
            </w:r>
          </w:p>
        </w:tc>
        <w:tc>
          <w:tcPr>
            <w:tcW w:type="dxa" w:w="1178"/>
          </w:tcPr>
          <w:p>
            <w:r>
              <w:rPr>
                <w:sz w:val="14"/>
              </w:rPr>
              <w:t>295</w:t>
            </w:r>
          </w:p>
        </w:tc>
        <w:tc>
          <w:tcPr>
            <w:tcW w:type="dxa" w:w="1178"/>
          </w:tcPr>
          <w:p>
            <w:r>
              <w:rPr>
                <w:sz w:val="14"/>
              </w:rPr>
              <w:t>2,768</w:t>
            </w:r>
          </w:p>
        </w:tc>
        <w:tc>
          <w:tcPr>
            <w:tcW w:type="dxa" w:w="1178"/>
          </w:tcPr>
          <w:p>
            <w:r>
              <w:rPr>
                <w:sz w:val="14"/>
              </w:rPr>
              <w:t>2,128</w:t>
            </w:r>
          </w:p>
        </w:tc>
        <w:tc>
          <w:tcPr>
            <w:tcW w:type="dxa" w:w="1178"/>
          </w:tcPr>
          <w:p>
            <w:r>
              <w:rPr>
                <w:sz w:val="14"/>
              </w:rPr>
              <w:t>1.00 %</w:t>
            </w:r>
          </w:p>
        </w:tc>
        <w:tc>
          <w:tcPr>
            <w:tcW w:type="dxa" w:w="1178"/>
          </w:tcPr>
          <w:p>
            <w:r>
              <w:rPr>
                <w:sz w:val="14"/>
              </w:rPr>
              <w:t>34.5 %</w:t>
            </w:r>
          </w:p>
        </w:tc>
        <w:tc>
          <w:tcPr>
            <w:tcW w:type="dxa" w:w="1178"/>
          </w:tcPr>
          <w:p>
            <w:r>
              <w:rPr>
                <w:sz w:val="14"/>
              </w:rPr>
              <w:t>34.9 %</w:t>
            </w:r>
          </w:p>
        </w:tc>
      </w:tr>
      <w:tr>
        <w:tc>
          <w:tcPr>
            <w:tcW w:type="dxa" w:w="1178"/>
          </w:tcPr>
          <w:p>
            <w:r>
              <w:rPr>
                <w:sz w:val="14"/>
              </w:rPr>
              <w:t>2040 BU</w:t>
            </w:r>
          </w:p>
        </w:tc>
        <w:tc>
          <w:tcPr>
            <w:tcW w:type="dxa" w:w="1178"/>
          </w:tcPr>
          <w:p>
            <w:r>
              <w:rPr>
                <w:sz w:val="14"/>
              </w:rPr>
              <w:t>74,670</w:t>
            </w:r>
          </w:p>
        </w:tc>
        <w:tc>
          <w:tcPr>
            <w:tcW w:type="dxa" w:w="1178"/>
          </w:tcPr>
          <w:p>
            <w:r>
              <w:rPr>
                <w:sz w:val="14"/>
              </w:rPr>
              <w:t>8,321</w:t>
            </w:r>
          </w:p>
        </w:tc>
        <w:tc>
          <w:tcPr>
            <w:tcW w:type="dxa" w:w="1178"/>
          </w:tcPr>
          <w:p>
            <w:r>
              <w:rPr>
                <w:sz w:val="14"/>
              </w:rPr>
              <w:t>10,000</w:t>
            </w:r>
          </w:p>
        </w:tc>
        <w:tc>
          <w:tcPr>
            <w:tcW w:type="dxa" w:w="1178"/>
          </w:tcPr>
          <w:p>
            <w:r>
              <w:rPr>
                <w:sz w:val="14"/>
              </w:rPr>
              <w:t>18,321</w:t>
            </w:r>
          </w:p>
        </w:tc>
        <w:tc>
          <w:tcPr>
            <w:tcW w:type="dxa" w:w="1178"/>
          </w:tcPr>
          <w:p>
            <w:r>
              <w:rPr>
                <w:sz w:val="14"/>
              </w:rPr>
              <w:t>684</w:t>
            </w:r>
          </w:p>
        </w:tc>
        <w:tc>
          <w:tcPr>
            <w:tcW w:type="dxa" w:w="1178"/>
          </w:tcPr>
          <w:p>
            <w:r>
              <w:rPr>
                <w:sz w:val="14"/>
              </w:rPr>
              <w:t>353</w:t>
            </w:r>
          </w:p>
        </w:tc>
        <w:tc>
          <w:tcPr>
            <w:tcW w:type="dxa" w:w="1178"/>
          </w:tcPr>
          <w:p>
            <w:r>
              <w:rPr>
                <w:sz w:val="14"/>
              </w:rPr>
              <w:t>3,308</w:t>
            </w:r>
          </w:p>
        </w:tc>
        <w:tc>
          <w:tcPr>
            <w:tcW w:type="dxa" w:w="1178"/>
          </w:tcPr>
          <w:p>
            <w:r>
              <w:rPr>
                <w:sz w:val="14"/>
              </w:rPr>
              <w:t>2,648</w:t>
            </w:r>
          </w:p>
        </w:tc>
        <w:tc>
          <w:tcPr>
            <w:tcW w:type="dxa" w:w="1178"/>
          </w:tcPr>
          <w:p>
            <w:r>
              <w:rPr>
                <w:sz w:val="14"/>
              </w:rPr>
              <w:t>0.92 %</w:t>
            </w:r>
          </w:p>
        </w:tc>
        <w:tc>
          <w:tcPr>
            <w:tcW w:type="dxa" w:w="1178"/>
          </w:tcPr>
          <w:p>
            <w:r>
              <w:rPr>
                <w:sz w:val="14"/>
              </w:rPr>
              <w:t>33.1 %</w:t>
            </w:r>
          </w:p>
        </w:tc>
        <w:tc>
          <w:tcPr>
            <w:tcW w:type="dxa" w:w="1178"/>
          </w:tcPr>
          <w:p>
            <w:r>
              <w:rPr>
                <w:sz w:val="14"/>
              </w:rPr>
              <w:t>31.8 %</w:t>
            </w:r>
          </w:p>
        </w:tc>
      </w:tr>
      <w:tr>
        <w:tc>
          <w:tcPr>
            <w:tcW w:type="dxa" w:w="1178"/>
          </w:tcPr>
          <w:p>
            <w:r>
              <w:rPr>
                <w:sz w:val="14"/>
              </w:rPr>
              <w:t>2050 BU</w:t>
            </w:r>
          </w:p>
        </w:tc>
        <w:tc>
          <w:tcPr>
            <w:tcW w:type="dxa" w:w="1178"/>
          </w:tcPr>
          <w:p>
            <w:r>
              <w:rPr>
                <w:sz w:val="14"/>
              </w:rPr>
              <w:t>86,417</w:t>
            </w:r>
          </w:p>
        </w:tc>
        <w:tc>
          <w:tcPr>
            <w:tcW w:type="dxa" w:w="1178"/>
          </w:tcPr>
          <w:p>
            <w:r>
              <w:rPr>
                <w:sz w:val="14"/>
              </w:rPr>
              <w:t>9,370</w:t>
            </w:r>
          </w:p>
        </w:tc>
        <w:tc>
          <w:tcPr>
            <w:tcW w:type="dxa" w:w="1178"/>
          </w:tcPr>
          <w:p>
            <w:r>
              <w:rPr>
                <w:sz w:val="14"/>
              </w:rPr>
              <w:t>11,282</w:t>
            </w:r>
          </w:p>
        </w:tc>
        <w:tc>
          <w:tcPr>
            <w:tcW w:type="dxa" w:w="1178"/>
          </w:tcPr>
          <w:p>
            <w:r>
              <w:rPr>
                <w:sz w:val="14"/>
              </w:rPr>
              <w:t>20,652</w:t>
            </w:r>
          </w:p>
        </w:tc>
        <w:tc>
          <w:tcPr>
            <w:tcW w:type="dxa" w:w="1178"/>
          </w:tcPr>
          <w:p>
            <w:r>
              <w:rPr>
                <w:sz w:val="14"/>
              </w:rPr>
              <w:t>1,421</w:t>
            </w:r>
          </w:p>
        </w:tc>
        <w:tc>
          <w:tcPr>
            <w:tcW w:type="dxa" w:w="1178"/>
          </w:tcPr>
          <w:p>
            <w:r>
              <w:rPr>
                <w:sz w:val="14"/>
              </w:rPr>
              <w:t>818</w:t>
            </w:r>
          </w:p>
        </w:tc>
        <w:tc>
          <w:tcPr>
            <w:tcW w:type="dxa" w:w="1178"/>
          </w:tcPr>
          <w:p>
            <w:r>
              <w:rPr>
                <w:sz w:val="14"/>
              </w:rPr>
              <w:t>3,731</w:t>
            </w:r>
          </w:p>
        </w:tc>
        <w:tc>
          <w:tcPr>
            <w:tcW w:type="dxa" w:w="1178"/>
          </w:tcPr>
          <w:p>
            <w:r>
              <w:rPr>
                <w:sz w:val="14"/>
              </w:rPr>
              <w:t>2,881</w:t>
            </w:r>
          </w:p>
        </w:tc>
        <w:tc>
          <w:tcPr>
            <w:tcW w:type="dxa" w:w="1178"/>
          </w:tcPr>
          <w:p>
            <w:r>
              <w:rPr>
                <w:sz w:val="14"/>
              </w:rPr>
              <w:t>1.64 %</w:t>
            </w:r>
          </w:p>
        </w:tc>
        <w:tc>
          <w:tcPr>
            <w:tcW w:type="dxa" w:w="1178"/>
          </w:tcPr>
          <w:p>
            <w:r>
              <w:rPr>
                <w:sz w:val="14"/>
              </w:rPr>
              <w:t>33.1 %</w:t>
            </w:r>
          </w:p>
        </w:tc>
        <w:tc>
          <w:tcPr>
            <w:tcW w:type="dxa" w:w="1178"/>
          </w:tcPr>
          <w:p>
            <w:r>
              <w:rPr>
                <w:sz w:val="14"/>
              </w:rPr>
              <w:t>30.7 %</w:t>
            </w:r>
          </w:p>
        </w:tc>
      </w:tr>
      <w:tr>
        <w:tc>
          <w:tcPr>
            <w:tcW w:type="dxa" w:w="1178"/>
          </w:tcPr>
          <w:p>
            <w:r>
              <w:rPr>
                <w:sz w:val="14"/>
              </w:rPr>
              <w:t>2040 HS</w:t>
            </w:r>
          </w:p>
        </w:tc>
        <w:tc>
          <w:tcPr>
            <w:tcW w:type="dxa" w:w="1178"/>
          </w:tcPr>
          <w:p>
            <w:r>
              <w:rPr>
                <w:sz w:val="14"/>
              </w:rPr>
              <w:t>78,027</w:t>
            </w:r>
          </w:p>
        </w:tc>
        <w:tc>
          <w:tcPr>
            <w:tcW w:type="dxa" w:w="1178"/>
          </w:tcPr>
          <w:p>
            <w:r>
              <w:rPr>
                <w:sz w:val="14"/>
              </w:rPr>
              <w:t>8,292</w:t>
            </w:r>
          </w:p>
        </w:tc>
        <w:tc>
          <w:tcPr>
            <w:tcW w:type="dxa" w:w="1178"/>
          </w:tcPr>
          <w:p>
            <w:r>
              <w:rPr>
                <w:sz w:val="14"/>
              </w:rPr>
              <w:t>10,496</w:t>
            </w:r>
          </w:p>
        </w:tc>
        <w:tc>
          <w:tcPr>
            <w:tcW w:type="dxa" w:w="1178"/>
          </w:tcPr>
          <w:p>
            <w:r>
              <w:rPr>
                <w:sz w:val="14"/>
              </w:rPr>
              <w:t>18,787</w:t>
            </w:r>
          </w:p>
        </w:tc>
        <w:tc>
          <w:tcPr>
            <w:tcW w:type="dxa" w:w="1178"/>
          </w:tcPr>
          <w:p>
            <w:r>
              <w:rPr>
                <w:sz w:val="14"/>
              </w:rPr>
              <w:t>1,387</w:t>
            </w:r>
          </w:p>
        </w:tc>
        <w:tc>
          <w:tcPr>
            <w:tcW w:type="dxa" w:w="1178"/>
          </w:tcPr>
          <w:p>
            <w:r>
              <w:rPr>
                <w:sz w:val="14"/>
              </w:rPr>
              <w:t>870</w:t>
            </w:r>
          </w:p>
        </w:tc>
        <w:tc>
          <w:tcPr>
            <w:tcW w:type="dxa" w:w="1178"/>
          </w:tcPr>
          <w:p>
            <w:r>
              <w:rPr>
                <w:sz w:val="14"/>
              </w:rPr>
              <w:t>3,753</w:t>
            </w:r>
          </w:p>
        </w:tc>
        <w:tc>
          <w:tcPr>
            <w:tcW w:type="dxa" w:w="1178"/>
          </w:tcPr>
          <w:p>
            <w:r>
              <w:rPr>
                <w:sz w:val="14"/>
              </w:rPr>
              <w:t>2,850</w:t>
            </w:r>
          </w:p>
        </w:tc>
        <w:tc>
          <w:tcPr>
            <w:tcW w:type="dxa" w:w="1178"/>
          </w:tcPr>
          <w:p>
            <w:r>
              <w:rPr>
                <w:sz w:val="14"/>
              </w:rPr>
              <w:t>1.78 %</w:t>
            </w:r>
          </w:p>
        </w:tc>
        <w:tc>
          <w:tcPr>
            <w:tcW w:type="dxa" w:w="1178"/>
          </w:tcPr>
          <w:p>
            <w:r>
              <w:rPr>
                <w:sz w:val="14"/>
              </w:rPr>
              <w:t>35.8 %</w:t>
            </w:r>
          </w:p>
        </w:tc>
        <w:tc>
          <w:tcPr>
            <w:tcW w:type="dxa" w:w="1178"/>
          </w:tcPr>
          <w:p>
            <w:r>
              <w:rPr>
                <w:sz w:val="14"/>
              </w:rPr>
              <w:t>34.4 %</w:t>
            </w:r>
          </w:p>
        </w:tc>
      </w:tr>
      <w:tr>
        <w:tc>
          <w:tcPr>
            <w:tcW w:type="dxa" w:w="1178"/>
          </w:tcPr>
          <w:p>
            <w:r>
              <w:rPr>
                <w:sz w:val="14"/>
              </w:rPr>
              <w:t>2050 HS</w:t>
            </w:r>
          </w:p>
        </w:tc>
        <w:tc>
          <w:tcPr>
            <w:tcW w:type="dxa" w:w="1178"/>
          </w:tcPr>
          <w:p>
            <w:r>
              <w:rPr>
                <w:sz w:val="14"/>
              </w:rPr>
              <w:t>89,560</w:t>
            </w:r>
          </w:p>
        </w:tc>
        <w:tc>
          <w:tcPr>
            <w:tcW w:type="dxa" w:w="1178"/>
          </w:tcPr>
          <w:p>
            <w:r>
              <w:rPr>
                <w:sz w:val="14"/>
              </w:rPr>
              <w:t>9,130</w:t>
            </w:r>
          </w:p>
        </w:tc>
        <w:tc>
          <w:tcPr>
            <w:tcW w:type="dxa" w:w="1178"/>
          </w:tcPr>
          <w:p>
            <w:r>
              <w:rPr>
                <w:sz w:val="14"/>
              </w:rPr>
              <w:t>12,102</w:t>
            </w:r>
          </w:p>
        </w:tc>
        <w:tc>
          <w:tcPr>
            <w:tcW w:type="dxa" w:w="1178"/>
          </w:tcPr>
          <w:p>
            <w:r>
              <w:rPr>
                <w:sz w:val="14"/>
              </w:rPr>
              <w:t>21,232</w:t>
            </w:r>
          </w:p>
        </w:tc>
        <w:tc>
          <w:tcPr>
            <w:tcW w:type="dxa" w:w="1178"/>
          </w:tcPr>
          <w:p>
            <w:r>
              <w:rPr>
                <w:sz w:val="14"/>
              </w:rPr>
              <w:t>2,035</w:t>
            </w:r>
          </w:p>
        </w:tc>
        <w:tc>
          <w:tcPr>
            <w:tcW w:type="dxa" w:w="1178"/>
          </w:tcPr>
          <w:p>
            <w:r>
              <w:rPr>
                <w:sz w:val="14"/>
              </w:rPr>
              <w:t>1,311</w:t>
            </w:r>
          </w:p>
        </w:tc>
        <w:tc>
          <w:tcPr>
            <w:tcW w:type="dxa" w:w="1178"/>
          </w:tcPr>
          <w:p>
            <w:r>
              <w:rPr>
                <w:sz w:val="14"/>
              </w:rPr>
              <w:t>4,548</w:t>
            </w:r>
          </w:p>
        </w:tc>
        <w:tc>
          <w:tcPr>
            <w:tcW w:type="dxa" w:w="1178"/>
          </w:tcPr>
          <w:p>
            <w:r>
              <w:rPr>
                <w:sz w:val="14"/>
              </w:rPr>
              <w:t>3,365</w:t>
            </w:r>
          </w:p>
        </w:tc>
        <w:tc>
          <w:tcPr>
            <w:tcW w:type="dxa" w:w="1178"/>
          </w:tcPr>
          <w:p>
            <w:r>
              <w:rPr>
                <w:sz w:val="14"/>
              </w:rPr>
              <w:t>2.27 %</w:t>
            </w:r>
          </w:p>
        </w:tc>
        <w:tc>
          <w:tcPr>
            <w:tcW w:type="dxa" w:w="1178"/>
          </w:tcPr>
          <w:p>
            <w:r>
              <w:rPr>
                <w:sz w:val="14"/>
              </w:rPr>
              <w:t>37.6 %</w:t>
            </w:r>
          </w:p>
        </w:tc>
        <w:tc>
          <w:tcPr>
            <w:tcW w:type="dxa" w:w="1178"/>
          </w:tcPr>
          <w:p>
            <w:r>
              <w:rPr>
                <w:sz w:val="14"/>
              </w:rPr>
              <w:t>36.9 %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after</w:t>
            </w:r>
          </w:p>
        </w:tc>
        <w:tc>
          <w:tcPr>
            <w:tcW w:type="dxa" w:w="1178"/>
          </w:tcPr>
          <w:p>
            <w:r>
              <w:rPr>
                <w:b/>
                <w:sz w:val="14"/>
              </w:rPr>
              <w:t>BRT after</w:t>
            </w:r>
          </w:p>
        </w:tc>
        <w:tc>
          <w:tcPr>
            <w:tcW w:type="dxa" w:w="1178"/>
          </w:tcPr>
          <w:p>
            <w:r>
              <w:rPr>
                <w:b/>
                <w:sz w:val="14"/>
              </w:rPr>
              <w:t>LRT</w:t>
            </w:r>
          </w:p>
        </w:tc>
        <w:tc>
          <w:tcPr>
            <w:tcW w:type="dxa" w:w="1178"/>
          </w:tcPr>
          <w:p>
            <w:r>
              <w:rPr>
                <w:b/>
                <w:sz w:val="14"/>
              </w:rPr>
              <w:t>bus after</w:t>
            </w:r>
          </w:p>
        </w:tc>
        <w:tc>
          <w:tcPr>
            <w:tcW w:type="dxa" w:w="1178"/>
          </w:tcPr>
          <w:p>
            <w:r>
              <w:rPr>
                <w:b/>
                <w:sz w:val="14"/>
              </w:rPr>
              <w:t>total transit after</w:t>
            </w:r>
          </w:p>
        </w:tc>
        <w:tc>
          <w:tcPr>
            <w:tcW w:type="dxa" w:w="1178"/>
          </w:tcPr>
          <w:p>
            <w:r>
              <w:rPr>
                <w:b/>
                <w:sz w:val="14"/>
              </w:rPr>
              <w:t>car share</w:t>
            </w:r>
          </w:p>
        </w:tc>
        <w:tc>
          <w:tcPr>
            <w:tcW w:type="dxa" w:w="1178"/>
          </w:tcPr>
          <w:p>
            <w:r>
              <w:rPr>
                <w:b/>
                <w:sz w:val="14"/>
              </w:rPr>
              <w:t>BRT share</w:t>
            </w:r>
          </w:p>
        </w:tc>
        <w:tc>
          <w:tcPr>
            <w:tcW w:type="dxa" w:w="1178"/>
          </w:tcPr>
          <w:p>
            <w:r>
              <w:rPr>
                <w:b/>
                <w:sz w:val="14"/>
              </w:rPr>
              <w:t>LRT share</w:t>
            </w:r>
          </w:p>
        </w:tc>
        <w:tc>
          <w:tcPr>
            <w:tcW w:type="dxa" w:w="1178"/>
          </w:tcPr>
          <w:p>
            <w:r>
              <w:rPr>
                <w:b/>
                <w:sz w:val="14"/>
              </w:rPr>
              <w:t>bus share</w:t>
            </w:r>
          </w:p>
        </w:tc>
        <w:tc>
          <w:tcPr>
            <w:tcW w:type="dxa" w:w="1178"/>
          </w:tcPr>
          <w:p>
            <w:r>
              <w:rPr>
                <w:b/>
                <w:sz w:val="14"/>
              </w:rPr>
              <w:t>transit share</w:t>
            </w:r>
          </w:p>
        </w:tc>
        <w:tc>
          <w:tcPr>
            <w:tcW w:type="dxa" w:w="1178"/>
          </w:tcPr>
          <w:p>
            <w:r>
              <w:rPr>
                <w:b/>
                <w:sz w:val="14"/>
              </w:rPr>
              <w:t>LRT share of transit</w:t>
            </w:r>
          </w:p>
        </w:tc>
      </w:tr>
      <w:tr>
        <w:tc>
          <w:tcPr>
            <w:tcW w:type="dxa" w:w="1178"/>
          </w:tcPr>
          <w:p>
            <w:r>
              <w:rPr>
                <w:sz w:val="14"/>
              </w:rPr>
              <w:t>2022</w:t>
            </w:r>
          </w:p>
        </w:tc>
        <w:tc>
          <w:tcPr>
            <w:tcW w:type="dxa" w:w="1178"/>
          </w:tcPr>
          <w:p>
            <w:r>
              <w:rPr>
                <w:sz w:val="14"/>
              </w:rPr>
              <w:t>55,882</w:t>
            </w:r>
          </w:p>
        </w:tc>
        <w:tc>
          <w:tcPr>
            <w:tcW w:type="dxa" w:w="1178"/>
          </w:tcPr>
          <w:p>
            <w:r>
              <w:rPr>
                <w:sz w:val="14"/>
              </w:rPr>
              <w:t>5,408</w:t>
            </w:r>
          </w:p>
        </w:tc>
        <w:tc>
          <w:tcPr>
            <w:tcW w:type="dxa" w:w="1178"/>
          </w:tcPr>
          <w:p>
            <w:r>
              <w:rPr>
                <w:sz w:val="14"/>
              </w:rPr>
              <w:t>5,193</w:t>
            </w:r>
          </w:p>
        </w:tc>
        <w:tc>
          <w:tcPr>
            <w:tcW w:type="dxa" w:w="1178"/>
          </w:tcPr>
          <w:p>
            <w:r>
              <w:rPr>
                <w:sz w:val="14"/>
              </w:rPr>
              <w:t>4,096</w:t>
            </w:r>
          </w:p>
        </w:tc>
        <w:tc>
          <w:tcPr>
            <w:tcW w:type="dxa" w:w="1178"/>
          </w:tcPr>
          <w:p>
            <w:r>
              <w:rPr>
                <w:sz w:val="14"/>
              </w:rPr>
              <w:t>14,696</w:t>
            </w:r>
          </w:p>
        </w:tc>
        <w:tc>
          <w:tcPr>
            <w:tcW w:type="dxa" w:w="1178"/>
          </w:tcPr>
          <w:p>
            <w:r>
              <w:rPr>
                <w:sz w:val="14"/>
              </w:rPr>
              <w:t>79.2 %</w:t>
            </w:r>
          </w:p>
        </w:tc>
        <w:tc>
          <w:tcPr>
            <w:tcW w:type="dxa" w:w="1178"/>
          </w:tcPr>
          <w:p>
            <w:r>
              <w:rPr>
                <w:sz w:val="14"/>
              </w:rPr>
              <w:t>7.7 %</w:t>
            </w:r>
          </w:p>
        </w:tc>
        <w:tc>
          <w:tcPr>
            <w:tcW w:type="dxa" w:w="1178"/>
          </w:tcPr>
          <w:p>
            <w:r>
              <w:rPr>
                <w:sz w:val="14"/>
              </w:rPr>
              <w:t>7.4 %</w:t>
            </w:r>
          </w:p>
        </w:tc>
        <w:tc>
          <w:tcPr>
            <w:tcW w:type="dxa" w:w="1178"/>
          </w:tcPr>
          <w:p>
            <w:r>
              <w:rPr>
                <w:sz w:val="14"/>
              </w:rPr>
              <w:t>5.8 %</w:t>
            </w:r>
          </w:p>
        </w:tc>
        <w:tc>
          <w:tcPr>
            <w:tcW w:type="dxa" w:w="1178"/>
          </w:tcPr>
          <w:p>
            <w:r>
              <w:rPr>
                <w:sz w:val="14"/>
              </w:rPr>
              <w:t>20.8 %</w:t>
            </w:r>
          </w:p>
        </w:tc>
        <w:tc>
          <w:tcPr>
            <w:tcW w:type="dxa" w:w="1178"/>
          </w:tcPr>
          <w:p>
            <w:r>
              <w:rPr>
                <w:sz w:val="14"/>
              </w:rPr>
              <w:t>35.3 %</w:t>
            </w:r>
          </w:p>
        </w:tc>
      </w:tr>
      <w:tr>
        <w:tc>
          <w:tcPr>
            <w:tcW w:type="dxa" w:w="1178"/>
          </w:tcPr>
          <w:p>
            <w:r>
              <w:rPr>
                <w:sz w:val="14"/>
              </w:rPr>
              <w:t>2040 BU</w:t>
            </w:r>
          </w:p>
        </w:tc>
        <w:tc>
          <w:tcPr>
            <w:tcW w:type="dxa" w:w="1178"/>
          </w:tcPr>
          <w:p>
            <w:r>
              <w:rPr>
                <w:sz w:val="14"/>
              </w:rPr>
              <w:t>73,986</w:t>
            </w:r>
          </w:p>
        </w:tc>
        <w:tc>
          <w:tcPr>
            <w:tcW w:type="dxa" w:w="1178"/>
          </w:tcPr>
          <w:p>
            <w:r>
              <w:rPr>
                <w:sz w:val="14"/>
              </w:rPr>
              <w:t>6,863</w:t>
            </w:r>
          </w:p>
        </w:tc>
        <w:tc>
          <w:tcPr>
            <w:tcW w:type="dxa" w:w="1178"/>
          </w:tcPr>
          <w:p>
            <w:r>
              <w:rPr>
                <w:sz w:val="14"/>
              </w:rPr>
              <w:t>6,309</w:t>
            </w:r>
          </w:p>
        </w:tc>
        <w:tc>
          <w:tcPr>
            <w:tcW w:type="dxa" w:w="1178"/>
          </w:tcPr>
          <w:p>
            <w:r>
              <w:rPr>
                <w:sz w:val="14"/>
              </w:rPr>
              <w:t>5,832</w:t>
            </w:r>
          </w:p>
        </w:tc>
        <w:tc>
          <w:tcPr>
            <w:tcW w:type="dxa" w:w="1178"/>
          </w:tcPr>
          <w:p>
            <w:r>
              <w:rPr>
                <w:sz w:val="14"/>
              </w:rPr>
              <w:t>19,005</w:t>
            </w:r>
          </w:p>
        </w:tc>
        <w:tc>
          <w:tcPr>
            <w:tcW w:type="dxa" w:w="1178"/>
          </w:tcPr>
          <w:p>
            <w:r>
              <w:rPr>
                <w:sz w:val="14"/>
              </w:rPr>
              <w:t>79.6 %</w:t>
            </w:r>
          </w:p>
        </w:tc>
        <w:tc>
          <w:tcPr>
            <w:tcW w:type="dxa" w:w="1178"/>
          </w:tcPr>
          <w:p>
            <w:r>
              <w:rPr>
                <w:sz w:val="14"/>
              </w:rPr>
              <w:t>7.4 %</w:t>
            </w:r>
          </w:p>
        </w:tc>
        <w:tc>
          <w:tcPr>
            <w:tcW w:type="dxa" w:w="1178"/>
          </w:tcPr>
          <w:p>
            <w:r>
              <w:rPr>
                <w:sz w:val="14"/>
              </w:rPr>
              <w:t>6.8 %</w:t>
            </w:r>
          </w:p>
        </w:tc>
        <w:tc>
          <w:tcPr>
            <w:tcW w:type="dxa" w:w="1178"/>
          </w:tcPr>
          <w:p>
            <w:r>
              <w:rPr>
                <w:sz w:val="14"/>
              </w:rPr>
              <w:t>6.3 %</w:t>
            </w:r>
          </w:p>
        </w:tc>
        <w:tc>
          <w:tcPr>
            <w:tcW w:type="dxa" w:w="1178"/>
          </w:tcPr>
          <w:p>
            <w:r>
              <w:rPr>
                <w:sz w:val="14"/>
              </w:rPr>
              <w:t>20.4 %</w:t>
            </w:r>
          </w:p>
        </w:tc>
        <w:tc>
          <w:tcPr>
            <w:tcW w:type="dxa" w:w="1178"/>
          </w:tcPr>
          <w:p>
            <w:r>
              <w:rPr>
                <w:sz w:val="14"/>
              </w:rPr>
              <w:t>33.2 %</w:t>
            </w:r>
          </w:p>
        </w:tc>
      </w:tr>
      <w:tr>
        <w:tc>
          <w:tcPr>
            <w:tcW w:type="dxa" w:w="1178"/>
          </w:tcPr>
          <w:p>
            <w:r>
              <w:rPr>
                <w:sz w:val="14"/>
              </w:rPr>
              <w:t>2050 BU</w:t>
            </w:r>
          </w:p>
        </w:tc>
        <w:tc>
          <w:tcPr>
            <w:tcW w:type="dxa" w:w="1178"/>
          </w:tcPr>
          <w:p>
            <w:r>
              <w:rPr>
                <w:sz w:val="14"/>
              </w:rPr>
              <w:t>84,996</w:t>
            </w:r>
          </w:p>
        </w:tc>
        <w:tc>
          <w:tcPr>
            <w:tcW w:type="dxa" w:w="1178"/>
          </w:tcPr>
          <w:p>
            <w:r>
              <w:rPr>
                <w:sz w:val="14"/>
              </w:rPr>
              <w:t>7,816</w:t>
            </w:r>
          </w:p>
        </w:tc>
        <w:tc>
          <w:tcPr>
            <w:tcW w:type="dxa" w:w="1178"/>
          </w:tcPr>
          <w:p>
            <w:r>
              <w:rPr>
                <w:sz w:val="14"/>
              </w:rPr>
              <w:t>7,433</w:t>
            </w:r>
          </w:p>
        </w:tc>
        <w:tc>
          <w:tcPr>
            <w:tcW w:type="dxa" w:w="1178"/>
          </w:tcPr>
          <w:p>
            <w:r>
              <w:rPr>
                <w:sz w:val="14"/>
              </w:rPr>
              <w:t>6,824</w:t>
            </w:r>
          </w:p>
        </w:tc>
        <w:tc>
          <w:tcPr>
            <w:tcW w:type="dxa" w:w="1178"/>
          </w:tcPr>
          <w:p>
            <w:r>
              <w:rPr>
                <w:sz w:val="14"/>
              </w:rPr>
              <w:t>22,073</w:t>
            </w:r>
          </w:p>
        </w:tc>
        <w:tc>
          <w:tcPr>
            <w:tcW w:type="dxa" w:w="1178"/>
          </w:tcPr>
          <w:p>
            <w:r>
              <w:rPr>
                <w:sz w:val="14"/>
              </w:rPr>
              <w:t>79.4 %</w:t>
            </w:r>
          </w:p>
        </w:tc>
        <w:tc>
          <w:tcPr>
            <w:tcW w:type="dxa" w:w="1178"/>
          </w:tcPr>
          <w:p>
            <w:r>
              <w:rPr>
                <w:sz w:val="14"/>
              </w:rPr>
              <w:t>7.3 %</w:t>
            </w:r>
          </w:p>
        </w:tc>
        <w:tc>
          <w:tcPr>
            <w:tcW w:type="dxa" w:w="1178"/>
          </w:tcPr>
          <w:p>
            <w:r>
              <w:rPr>
                <w:sz w:val="14"/>
              </w:rPr>
              <w:t>6.9 %</w:t>
            </w:r>
          </w:p>
        </w:tc>
        <w:tc>
          <w:tcPr>
            <w:tcW w:type="dxa" w:w="1178"/>
          </w:tcPr>
          <w:p>
            <w:r>
              <w:rPr>
                <w:sz w:val="14"/>
              </w:rPr>
              <w:t>6.4 %</w:t>
            </w:r>
          </w:p>
        </w:tc>
        <w:tc>
          <w:tcPr>
            <w:tcW w:type="dxa" w:w="1178"/>
          </w:tcPr>
          <w:p>
            <w:r>
              <w:rPr>
                <w:sz w:val="14"/>
              </w:rPr>
              <w:t>20.6 %</w:t>
            </w:r>
          </w:p>
        </w:tc>
        <w:tc>
          <w:tcPr>
            <w:tcW w:type="dxa" w:w="1178"/>
          </w:tcPr>
          <w:p>
            <w:r>
              <w:rPr>
                <w:sz w:val="14"/>
              </w:rPr>
              <w:t>33.7 %</w:t>
            </w:r>
          </w:p>
        </w:tc>
      </w:tr>
      <w:tr>
        <w:tc>
          <w:tcPr>
            <w:tcW w:type="dxa" w:w="1178"/>
          </w:tcPr>
          <w:p>
            <w:r>
              <w:rPr>
                <w:sz w:val="14"/>
              </w:rPr>
              <w:t>2040 HS</w:t>
            </w:r>
          </w:p>
        </w:tc>
        <w:tc>
          <w:tcPr>
            <w:tcW w:type="dxa" w:w="1178"/>
          </w:tcPr>
          <w:p>
            <w:r>
              <w:rPr>
                <w:sz w:val="14"/>
              </w:rPr>
              <w:t>76,640</w:t>
            </w:r>
          </w:p>
        </w:tc>
        <w:tc>
          <w:tcPr>
            <w:tcW w:type="dxa" w:w="1178"/>
          </w:tcPr>
          <w:p>
            <w:r>
              <w:rPr>
                <w:sz w:val="14"/>
              </w:rPr>
              <w:t>6,992</w:t>
            </w:r>
          </w:p>
        </w:tc>
        <w:tc>
          <w:tcPr>
            <w:tcW w:type="dxa" w:w="1178"/>
          </w:tcPr>
          <w:p>
            <w:r>
              <w:rPr>
                <w:sz w:val="14"/>
              </w:rPr>
              <w:t>7,476</w:t>
            </w:r>
          </w:p>
        </w:tc>
        <w:tc>
          <w:tcPr>
            <w:tcW w:type="dxa" w:w="1178"/>
          </w:tcPr>
          <w:p>
            <w:r>
              <w:rPr>
                <w:sz w:val="14"/>
              </w:rPr>
              <w:t>5,707</w:t>
            </w:r>
          </w:p>
        </w:tc>
        <w:tc>
          <w:tcPr>
            <w:tcW w:type="dxa" w:w="1178"/>
          </w:tcPr>
          <w:p>
            <w:r>
              <w:rPr>
                <w:sz w:val="14"/>
              </w:rPr>
              <w:t>20,175</w:t>
            </w:r>
          </w:p>
        </w:tc>
        <w:tc>
          <w:tcPr>
            <w:tcW w:type="dxa" w:w="1178"/>
          </w:tcPr>
          <w:p>
            <w:r>
              <w:rPr>
                <w:sz w:val="14"/>
              </w:rPr>
              <w:t>79.2 %</w:t>
            </w:r>
          </w:p>
        </w:tc>
        <w:tc>
          <w:tcPr>
            <w:tcW w:type="dxa" w:w="1178"/>
          </w:tcPr>
          <w:p>
            <w:r>
              <w:rPr>
                <w:sz w:val="14"/>
              </w:rPr>
              <w:t>7.2 %</w:t>
            </w:r>
          </w:p>
        </w:tc>
        <w:tc>
          <w:tcPr>
            <w:tcW w:type="dxa" w:w="1178"/>
          </w:tcPr>
          <w:p>
            <w:r>
              <w:rPr>
                <w:sz w:val="14"/>
              </w:rPr>
              <w:t>7.7 %</w:t>
            </w:r>
          </w:p>
        </w:tc>
        <w:tc>
          <w:tcPr>
            <w:tcW w:type="dxa" w:w="1178"/>
          </w:tcPr>
          <w:p>
            <w:r>
              <w:rPr>
                <w:sz w:val="14"/>
              </w:rPr>
              <w:t>5.9 %</w:t>
            </w:r>
          </w:p>
        </w:tc>
        <w:tc>
          <w:tcPr>
            <w:tcW w:type="dxa" w:w="1178"/>
          </w:tcPr>
          <w:p>
            <w:r>
              <w:rPr>
                <w:sz w:val="14"/>
              </w:rPr>
              <w:t>20.8 %</w:t>
            </w:r>
          </w:p>
        </w:tc>
        <w:tc>
          <w:tcPr>
            <w:tcW w:type="dxa" w:w="1178"/>
          </w:tcPr>
          <w:p>
            <w:r>
              <w:rPr>
                <w:sz w:val="14"/>
              </w:rPr>
              <w:t>37.1 %</w:t>
            </w:r>
          </w:p>
        </w:tc>
      </w:tr>
      <w:tr>
        <w:tc>
          <w:tcPr>
            <w:tcW w:type="dxa" w:w="1178"/>
          </w:tcPr>
          <w:p>
            <w:r>
              <w:rPr>
                <w:sz w:val="14"/>
              </w:rPr>
              <w:t>2050 HS</w:t>
            </w:r>
          </w:p>
        </w:tc>
        <w:tc>
          <w:tcPr>
            <w:tcW w:type="dxa" w:w="1178"/>
          </w:tcPr>
          <w:p>
            <w:r>
              <w:rPr>
                <w:sz w:val="14"/>
              </w:rPr>
              <w:t>87,525</w:t>
            </w:r>
          </w:p>
        </w:tc>
        <w:tc>
          <w:tcPr>
            <w:tcW w:type="dxa" w:w="1178"/>
          </w:tcPr>
          <w:p>
            <w:r>
              <w:rPr>
                <w:sz w:val="14"/>
              </w:rPr>
              <w:t>7,908</w:t>
            </w:r>
          </w:p>
        </w:tc>
        <w:tc>
          <w:tcPr>
            <w:tcW w:type="dxa" w:w="1178"/>
          </w:tcPr>
          <w:p>
            <w:r>
              <w:rPr>
                <w:sz w:val="14"/>
              </w:rPr>
              <w:t>9,225</w:t>
            </w:r>
          </w:p>
        </w:tc>
        <w:tc>
          <w:tcPr>
            <w:tcW w:type="dxa" w:w="1178"/>
          </w:tcPr>
          <w:p>
            <w:r>
              <w:rPr>
                <w:sz w:val="14"/>
              </w:rPr>
              <w:t>6,135</w:t>
            </w:r>
          </w:p>
        </w:tc>
        <w:tc>
          <w:tcPr>
            <w:tcW w:type="dxa" w:w="1178"/>
          </w:tcPr>
          <w:p>
            <w:r>
              <w:rPr>
                <w:sz w:val="14"/>
              </w:rPr>
              <w:t>23,267</w:t>
            </w:r>
          </w:p>
        </w:tc>
        <w:tc>
          <w:tcPr>
            <w:tcW w:type="dxa" w:w="1178"/>
          </w:tcPr>
          <w:p>
            <w:r>
              <w:rPr>
                <w:sz w:val="14"/>
              </w:rPr>
              <w:t>79.0 %</w:t>
            </w:r>
          </w:p>
        </w:tc>
        <w:tc>
          <w:tcPr>
            <w:tcW w:type="dxa" w:w="1178"/>
          </w:tcPr>
          <w:p>
            <w:r>
              <w:rPr>
                <w:sz w:val="14"/>
              </w:rPr>
              <w:t>7.1 %</w:t>
            </w:r>
          </w:p>
        </w:tc>
        <w:tc>
          <w:tcPr>
            <w:tcW w:type="dxa" w:w="1178"/>
          </w:tcPr>
          <w:p>
            <w:r>
              <w:rPr>
                <w:sz w:val="14"/>
              </w:rPr>
              <w:t>8.3 %</w:t>
            </w:r>
          </w:p>
        </w:tc>
        <w:tc>
          <w:tcPr>
            <w:tcW w:type="dxa" w:w="1178"/>
          </w:tcPr>
          <w:p>
            <w:r>
              <w:rPr>
                <w:sz w:val="14"/>
              </w:rPr>
              <w:t>5.5 %</w:t>
            </w:r>
          </w:p>
        </w:tc>
        <w:tc>
          <w:tcPr>
            <w:tcW w:type="dxa" w:w="1178"/>
          </w:tcPr>
          <w:p>
            <w:r>
              <w:rPr>
                <w:sz w:val="14"/>
              </w:rPr>
              <w:t>21.0 %</w:t>
            </w:r>
          </w:p>
        </w:tc>
        <w:tc>
          <w:tcPr>
            <w:tcW w:type="dxa" w:w="1178"/>
          </w:tcPr>
          <w:p>
            <w:r>
              <w:rPr>
                <w:sz w:val="14"/>
              </w:rPr>
              <w:t>39.6 %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5,193</w:t>
            </w:r>
          </w:p>
        </w:tc>
        <w:tc>
          <w:tcPr>
            <w:tcW w:type="dxa" w:w="1178"/>
          </w:tcPr>
          <w:p>
            <w:r>
              <w:rPr>
                <w:sz w:val="14"/>
              </w:rPr>
              <w:t>3,059</w:t>
            </w:r>
          </w:p>
        </w:tc>
        <w:tc>
          <w:tcPr>
            <w:tcW w:type="dxa" w:w="1178"/>
          </w:tcPr>
          <w:p>
            <w:r>
              <w:rPr>
                <w:sz w:val="14"/>
              </w:rPr>
              <w:t>4,004</w:t>
            </w:r>
          </w:p>
        </w:tc>
        <w:tc>
          <w:tcPr>
            <w:tcW w:type="dxa" w:w="1178"/>
          </w:tcPr>
          <w:p>
            <w:r>
              <w:rPr>
                <w:sz w:val="14"/>
              </w:rPr>
              <w:t>2,359</w:t>
            </w:r>
          </w:p>
        </w:tc>
        <w:tc>
          <w:tcPr>
            <w:tcW w:type="dxa" w:w="1178"/>
          </w:tcPr>
          <w:p>
            <w:r>
              <w:rPr>
                <w:sz w:val="14"/>
              </w:rPr>
              <w:t>223</w:t>
            </w:r>
          </w:p>
        </w:tc>
        <w:tc>
          <w:tcPr>
            <w:tcW w:type="dxa" w:w="1178"/>
          </w:tcPr>
          <w:p>
            <w:r>
              <w:rPr>
                <w:sz w:val="14"/>
              </w:rPr>
              <w:t>2,334</w:t>
            </w:r>
          </w:p>
        </w:tc>
        <w:tc>
          <w:tcPr>
            <w:tcW w:type="dxa" w:w="1178"/>
          </w:tcPr>
          <w:p>
            <w:r>
              <w:rPr>
                <w:sz w:val="14"/>
              </w:rPr>
              <w:t>1,447</w:t>
            </w:r>
          </w:p>
        </w:tc>
        <w:tc>
          <w:tcPr>
            <w:tcW w:type="dxa" w:w="1178"/>
          </w:tcPr>
          <w:p>
            <w:r>
              <w:rPr>
                <w:sz w:val="14"/>
              </w:rPr>
              <w:t>2,413</w:t>
            </w:r>
          </w:p>
        </w:tc>
        <w:tc>
          <w:tcPr>
            <w:tcW w:type="dxa" w:w="1178"/>
          </w:tcPr>
          <w:p>
            <w:r>
              <w:rPr>
                <w:sz w:val="14"/>
              </w:rPr>
              <w:t>1,840</w:t>
            </w:r>
          </w:p>
        </w:tc>
        <w:tc>
          <w:tcPr>
            <w:tcW w:type="dxa" w:w="1178"/>
          </w:tcPr>
          <w:p>
            <w:r>
              <w:rPr>
                <w:sz w:val="14"/>
              </w:rPr>
              <w:t>840</w:t>
            </w:r>
          </w:p>
        </w:tc>
        <w:tc>
          <w:tcPr>
            <w:tcW w:type="dxa" w:w="1178"/>
          </w:tcPr>
          <w:p>
            <w:r>
              <w:rPr>
                <w:sz w:val="14"/>
              </w:rPr>
              <w:t>77.1 %</w:t>
            </w:r>
          </w:p>
        </w:tc>
      </w:tr>
      <w:tr>
        <w:tc>
          <w:tcPr>
            <w:tcW w:type="dxa" w:w="1178"/>
          </w:tcPr>
          <w:p>
            <w:r>
              <w:rPr>
                <w:sz w:val="14"/>
              </w:rPr>
              <w:t>2040 BU</w:t>
            </w:r>
          </w:p>
        </w:tc>
        <w:tc>
          <w:tcPr>
            <w:tcW w:type="dxa" w:w="1178"/>
          </w:tcPr>
          <w:p>
            <w:r>
              <w:rPr>
                <w:sz w:val="14"/>
              </w:rPr>
              <w:t>6,309</w:t>
            </w:r>
          </w:p>
        </w:tc>
        <w:tc>
          <w:tcPr>
            <w:tcW w:type="dxa" w:w="1178"/>
          </w:tcPr>
          <w:p>
            <w:r>
              <w:rPr>
                <w:sz w:val="14"/>
              </w:rPr>
              <w:t>3,716</w:t>
            </w:r>
          </w:p>
        </w:tc>
        <w:tc>
          <w:tcPr>
            <w:tcW w:type="dxa" w:w="1178"/>
          </w:tcPr>
          <w:p>
            <w:r>
              <w:rPr>
                <w:sz w:val="14"/>
              </w:rPr>
              <w:t>4,950</w:t>
            </w:r>
          </w:p>
        </w:tc>
        <w:tc>
          <w:tcPr>
            <w:tcW w:type="dxa" w:w="1178"/>
          </w:tcPr>
          <w:p>
            <w:r>
              <w:rPr>
                <w:sz w:val="14"/>
              </w:rPr>
              <w:t>2,915</w:t>
            </w:r>
          </w:p>
        </w:tc>
        <w:tc>
          <w:tcPr>
            <w:tcW w:type="dxa" w:w="1178"/>
          </w:tcPr>
          <w:p>
            <w:r>
              <w:rPr>
                <w:sz w:val="14"/>
              </w:rPr>
              <w:t>270</w:t>
            </w:r>
          </w:p>
        </w:tc>
        <w:tc>
          <w:tcPr>
            <w:tcW w:type="dxa" w:w="1178"/>
          </w:tcPr>
          <w:p>
            <w:r>
              <w:rPr>
                <w:sz w:val="14"/>
              </w:rPr>
              <w:t>2,778</w:t>
            </w:r>
          </w:p>
        </w:tc>
        <w:tc>
          <w:tcPr>
            <w:tcW w:type="dxa" w:w="1178"/>
          </w:tcPr>
          <w:p>
            <w:r>
              <w:rPr>
                <w:sz w:val="14"/>
              </w:rPr>
              <w:t>1,901</w:t>
            </w:r>
          </w:p>
        </w:tc>
        <w:tc>
          <w:tcPr>
            <w:tcW w:type="dxa" w:w="1178"/>
          </w:tcPr>
          <w:p>
            <w:r>
              <w:rPr>
                <w:sz w:val="14"/>
              </w:rPr>
              <w:t>3,038</w:t>
            </w:r>
          </w:p>
        </w:tc>
        <w:tc>
          <w:tcPr>
            <w:tcW w:type="dxa" w:w="1178"/>
          </w:tcPr>
          <w:p>
            <w:r>
              <w:rPr>
                <w:sz w:val="14"/>
              </w:rPr>
              <w:t>2,114</w:t>
            </w:r>
          </w:p>
        </w:tc>
        <w:tc>
          <w:tcPr>
            <w:tcW w:type="dxa" w:w="1178"/>
          </w:tcPr>
          <w:p>
            <w:r>
              <w:rPr>
                <w:sz w:val="14"/>
              </w:rPr>
              <w:t>966</w:t>
            </w:r>
          </w:p>
        </w:tc>
        <w:tc>
          <w:tcPr>
            <w:tcW w:type="dxa" w:w="1178"/>
          </w:tcPr>
          <w:p>
            <w:r>
              <w:rPr>
                <w:sz w:val="14"/>
              </w:rPr>
              <w:t>78.5 %</w:t>
            </w:r>
          </w:p>
        </w:tc>
      </w:tr>
      <w:tr>
        <w:tc>
          <w:tcPr>
            <w:tcW w:type="dxa" w:w="1178"/>
          </w:tcPr>
          <w:p>
            <w:r>
              <w:rPr>
                <w:sz w:val="14"/>
              </w:rPr>
              <w:t>2050 BU</w:t>
            </w:r>
          </w:p>
        </w:tc>
        <w:tc>
          <w:tcPr>
            <w:tcW w:type="dxa" w:w="1178"/>
          </w:tcPr>
          <w:p>
            <w:r>
              <w:rPr>
                <w:sz w:val="14"/>
              </w:rPr>
              <w:t>7,433</w:t>
            </w:r>
          </w:p>
        </w:tc>
        <w:tc>
          <w:tcPr>
            <w:tcW w:type="dxa" w:w="1178"/>
          </w:tcPr>
          <w:p>
            <w:r>
              <w:rPr>
                <w:sz w:val="14"/>
              </w:rPr>
              <w:t>4,378</w:t>
            </w:r>
          </w:p>
        </w:tc>
        <w:tc>
          <w:tcPr>
            <w:tcW w:type="dxa" w:w="1178"/>
          </w:tcPr>
          <w:p>
            <w:r>
              <w:rPr>
                <w:sz w:val="14"/>
              </w:rPr>
              <w:t>6,003</w:t>
            </w:r>
          </w:p>
        </w:tc>
        <w:tc>
          <w:tcPr>
            <w:tcW w:type="dxa" w:w="1178"/>
          </w:tcPr>
          <w:p>
            <w:r>
              <w:rPr>
                <w:sz w:val="14"/>
              </w:rPr>
              <w:t>3,536</w:t>
            </w:r>
          </w:p>
        </w:tc>
        <w:tc>
          <w:tcPr>
            <w:tcW w:type="dxa" w:w="1178"/>
          </w:tcPr>
          <w:p>
            <w:r>
              <w:rPr>
                <w:sz w:val="14"/>
              </w:rPr>
              <w:t>733</w:t>
            </w:r>
          </w:p>
        </w:tc>
        <w:tc>
          <w:tcPr>
            <w:tcW w:type="dxa" w:w="1178"/>
          </w:tcPr>
          <w:p>
            <w:r>
              <w:rPr>
                <w:sz w:val="14"/>
              </w:rPr>
              <w:t>3,162</w:t>
            </w:r>
          </w:p>
        </w:tc>
        <w:tc>
          <w:tcPr>
            <w:tcW w:type="dxa" w:w="1178"/>
          </w:tcPr>
          <w:p>
            <w:r>
              <w:rPr>
                <w:sz w:val="14"/>
              </w:rPr>
              <w:t>2,108</w:t>
            </w:r>
          </w:p>
        </w:tc>
        <w:tc>
          <w:tcPr>
            <w:tcW w:type="dxa" w:w="1178"/>
          </w:tcPr>
          <w:p>
            <w:r>
              <w:rPr>
                <w:sz w:val="14"/>
              </w:rPr>
              <w:t>3,851</w:t>
            </w:r>
          </w:p>
        </w:tc>
        <w:tc>
          <w:tcPr>
            <w:tcW w:type="dxa" w:w="1178"/>
          </w:tcPr>
          <w:p>
            <w:r>
              <w:rPr>
                <w:sz w:val="14"/>
              </w:rPr>
              <w:t>2,345</w:t>
            </w:r>
          </w:p>
        </w:tc>
        <w:tc>
          <w:tcPr>
            <w:tcW w:type="dxa" w:w="1178"/>
          </w:tcPr>
          <w:p>
            <w:r>
              <w:rPr>
                <w:sz w:val="14"/>
              </w:rPr>
              <w:t>1,071</w:t>
            </w:r>
          </w:p>
        </w:tc>
        <w:tc>
          <w:tcPr>
            <w:tcW w:type="dxa" w:w="1178"/>
          </w:tcPr>
          <w:p>
            <w:r>
              <w:rPr>
                <w:sz w:val="14"/>
              </w:rPr>
              <w:t>80.8 %</w:t>
            </w:r>
          </w:p>
        </w:tc>
      </w:tr>
      <w:tr>
        <w:tc>
          <w:tcPr>
            <w:tcW w:type="dxa" w:w="1178"/>
          </w:tcPr>
          <w:p>
            <w:r>
              <w:rPr>
                <w:sz w:val="14"/>
              </w:rPr>
              <w:t>2040 HS</w:t>
            </w:r>
          </w:p>
        </w:tc>
        <w:tc>
          <w:tcPr>
            <w:tcW w:type="dxa" w:w="1178"/>
          </w:tcPr>
          <w:p>
            <w:r>
              <w:rPr>
                <w:sz w:val="14"/>
              </w:rPr>
              <w:t>7,476</w:t>
            </w:r>
          </w:p>
        </w:tc>
        <w:tc>
          <w:tcPr>
            <w:tcW w:type="dxa" w:w="1178"/>
          </w:tcPr>
          <w:p>
            <w:r>
              <w:rPr>
                <w:sz w:val="14"/>
              </w:rPr>
              <w:t>4,403</w:t>
            </w:r>
          </w:p>
        </w:tc>
        <w:tc>
          <w:tcPr>
            <w:tcW w:type="dxa" w:w="1178"/>
          </w:tcPr>
          <w:p>
            <w:r>
              <w:rPr>
                <w:sz w:val="14"/>
              </w:rPr>
              <w:t>5,651</w:t>
            </w:r>
          </w:p>
        </w:tc>
        <w:tc>
          <w:tcPr>
            <w:tcW w:type="dxa" w:w="1178"/>
          </w:tcPr>
          <w:p>
            <w:r>
              <w:rPr>
                <w:sz w:val="14"/>
              </w:rPr>
              <w:t>3,328</w:t>
            </w:r>
          </w:p>
        </w:tc>
        <w:tc>
          <w:tcPr>
            <w:tcW w:type="dxa" w:w="1178"/>
          </w:tcPr>
          <w:p>
            <w:r>
              <w:rPr>
                <w:sz w:val="14"/>
              </w:rPr>
              <w:t>588</w:t>
            </w:r>
          </w:p>
        </w:tc>
        <w:tc>
          <w:tcPr>
            <w:tcW w:type="dxa" w:w="1178"/>
          </w:tcPr>
          <w:p>
            <w:r>
              <w:rPr>
                <w:sz w:val="14"/>
              </w:rPr>
              <w:t>3,196</w:t>
            </w:r>
          </w:p>
        </w:tc>
        <w:tc>
          <w:tcPr>
            <w:tcW w:type="dxa" w:w="1178"/>
          </w:tcPr>
          <w:p>
            <w:r>
              <w:rPr>
                <w:sz w:val="14"/>
              </w:rPr>
              <w:t>1,867</w:t>
            </w:r>
          </w:p>
        </w:tc>
        <w:tc>
          <w:tcPr>
            <w:tcW w:type="dxa" w:w="1178"/>
          </w:tcPr>
          <w:p>
            <w:r>
              <w:rPr>
                <w:sz w:val="14"/>
              </w:rPr>
              <w:t>3,276</w:t>
            </w:r>
          </w:p>
        </w:tc>
        <w:tc>
          <w:tcPr>
            <w:tcW w:type="dxa" w:w="1178"/>
          </w:tcPr>
          <w:p>
            <w:r>
              <w:rPr>
                <w:sz w:val="14"/>
              </w:rPr>
              <w:t>2,509</w:t>
            </w:r>
          </w:p>
        </w:tc>
        <w:tc>
          <w:tcPr>
            <w:tcW w:type="dxa" w:w="1178"/>
          </w:tcPr>
          <w:p>
            <w:r>
              <w:rPr>
                <w:sz w:val="14"/>
              </w:rPr>
              <w:t>1,146</w:t>
            </w:r>
          </w:p>
        </w:tc>
        <w:tc>
          <w:tcPr>
            <w:tcW w:type="dxa" w:w="1178"/>
          </w:tcPr>
          <w:p>
            <w:r>
              <w:rPr>
                <w:sz w:val="14"/>
              </w:rPr>
              <w:t>75.6 %</w:t>
            </w:r>
          </w:p>
        </w:tc>
      </w:tr>
      <w:tr>
        <w:tc>
          <w:tcPr>
            <w:tcW w:type="dxa" w:w="1178"/>
          </w:tcPr>
          <w:p>
            <w:r>
              <w:rPr>
                <w:sz w:val="14"/>
              </w:rPr>
              <w:t>2050 HS</w:t>
            </w:r>
          </w:p>
        </w:tc>
        <w:tc>
          <w:tcPr>
            <w:tcW w:type="dxa" w:w="1178"/>
          </w:tcPr>
          <w:p>
            <w:r>
              <w:rPr>
                <w:sz w:val="14"/>
              </w:rPr>
              <w:t>9,225</w:t>
            </w:r>
          </w:p>
        </w:tc>
        <w:tc>
          <w:tcPr>
            <w:tcW w:type="dxa" w:w="1178"/>
          </w:tcPr>
          <w:p>
            <w:r>
              <w:rPr>
                <w:sz w:val="14"/>
              </w:rPr>
              <w:t>5,433</w:t>
            </w:r>
          </w:p>
        </w:tc>
        <w:tc>
          <w:tcPr>
            <w:tcW w:type="dxa" w:w="1178"/>
          </w:tcPr>
          <w:p>
            <w:r>
              <w:rPr>
                <w:sz w:val="14"/>
              </w:rPr>
              <w:t>7,010</w:t>
            </w:r>
          </w:p>
        </w:tc>
        <w:tc>
          <w:tcPr>
            <w:tcW w:type="dxa" w:w="1178"/>
          </w:tcPr>
          <w:p>
            <w:r>
              <w:rPr>
                <w:sz w:val="14"/>
              </w:rPr>
              <w:t>4,129</w:t>
            </w:r>
          </w:p>
        </w:tc>
        <w:tc>
          <w:tcPr>
            <w:tcW w:type="dxa" w:w="1178"/>
          </w:tcPr>
          <w:p>
            <w:r>
              <w:rPr>
                <w:sz w:val="14"/>
              </w:rPr>
              <w:t>899</w:t>
            </w:r>
          </w:p>
        </w:tc>
        <w:tc>
          <w:tcPr>
            <w:tcW w:type="dxa" w:w="1178"/>
          </w:tcPr>
          <w:p>
            <w:r>
              <w:rPr>
                <w:sz w:val="14"/>
              </w:rPr>
              <w:t>3,913</w:t>
            </w:r>
          </w:p>
        </w:tc>
        <w:tc>
          <w:tcPr>
            <w:tcW w:type="dxa" w:w="1178"/>
          </w:tcPr>
          <w:p>
            <w:r>
              <w:rPr>
                <w:sz w:val="14"/>
              </w:rPr>
              <w:t>2,199</w:t>
            </w:r>
          </w:p>
        </w:tc>
        <w:tc>
          <w:tcPr>
            <w:tcW w:type="dxa" w:w="1178"/>
          </w:tcPr>
          <w:p>
            <w:r>
              <w:rPr>
                <w:sz w:val="14"/>
              </w:rPr>
              <w:t>4,068</w:t>
            </w:r>
          </w:p>
        </w:tc>
        <w:tc>
          <w:tcPr>
            <w:tcW w:type="dxa" w:w="1178"/>
          </w:tcPr>
          <w:p>
            <w:r>
              <w:rPr>
                <w:sz w:val="14"/>
              </w:rPr>
              <w:t>3,058</w:t>
            </w:r>
          </w:p>
        </w:tc>
        <w:tc>
          <w:tcPr>
            <w:tcW w:type="dxa" w:w="1178"/>
          </w:tcPr>
          <w:p>
            <w:r>
              <w:rPr>
                <w:sz w:val="14"/>
              </w:rPr>
              <w:t>1,397</w:t>
            </w:r>
          </w:p>
        </w:tc>
        <w:tc>
          <w:tcPr>
            <w:tcW w:type="dxa" w:w="1178"/>
          </w:tcPr>
          <w:p>
            <w:r>
              <w:rPr>
                <w:sz w:val="14"/>
              </w:rPr>
              <w:t>76.0 %</w:t>
            </w:r>
          </w:p>
        </w:tc>
      </w:tr>
    </w:tbl>
    <w:p/>
    <w:p>
      <w:r>
        <w:rPr>
          <w:b/>
        </w:rPr>
        <w:t>Table 4.2 — PM 16:00–19:00: the shift to the LRT and the demand by mode after the LRT, main route + extension, Prioritized (trips in three hours).</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before</w:t>
            </w:r>
          </w:p>
        </w:tc>
        <w:tc>
          <w:tcPr>
            <w:tcW w:type="dxa" w:w="1178"/>
          </w:tcPr>
          <w:p>
            <w:r>
              <w:rPr>
                <w:b/>
                <w:sz w:val="14"/>
              </w:rPr>
              <w:t>bus before</w:t>
            </w:r>
          </w:p>
        </w:tc>
        <w:tc>
          <w:tcPr>
            <w:tcW w:type="dxa" w:w="1178"/>
          </w:tcPr>
          <w:p>
            <w:r>
              <w:rPr>
                <w:b/>
                <w:sz w:val="14"/>
              </w:rPr>
              <w:t>BRT before</w:t>
            </w:r>
          </w:p>
        </w:tc>
        <w:tc>
          <w:tcPr>
            <w:tcW w:type="dxa" w:w="1178"/>
          </w:tcPr>
          <w:p>
            <w:r>
              <w:rPr>
                <w:b/>
                <w:sz w:val="14"/>
              </w:rPr>
              <w:t>transit before</w:t>
            </w:r>
          </w:p>
        </w:tc>
        <w:tc>
          <w:tcPr>
            <w:tcW w:type="dxa" w:w="1178"/>
          </w:tcPr>
          <w:p>
            <w:r>
              <w:rPr>
                <w:b/>
                <w:sz w:val="14"/>
              </w:rPr>
              <w:t>car → transit</w:t>
            </w:r>
          </w:p>
        </w:tc>
        <w:tc>
          <w:tcPr>
            <w:tcW w:type="dxa" w:w="1178"/>
          </w:tcPr>
          <w:p>
            <w:r>
              <w:rPr>
                <w:b/>
                <w:sz w:val="14"/>
              </w:rPr>
              <w:t>car → LRT</w:t>
            </w:r>
          </w:p>
        </w:tc>
        <w:tc>
          <w:tcPr>
            <w:tcW w:type="dxa" w:w="1178"/>
          </w:tcPr>
          <w:p>
            <w:r>
              <w:rPr>
                <w:b/>
                <w:sz w:val="14"/>
              </w:rPr>
              <w:t>BRT → LRT</w:t>
            </w:r>
          </w:p>
        </w:tc>
        <w:tc>
          <w:tcPr>
            <w:tcW w:type="dxa" w:w="1178"/>
          </w:tcPr>
          <w:p>
            <w:r>
              <w:rPr>
                <w:b/>
                <w:sz w:val="14"/>
              </w:rPr>
              <w:t>bus → LRT</w:t>
            </w:r>
          </w:p>
        </w:tc>
        <w:tc>
          <w:tcPr>
            <w:tcW w:type="dxa" w:w="1178"/>
          </w:tcPr>
          <w:p>
            <w:r>
              <w:rPr>
                <w:b/>
                <w:sz w:val="14"/>
              </w:rPr>
              <w:t>car → transit (% of car)</w:t>
            </w:r>
          </w:p>
        </w:tc>
        <w:tc>
          <w:tcPr>
            <w:tcW w:type="dxa" w:w="1178"/>
          </w:tcPr>
          <w:p>
            <w:r>
              <w:rPr>
                <w:b/>
                <w:sz w:val="14"/>
              </w:rPr>
              <w:t>BRT → LRT (% of BRT)</w:t>
            </w:r>
          </w:p>
        </w:tc>
        <w:tc>
          <w:tcPr>
            <w:tcW w:type="dxa" w:w="1178"/>
          </w:tcPr>
          <w:p>
            <w:r>
              <w:rPr>
                <w:b/>
                <w:sz w:val="14"/>
              </w:rPr>
              <w:t>bus → LRT (% of bus)</w:t>
            </w:r>
          </w:p>
        </w:tc>
      </w:tr>
      <w:tr>
        <w:tc>
          <w:tcPr>
            <w:tcW w:type="dxa" w:w="1178"/>
          </w:tcPr>
          <w:p>
            <w:r>
              <w:rPr>
                <w:sz w:val="14"/>
              </w:rPr>
              <w:t>2022</w:t>
            </w:r>
          </w:p>
        </w:tc>
        <w:tc>
          <w:tcPr>
            <w:tcW w:type="dxa" w:w="1178"/>
          </w:tcPr>
          <w:p>
            <w:r>
              <w:rPr>
                <w:sz w:val="14"/>
              </w:rPr>
              <w:t>66,517</w:t>
            </w:r>
          </w:p>
        </w:tc>
        <w:tc>
          <w:tcPr>
            <w:tcW w:type="dxa" w:w="1178"/>
          </w:tcPr>
          <w:p>
            <w:r>
              <w:rPr>
                <w:sz w:val="14"/>
              </w:rPr>
              <w:t>4,354</w:t>
            </w:r>
          </w:p>
        </w:tc>
        <w:tc>
          <w:tcPr>
            <w:tcW w:type="dxa" w:w="1178"/>
          </w:tcPr>
          <w:p>
            <w:r>
              <w:rPr>
                <w:sz w:val="14"/>
              </w:rPr>
              <w:t>7,253</w:t>
            </w:r>
          </w:p>
        </w:tc>
        <w:tc>
          <w:tcPr>
            <w:tcW w:type="dxa" w:w="1178"/>
          </w:tcPr>
          <w:p>
            <w:r>
              <w:rPr>
                <w:sz w:val="14"/>
              </w:rPr>
              <w:t>11,607</w:t>
            </w:r>
          </w:p>
        </w:tc>
        <w:tc>
          <w:tcPr>
            <w:tcW w:type="dxa" w:w="1178"/>
          </w:tcPr>
          <w:p>
            <w:r>
              <w:rPr>
                <w:sz w:val="14"/>
              </w:rPr>
              <w:t>552</w:t>
            </w:r>
          </w:p>
        </w:tc>
        <w:tc>
          <w:tcPr>
            <w:tcW w:type="dxa" w:w="1178"/>
          </w:tcPr>
          <w:p>
            <w:r>
              <w:rPr>
                <w:sz w:val="14"/>
              </w:rPr>
              <w:t>274</w:t>
            </w:r>
          </w:p>
        </w:tc>
        <w:tc>
          <w:tcPr>
            <w:tcW w:type="dxa" w:w="1178"/>
          </w:tcPr>
          <w:p>
            <w:r>
              <w:rPr>
                <w:sz w:val="14"/>
              </w:rPr>
              <w:t>2,322</w:t>
            </w:r>
          </w:p>
        </w:tc>
        <w:tc>
          <w:tcPr>
            <w:tcW w:type="dxa" w:w="1178"/>
          </w:tcPr>
          <w:p>
            <w:r>
              <w:rPr>
                <w:sz w:val="14"/>
              </w:rPr>
              <w:t>1,504</w:t>
            </w:r>
          </w:p>
        </w:tc>
        <w:tc>
          <w:tcPr>
            <w:tcW w:type="dxa" w:w="1178"/>
          </w:tcPr>
          <w:p>
            <w:r>
              <w:rPr>
                <w:sz w:val="14"/>
              </w:rPr>
              <w:t>0.83 %</w:t>
            </w:r>
          </w:p>
        </w:tc>
        <w:tc>
          <w:tcPr>
            <w:tcW w:type="dxa" w:w="1178"/>
          </w:tcPr>
          <w:p>
            <w:r>
              <w:rPr>
                <w:sz w:val="14"/>
              </w:rPr>
              <w:t>32.0 %</w:t>
            </w:r>
          </w:p>
        </w:tc>
        <w:tc>
          <w:tcPr>
            <w:tcW w:type="dxa" w:w="1178"/>
          </w:tcPr>
          <w:p>
            <w:r>
              <w:rPr>
                <w:sz w:val="14"/>
              </w:rPr>
              <w:t>34.5 %</w:t>
            </w:r>
          </w:p>
        </w:tc>
      </w:tr>
      <w:tr>
        <w:tc>
          <w:tcPr>
            <w:tcW w:type="dxa" w:w="1178"/>
          </w:tcPr>
          <w:p>
            <w:r>
              <w:rPr>
                <w:sz w:val="14"/>
              </w:rPr>
              <w:t>2040 BU</w:t>
            </w:r>
          </w:p>
        </w:tc>
        <w:tc>
          <w:tcPr>
            <w:tcW w:type="dxa" w:w="1178"/>
          </w:tcPr>
          <w:p>
            <w:r>
              <w:rPr>
                <w:sz w:val="14"/>
              </w:rPr>
              <w:t>86,451</w:t>
            </w:r>
          </w:p>
        </w:tc>
        <w:tc>
          <w:tcPr>
            <w:tcW w:type="dxa" w:w="1178"/>
          </w:tcPr>
          <w:p>
            <w:r>
              <w:rPr>
                <w:sz w:val="14"/>
              </w:rPr>
              <w:t>6,392</w:t>
            </w:r>
          </w:p>
        </w:tc>
        <w:tc>
          <w:tcPr>
            <w:tcW w:type="dxa" w:w="1178"/>
          </w:tcPr>
          <w:p>
            <w:r>
              <w:rPr>
                <w:sz w:val="14"/>
              </w:rPr>
              <w:t>9,218</w:t>
            </w:r>
          </w:p>
        </w:tc>
        <w:tc>
          <w:tcPr>
            <w:tcW w:type="dxa" w:w="1178"/>
          </w:tcPr>
          <w:p>
            <w:r>
              <w:rPr>
                <w:sz w:val="14"/>
              </w:rPr>
              <w:t>15,610</w:t>
            </w:r>
          </w:p>
        </w:tc>
        <w:tc>
          <w:tcPr>
            <w:tcW w:type="dxa" w:w="1178"/>
          </w:tcPr>
          <w:p>
            <w:r>
              <w:rPr>
                <w:sz w:val="14"/>
              </w:rPr>
              <w:t>666</w:t>
            </w:r>
          </w:p>
        </w:tc>
        <w:tc>
          <w:tcPr>
            <w:tcW w:type="dxa" w:w="1178"/>
          </w:tcPr>
          <w:p>
            <w:r>
              <w:rPr>
                <w:sz w:val="14"/>
              </w:rPr>
              <w:t>327</w:t>
            </w:r>
          </w:p>
        </w:tc>
        <w:tc>
          <w:tcPr>
            <w:tcW w:type="dxa" w:w="1178"/>
          </w:tcPr>
          <w:p>
            <w:r>
              <w:rPr>
                <w:sz w:val="14"/>
              </w:rPr>
              <w:t>2,819</w:t>
            </w:r>
          </w:p>
        </w:tc>
        <w:tc>
          <w:tcPr>
            <w:tcW w:type="dxa" w:w="1178"/>
          </w:tcPr>
          <w:p>
            <w:r>
              <w:rPr>
                <w:sz w:val="14"/>
              </w:rPr>
              <w:t>2,209</w:t>
            </w:r>
          </w:p>
        </w:tc>
        <w:tc>
          <w:tcPr>
            <w:tcW w:type="dxa" w:w="1178"/>
          </w:tcPr>
          <w:p>
            <w:r>
              <w:rPr>
                <w:sz w:val="14"/>
              </w:rPr>
              <w:t>0.77 %</w:t>
            </w:r>
          </w:p>
        </w:tc>
        <w:tc>
          <w:tcPr>
            <w:tcW w:type="dxa" w:w="1178"/>
          </w:tcPr>
          <w:p>
            <w:r>
              <w:rPr>
                <w:sz w:val="14"/>
              </w:rPr>
              <w:t>30.6 %</w:t>
            </w:r>
          </w:p>
        </w:tc>
        <w:tc>
          <w:tcPr>
            <w:tcW w:type="dxa" w:w="1178"/>
          </w:tcPr>
          <w:p>
            <w:r>
              <w:rPr>
                <w:sz w:val="14"/>
              </w:rPr>
              <w:t>34.6 %</w:t>
            </w:r>
          </w:p>
        </w:tc>
      </w:tr>
      <w:tr>
        <w:tc>
          <w:tcPr>
            <w:tcW w:type="dxa" w:w="1178"/>
          </w:tcPr>
          <w:p>
            <w:r>
              <w:rPr>
                <w:sz w:val="14"/>
              </w:rPr>
              <w:t>2050 BU</w:t>
            </w:r>
          </w:p>
        </w:tc>
        <w:tc>
          <w:tcPr>
            <w:tcW w:type="dxa" w:w="1178"/>
          </w:tcPr>
          <w:p>
            <w:r>
              <w:rPr>
                <w:sz w:val="14"/>
              </w:rPr>
              <w:t>100,598</w:t>
            </w:r>
          </w:p>
        </w:tc>
        <w:tc>
          <w:tcPr>
            <w:tcW w:type="dxa" w:w="1178"/>
          </w:tcPr>
          <w:p>
            <w:r>
              <w:rPr>
                <w:sz w:val="14"/>
              </w:rPr>
              <w:t>7,332</w:t>
            </w:r>
          </w:p>
        </w:tc>
        <w:tc>
          <w:tcPr>
            <w:tcW w:type="dxa" w:w="1178"/>
          </w:tcPr>
          <w:p>
            <w:r>
              <w:rPr>
                <w:sz w:val="14"/>
              </w:rPr>
              <w:t>10,487</w:t>
            </w:r>
          </w:p>
        </w:tc>
        <w:tc>
          <w:tcPr>
            <w:tcW w:type="dxa" w:w="1178"/>
          </w:tcPr>
          <w:p>
            <w:r>
              <w:rPr>
                <w:sz w:val="14"/>
              </w:rPr>
              <w:t>17,818</w:t>
            </w:r>
          </w:p>
        </w:tc>
        <w:tc>
          <w:tcPr>
            <w:tcW w:type="dxa" w:w="1178"/>
          </w:tcPr>
          <w:p>
            <w:r>
              <w:rPr>
                <w:sz w:val="14"/>
              </w:rPr>
              <w:t>741</w:t>
            </w:r>
          </w:p>
        </w:tc>
        <w:tc>
          <w:tcPr>
            <w:tcW w:type="dxa" w:w="1178"/>
          </w:tcPr>
          <w:p>
            <w:r>
              <w:rPr>
                <w:sz w:val="14"/>
              </w:rPr>
              <w:t>368</w:t>
            </w:r>
          </w:p>
        </w:tc>
        <w:tc>
          <w:tcPr>
            <w:tcW w:type="dxa" w:w="1178"/>
          </w:tcPr>
          <w:p>
            <w:r>
              <w:rPr>
                <w:sz w:val="14"/>
              </w:rPr>
              <w:t>3,217</w:t>
            </w:r>
          </w:p>
        </w:tc>
        <w:tc>
          <w:tcPr>
            <w:tcW w:type="dxa" w:w="1178"/>
          </w:tcPr>
          <w:p>
            <w:r>
              <w:rPr>
                <w:sz w:val="14"/>
              </w:rPr>
              <w:t>2,550</w:t>
            </w:r>
          </w:p>
        </w:tc>
        <w:tc>
          <w:tcPr>
            <w:tcW w:type="dxa" w:w="1178"/>
          </w:tcPr>
          <w:p>
            <w:r>
              <w:rPr>
                <w:sz w:val="14"/>
              </w:rPr>
              <w:t>0.74 %</w:t>
            </w:r>
          </w:p>
        </w:tc>
        <w:tc>
          <w:tcPr>
            <w:tcW w:type="dxa" w:w="1178"/>
          </w:tcPr>
          <w:p>
            <w:r>
              <w:rPr>
                <w:sz w:val="14"/>
              </w:rPr>
              <w:t>30.7 %</w:t>
            </w:r>
          </w:p>
        </w:tc>
        <w:tc>
          <w:tcPr>
            <w:tcW w:type="dxa" w:w="1178"/>
          </w:tcPr>
          <w:p>
            <w:r>
              <w:rPr>
                <w:sz w:val="14"/>
              </w:rPr>
              <w:t>34.8 %</w:t>
            </w:r>
          </w:p>
        </w:tc>
      </w:tr>
      <w:tr>
        <w:tc>
          <w:tcPr>
            <w:tcW w:type="dxa" w:w="1178"/>
          </w:tcPr>
          <w:p>
            <w:r>
              <w:rPr>
                <w:sz w:val="14"/>
              </w:rPr>
              <w:t>2040 HS</w:t>
            </w:r>
          </w:p>
        </w:tc>
        <w:tc>
          <w:tcPr>
            <w:tcW w:type="dxa" w:w="1178"/>
          </w:tcPr>
          <w:p>
            <w:r>
              <w:rPr>
                <w:sz w:val="14"/>
              </w:rPr>
              <w:t>88,649</w:t>
            </w:r>
          </w:p>
        </w:tc>
        <w:tc>
          <w:tcPr>
            <w:tcW w:type="dxa" w:w="1178"/>
          </w:tcPr>
          <w:p>
            <w:r>
              <w:rPr>
                <w:sz w:val="14"/>
              </w:rPr>
              <w:t>6,446</w:t>
            </w:r>
          </w:p>
        </w:tc>
        <w:tc>
          <w:tcPr>
            <w:tcW w:type="dxa" w:w="1178"/>
          </w:tcPr>
          <w:p>
            <w:r>
              <w:rPr>
                <w:sz w:val="14"/>
              </w:rPr>
              <w:t>9,291</w:t>
            </w:r>
          </w:p>
        </w:tc>
        <w:tc>
          <w:tcPr>
            <w:tcW w:type="dxa" w:w="1178"/>
          </w:tcPr>
          <w:p>
            <w:r>
              <w:rPr>
                <w:sz w:val="14"/>
              </w:rPr>
              <w:t>15,737</w:t>
            </w:r>
          </w:p>
        </w:tc>
        <w:tc>
          <w:tcPr>
            <w:tcW w:type="dxa" w:w="1178"/>
          </w:tcPr>
          <w:p>
            <w:r>
              <w:rPr>
                <w:sz w:val="14"/>
              </w:rPr>
              <w:t>804</w:t>
            </w:r>
          </w:p>
        </w:tc>
        <w:tc>
          <w:tcPr>
            <w:tcW w:type="dxa" w:w="1178"/>
          </w:tcPr>
          <w:p>
            <w:r>
              <w:rPr>
                <w:sz w:val="14"/>
              </w:rPr>
              <w:t>425</w:t>
            </w:r>
          </w:p>
        </w:tc>
        <w:tc>
          <w:tcPr>
            <w:tcW w:type="dxa" w:w="1178"/>
          </w:tcPr>
          <w:p>
            <w:r>
              <w:rPr>
                <w:sz w:val="14"/>
              </w:rPr>
              <w:t>3,050</w:t>
            </w:r>
          </w:p>
        </w:tc>
        <w:tc>
          <w:tcPr>
            <w:tcW w:type="dxa" w:w="1178"/>
          </w:tcPr>
          <w:p>
            <w:r>
              <w:rPr>
                <w:sz w:val="14"/>
              </w:rPr>
              <w:t>2,144</w:t>
            </w:r>
          </w:p>
        </w:tc>
        <w:tc>
          <w:tcPr>
            <w:tcW w:type="dxa" w:w="1178"/>
          </w:tcPr>
          <w:p>
            <w:r>
              <w:rPr>
                <w:sz w:val="14"/>
              </w:rPr>
              <w:t>0.91 %</w:t>
            </w:r>
          </w:p>
        </w:tc>
        <w:tc>
          <w:tcPr>
            <w:tcW w:type="dxa" w:w="1178"/>
          </w:tcPr>
          <w:p>
            <w:r>
              <w:rPr>
                <w:sz w:val="14"/>
              </w:rPr>
              <w:t>32.8 %</w:t>
            </w:r>
          </w:p>
        </w:tc>
        <w:tc>
          <w:tcPr>
            <w:tcW w:type="dxa" w:w="1178"/>
          </w:tcPr>
          <w:p>
            <w:r>
              <w:rPr>
                <w:sz w:val="14"/>
              </w:rPr>
              <w:t>33.3 %</w:t>
            </w:r>
          </w:p>
        </w:tc>
      </w:tr>
      <w:tr>
        <w:tc>
          <w:tcPr>
            <w:tcW w:type="dxa" w:w="1178"/>
          </w:tcPr>
          <w:p>
            <w:r>
              <w:rPr>
                <w:sz w:val="14"/>
              </w:rPr>
              <w:t>2050 HS</w:t>
            </w:r>
          </w:p>
        </w:tc>
        <w:tc>
          <w:tcPr>
            <w:tcW w:type="dxa" w:w="1178"/>
          </w:tcPr>
          <w:p>
            <w:r>
              <w:rPr>
                <w:sz w:val="14"/>
              </w:rPr>
              <w:t>96,724</w:t>
            </w:r>
          </w:p>
        </w:tc>
        <w:tc>
          <w:tcPr>
            <w:tcW w:type="dxa" w:w="1178"/>
          </w:tcPr>
          <w:p>
            <w:r>
              <w:rPr>
                <w:sz w:val="14"/>
              </w:rPr>
              <w:t>6,438</w:t>
            </w:r>
          </w:p>
        </w:tc>
        <w:tc>
          <w:tcPr>
            <w:tcW w:type="dxa" w:w="1178"/>
          </w:tcPr>
          <w:p>
            <w:r>
              <w:rPr>
                <w:sz w:val="14"/>
              </w:rPr>
              <w:t>9,892</w:t>
            </w:r>
          </w:p>
        </w:tc>
        <w:tc>
          <w:tcPr>
            <w:tcW w:type="dxa" w:w="1178"/>
          </w:tcPr>
          <w:p>
            <w:r>
              <w:rPr>
                <w:sz w:val="14"/>
              </w:rPr>
              <w:t>16,329</w:t>
            </w:r>
          </w:p>
        </w:tc>
        <w:tc>
          <w:tcPr>
            <w:tcW w:type="dxa" w:w="1178"/>
          </w:tcPr>
          <w:p>
            <w:r>
              <w:rPr>
                <w:sz w:val="14"/>
              </w:rPr>
              <w:t>880</w:t>
            </w:r>
          </w:p>
        </w:tc>
        <w:tc>
          <w:tcPr>
            <w:tcW w:type="dxa" w:w="1178"/>
          </w:tcPr>
          <w:p>
            <w:r>
              <w:rPr>
                <w:sz w:val="14"/>
              </w:rPr>
              <w:t>466</w:t>
            </w:r>
          </w:p>
        </w:tc>
        <w:tc>
          <w:tcPr>
            <w:tcW w:type="dxa" w:w="1178"/>
          </w:tcPr>
          <w:p>
            <w:r>
              <w:rPr>
                <w:sz w:val="14"/>
              </w:rPr>
              <w:t>3,278</w:t>
            </w:r>
          </w:p>
        </w:tc>
        <w:tc>
          <w:tcPr>
            <w:tcW w:type="dxa" w:w="1178"/>
          </w:tcPr>
          <w:p>
            <w:r>
              <w:rPr>
                <w:sz w:val="14"/>
              </w:rPr>
              <w:t>2,212</w:t>
            </w:r>
          </w:p>
        </w:tc>
        <w:tc>
          <w:tcPr>
            <w:tcW w:type="dxa" w:w="1178"/>
          </w:tcPr>
          <w:p>
            <w:r>
              <w:rPr>
                <w:sz w:val="14"/>
              </w:rPr>
              <w:t>0.91 %</w:t>
            </w:r>
          </w:p>
        </w:tc>
        <w:tc>
          <w:tcPr>
            <w:tcW w:type="dxa" w:w="1178"/>
          </w:tcPr>
          <w:p>
            <w:r>
              <w:rPr>
                <w:sz w:val="14"/>
              </w:rPr>
              <w:t>33.1 %</w:t>
            </w:r>
          </w:p>
        </w:tc>
        <w:tc>
          <w:tcPr>
            <w:tcW w:type="dxa" w:w="1178"/>
          </w:tcPr>
          <w:p>
            <w:r>
              <w:rPr>
                <w:sz w:val="14"/>
              </w:rPr>
              <w:t>34.4 %</w:t>
            </w:r>
          </w:p>
        </w:tc>
      </w:tr>
    </w:tbl>
    <w:p>
      <w:r>
        <w:rPr>
          <w:i/>
        </w:rPr>
        <w:t>Demand after the LRT and the share of each mode (of car + transit on the corridor market):</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car after</w:t>
            </w:r>
          </w:p>
        </w:tc>
        <w:tc>
          <w:tcPr>
            <w:tcW w:type="dxa" w:w="1178"/>
          </w:tcPr>
          <w:p>
            <w:r>
              <w:rPr>
                <w:b/>
                <w:sz w:val="14"/>
              </w:rPr>
              <w:t>BRT after</w:t>
            </w:r>
          </w:p>
        </w:tc>
        <w:tc>
          <w:tcPr>
            <w:tcW w:type="dxa" w:w="1178"/>
          </w:tcPr>
          <w:p>
            <w:r>
              <w:rPr>
                <w:b/>
                <w:sz w:val="14"/>
              </w:rPr>
              <w:t>LRT</w:t>
            </w:r>
          </w:p>
        </w:tc>
        <w:tc>
          <w:tcPr>
            <w:tcW w:type="dxa" w:w="1178"/>
          </w:tcPr>
          <w:p>
            <w:r>
              <w:rPr>
                <w:b/>
                <w:sz w:val="14"/>
              </w:rPr>
              <w:t>bus after</w:t>
            </w:r>
          </w:p>
        </w:tc>
        <w:tc>
          <w:tcPr>
            <w:tcW w:type="dxa" w:w="1178"/>
          </w:tcPr>
          <w:p>
            <w:r>
              <w:rPr>
                <w:b/>
                <w:sz w:val="14"/>
              </w:rPr>
              <w:t>total transit after</w:t>
            </w:r>
          </w:p>
        </w:tc>
        <w:tc>
          <w:tcPr>
            <w:tcW w:type="dxa" w:w="1178"/>
          </w:tcPr>
          <w:p>
            <w:r>
              <w:rPr>
                <w:b/>
                <w:sz w:val="14"/>
              </w:rPr>
              <w:t>car share</w:t>
            </w:r>
          </w:p>
        </w:tc>
        <w:tc>
          <w:tcPr>
            <w:tcW w:type="dxa" w:w="1178"/>
          </w:tcPr>
          <w:p>
            <w:r>
              <w:rPr>
                <w:b/>
                <w:sz w:val="14"/>
              </w:rPr>
              <w:t>BRT share</w:t>
            </w:r>
          </w:p>
        </w:tc>
        <w:tc>
          <w:tcPr>
            <w:tcW w:type="dxa" w:w="1178"/>
          </w:tcPr>
          <w:p>
            <w:r>
              <w:rPr>
                <w:b/>
                <w:sz w:val="14"/>
              </w:rPr>
              <w:t>LRT share</w:t>
            </w:r>
          </w:p>
        </w:tc>
        <w:tc>
          <w:tcPr>
            <w:tcW w:type="dxa" w:w="1178"/>
          </w:tcPr>
          <w:p>
            <w:r>
              <w:rPr>
                <w:b/>
                <w:sz w:val="14"/>
              </w:rPr>
              <w:t>bus share</w:t>
            </w:r>
          </w:p>
        </w:tc>
        <w:tc>
          <w:tcPr>
            <w:tcW w:type="dxa" w:w="1178"/>
          </w:tcPr>
          <w:p>
            <w:r>
              <w:rPr>
                <w:b/>
                <w:sz w:val="14"/>
              </w:rPr>
              <w:t>transit share</w:t>
            </w:r>
          </w:p>
        </w:tc>
        <w:tc>
          <w:tcPr>
            <w:tcW w:type="dxa" w:w="1178"/>
          </w:tcPr>
          <w:p>
            <w:r>
              <w:rPr>
                <w:b/>
                <w:sz w:val="14"/>
              </w:rPr>
              <w:t>LRT share of transit</w:t>
            </w:r>
          </w:p>
        </w:tc>
      </w:tr>
      <w:tr>
        <w:tc>
          <w:tcPr>
            <w:tcW w:type="dxa" w:w="1178"/>
          </w:tcPr>
          <w:p>
            <w:r>
              <w:rPr>
                <w:sz w:val="14"/>
              </w:rPr>
              <w:t>2022</w:t>
            </w:r>
          </w:p>
        </w:tc>
        <w:tc>
          <w:tcPr>
            <w:tcW w:type="dxa" w:w="1178"/>
          </w:tcPr>
          <w:p>
            <w:r>
              <w:rPr>
                <w:sz w:val="14"/>
              </w:rPr>
              <w:t>65,965</w:t>
            </w:r>
          </w:p>
        </w:tc>
        <w:tc>
          <w:tcPr>
            <w:tcW w:type="dxa" w:w="1178"/>
          </w:tcPr>
          <w:p>
            <w:r>
              <w:rPr>
                <w:sz w:val="14"/>
              </w:rPr>
              <w:t>5,071</w:t>
            </w:r>
          </w:p>
        </w:tc>
        <w:tc>
          <w:tcPr>
            <w:tcW w:type="dxa" w:w="1178"/>
          </w:tcPr>
          <w:p>
            <w:r>
              <w:rPr>
                <w:sz w:val="14"/>
              </w:rPr>
              <w:t>4,101</w:t>
            </w:r>
          </w:p>
        </w:tc>
        <w:tc>
          <w:tcPr>
            <w:tcW w:type="dxa" w:w="1178"/>
          </w:tcPr>
          <w:p>
            <w:r>
              <w:rPr>
                <w:sz w:val="14"/>
              </w:rPr>
              <w:t>2,987</w:t>
            </w:r>
          </w:p>
        </w:tc>
        <w:tc>
          <w:tcPr>
            <w:tcW w:type="dxa" w:w="1178"/>
          </w:tcPr>
          <w:p>
            <w:r>
              <w:rPr>
                <w:sz w:val="14"/>
              </w:rPr>
              <w:t>12,159</w:t>
            </w:r>
          </w:p>
        </w:tc>
        <w:tc>
          <w:tcPr>
            <w:tcW w:type="dxa" w:w="1178"/>
          </w:tcPr>
          <w:p>
            <w:r>
              <w:rPr>
                <w:sz w:val="14"/>
              </w:rPr>
              <w:t>84.4 %</w:t>
            </w:r>
          </w:p>
        </w:tc>
        <w:tc>
          <w:tcPr>
            <w:tcW w:type="dxa" w:w="1178"/>
          </w:tcPr>
          <w:p>
            <w:r>
              <w:rPr>
                <w:sz w:val="14"/>
              </w:rPr>
              <w:t>6.5 %</w:t>
            </w:r>
          </w:p>
        </w:tc>
        <w:tc>
          <w:tcPr>
            <w:tcW w:type="dxa" w:w="1178"/>
          </w:tcPr>
          <w:p>
            <w:r>
              <w:rPr>
                <w:sz w:val="14"/>
              </w:rPr>
              <w:t>5.2 %</w:t>
            </w:r>
          </w:p>
        </w:tc>
        <w:tc>
          <w:tcPr>
            <w:tcW w:type="dxa" w:w="1178"/>
          </w:tcPr>
          <w:p>
            <w:r>
              <w:rPr>
                <w:sz w:val="14"/>
              </w:rPr>
              <w:t>3.8 %</w:t>
            </w:r>
          </w:p>
        </w:tc>
        <w:tc>
          <w:tcPr>
            <w:tcW w:type="dxa" w:w="1178"/>
          </w:tcPr>
          <w:p>
            <w:r>
              <w:rPr>
                <w:sz w:val="14"/>
              </w:rPr>
              <w:t>15.6 %</w:t>
            </w:r>
          </w:p>
        </w:tc>
        <w:tc>
          <w:tcPr>
            <w:tcW w:type="dxa" w:w="1178"/>
          </w:tcPr>
          <w:p>
            <w:r>
              <w:rPr>
                <w:sz w:val="14"/>
              </w:rPr>
              <w:t>33.7 %</w:t>
            </w:r>
          </w:p>
        </w:tc>
      </w:tr>
      <w:tr>
        <w:tc>
          <w:tcPr>
            <w:tcW w:type="dxa" w:w="1178"/>
          </w:tcPr>
          <w:p>
            <w:r>
              <w:rPr>
                <w:sz w:val="14"/>
              </w:rPr>
              <w:t>2040 BU</w:t>
            </w:r>
          </w:p>
        </w:tc>
        <w:tc>
          <w:tcPr>
            <w:tcW w:type="dxa" w:w="1178"/>
          </w:tcPr>
          <w:p>
            <w:r>
              <w:rPr>
                <w:sz w:val="14"/>
              </w:rPr>
              <w:t>85,785</w:t>
            </w:r>
          </w:p>
        </w:tc>
        <w:tc>
          <w:tcPr>
            <w:tcW w:type="dxa" w:w="1178"/>
          </w:tcPr>
          <w:p>
            <w:r>
              <w:rPr>
                <w:sz w:val="14"/>
              </w:rPr>
              <w:t>6,553</w:t>
            </w:r>
          </w:p>
        </w:tc>
        <w:tc>
          <w:tcPr>
            <w:tcW w:type="dxa" w:w="1178"/>
          </w:tcPr>
          <w:p>
            <w:r>
              <w:rPr>
                <w:sz w:val="14"/>
              </w:rPr>
              <w:t>5,358</w:t>
            </w:r>
          </w:p>
        </w:tc>
        <w:tc>
          <w:tcPr>
            <w:tcW w:type="dxa" w:w="1178"/>
          </w:tcPr>
          <w:p>
            <w:r>
              <w:rPr>
                <w:sz w:val="14"/>
              </w:rPr>
              <w:t>4,365</w:t>
            </w:r>
          </w:p>
        </w:tc>
        <w:tc>
          <w:tcPr>
            <w:tcW w:type="dxa" w:w="1178"/>
          </w:tcPr>
          <w:p>
            <w:r>
              <w:rPr>
                <w:sz w:val="14"/>
              </w:rPr>
              <w:t>16,276</w:t>
            </w:r>
          </w:p>
        </w:tc>
        <w:tc>
          <w:tcPr>
            <w:tcW w:type="dxa" w:w="1178"/>
          </w:tcPr>
          <w:p>
            <w:r>
              <w:rPr>
                <w:sz w:val="14"/>
              </w:rPr>
              <w:t>84.1 %</w:t>
            </w:r>
          </w:p>
        </w:tc>
        <w:tc>
          <w:tcPr>
            <w:tcW w:type="dxa" w:w="1178"/>
          </w:tcPr>
          <w:p>
            <w:r>
              <w:rPr>
                <w:sz w:val="14"/>
              </w:rPr>
              <w:t>6.4 %</w:t>
            </w:r>
          </w:p>
        </w:tc>
        <w:tc>
          <w:tcPr>
            <w:tcW w:type="dxa" w:w="1178"/>
          </w:tcPr>
          <w:p>
            <w:r>
              <w:rPr>
                <w:sz w:val="14"/>
              </w:rPr>
              <w:t>5.2 %</w:t>
            </w:r>
          </w:p>
        </w:tc>
        <w:tc>
          <w:tcPr>
            <w:tcW w:type="dxa" w:w="1178"/>
          </w:tcPr>
          <w:p>
            <w:r>
              <w:rPr>
                <w:sz w:val="14"/>
              </w:rPr>
              <w:t>4.3 %</w:t>
            </w:r>
          </w:p>
        </w:tc>
        <w:tc>
          <w:tcPr>
            <w:tcW w:type="dxa" w:w="1178"/>
          </w:tcPr>
          <w:p>
            <w:r>
              <w:rPr>
                <w:sz w:val="14"/>
              </w:rPr>
              <w:t>15.9 %</w:t>
            </w:r>
          </w:p>
        </w:tc>
        <w:tc>
          <w:tcPr>
            <w:tcW w:type="dxa" w:w="1178"/>
          </w:tcPr>
          <w:p>
            <w:r>
              <w:rPr>
                <w:sz w:val="14"/>
              </w:rPr>
              <w:t>32.9 %</w:t>
            </w:r>
          </w:p>
        </w:tc>
      </w:tr>
      <w:tr>
        <w:tc>
          <w:tcPr>
            <w:tcW w:type="dxa" w:w="1178"/>
          </w:tcPr>
          <w:p>
            <w:r>
              <w:rPr>
                <w:sz w:val="14"/>
              </w:rPr>
              <w:t>2050 BU</w:t>
            </w:r>
          </w:p>
        </w:tc>
        <w:tc>
          <w:tcPr>
            <w:tcW w:type="dxa" w:w="1178"/>
          </w:tcPr>
          <w:p>
            <w:r>
              <w:rPr>
                <w:sz w:val="14"/>
              </w:rPr>
              <w:t>99,857</w:t>
            </w:r>
          </w:p>
        </w:tc>
        <w:tc>
          <w:tcPr>
            <w:tcW w:type="dxa" w:w="1178"/>
          </w:tcPr>
          <w:p>
            <w:r>
              <w:rPr>
                <w:sz w:val="14"/>
              </w:rPr>
              <w:t>7,444</w:t>
            </w:r>
          </w:p>
        </w:tc>
        <w:tc>
          <w:tcPr>
            <w:tcW w:type="dxa" w:w="1178"/>
          </w:tcPr>
          <w:p>
            <w:r>
              <w:rPr>
                <w:sz w:val="14"/>
              </w:rPr>
              <w:t>6,135</w:t>
            </w:r>
          </w:p>
        </w:tc>
        <w:tc>
          <w:tcPr>
            <w:tcW w:type="dxa" w:w="1178"/>
          </w:tcPr>
          <w:p>
            <w:r>
              <w:rPr>
                <w:sz w:val="14"/>
              </w:rPr>
              <w:t>4,981</w:t>
            </w:r>
          </w:p>
        </w:tc>
        <w:tc>
          <w:tcPr>
            <w:tcW w:type="dxa" w:w="1178"/>
          </w:tcPr>
          <w:p>
            <w:r>
              <w:rPr>
                <w:sz w:val="14"/>
              </w:rPr>
              <w:t>18,560</w:t>
            </w:r>
          </w:p>
        </w:tc>
        <w:tc>
          <w:tcPr>
            <w:tcW w:type="dxa" w:w="1178"/>
          </w:tcPr>
          <w:p>
            <w:r>
              <w:rPr>
                <w:sz w:val="14"/>
              </w:rPr>
              <w:t>84.3 %</w:t>
            </w:r>
          </w:p>
        </w:tc>
        <w:tc>
          <w:tcPr>
            <w:tcW w:type="dxa" w:w="1178"/>
          </w:tcPr>
          <w:p>
            <w:r>
              <w:rPr>
                <w:sz w:val="14"/>
              </w:rPr>
              <w:t>6.3 %</w:t>
            </w:r>
          </w:p>
        </w:tc>
        <w:tc>
          <w:tcPr>
            <w:tcW w:type="dxa" w:w="1178"/>
          </w:tcPr>
          <w:p>
            <w:r>
              <w:rPr>
                <w:sz w:val="14"/>
              </w:rPr>
              <w:t>5.2 %</w:t>
            </w:r>
          </w:p>
        </w:tc>
        <w:tc>
          <w:tcPr>
            <w:tcW w:type="dxa" w:w="1178"/>
          </w:tcPr>
          <w:p>
            <w:r>
              <w:rPr>
                <w:sz w:val="14"/>
              </w:rPr>
              <w:t>4.2 %</w:t>
            </w:r>
          </w:p>
        </w:tc>
        <w:tc>
          <w:tcPr>
            <w:tcW w:type="dxa" w:w="1178"/>
          </w:tcPr>
          <w:p>
            <w:r>
              <w:rPr>
                <w:sz w:val="14"/>
              </w:rPr>
              <w:t>15.7 %</w:t>
            </w:r>
          </w:p>
        </w:tc>
        <w:tc>
          <w:tcPr>
            <w:tcW w:type="dxa" w:w="1178"/>
          </w:tcPr>
          <w:p>
            <w:r>
              <w:rPr>
                <w:sz w:val="14"/>
              </w:rPr>
              <w:t>33.1 %</w:t>
            </w:r>
          </w:p>
        </w:tc>
      </w:tr>
      <w:tr>
        <w:tc>
          <w:tcPr>
            <w:tcW w:type="dxa" w:w="1178"/>
          </w:tcPr>
          <w:p>
            <w:r>
              <w:rPr>
                <w:sz w:val="14"/>
              </w:rPr>
              <w:t>2040 HS</w:t>
            </w:r>
          </w:p>
        </w:tc>
        <w:tc>
          <w:tcPr>
            <w:tcW w:type="dxa" w:w="1178"/>
          </w:tcPr>
          <w:p>
            <w:r>
              <w:rPr>
                <w:sz w:val="14"/>
              </w:rPr>
              <w:t>87,845</w:t>
            </w:r>
          </w:p>
        </w:tc>
        <w:tc>
          <w:tcPr>
            <w:tcW w:type="dxa" w:w="1178"/>
          </w:tcPr>
          <w:p>
            <w:r>
              <w:rPr>
                <w:sz w:val="14"/>
              </w:rPr>
              <w:t>6,418</w:t>
            </w:r>
          </w:p>
        </w:tc>
        <w:tc>
          <w:tcPr>
            <w:tcW w:type="dxa" w:w="1178"/>
          </w:tcPr>
          <w:p>
            <w:r>
              <w:rPr>
                <w:sz w:val="14"/>
              </w:rPr>
              <w:t>5,620</w:t>
            </w:r>
          </w:p>
        </w:tc>
        <w:tc>
          <w:tcPr>
            <w:tcW w:type="dxa" w:w="1178"/>
          </w:tcPr>
          <w:p>
            <w:r>
              <w:rPr>
                <w:sz w:val="14"/>
              </w:rPr>
              <w:t>4,503</w:t>
            </w:r>
          </w:p>
        </w:tc>
        <w:tc>
          <w:tcPr>
            <w:tcW w:type="dxa" w:w="1178"/>
          </w:tcPr>
          <w:p>
            <w:r>
              <w:rPr>
                <w:sz w:val="14"/>
              </w:rPr>
              <w:t>16,541</w:t>
            </w:r>
          </w:p>
        </w:tc>
        <w:tc>
          <w:tcPr>
            <w:tcW w:type="dxa" w:w="1178"/>
          </w:tcPr>
          <w:p>
            <w:r>
              <w:rPr>
                <w:sz w:val="14"/>
              </w:rPr>
              <w:t>84.2 %</w:t>
            </w:r>
          </w:p>
        </w:tc>
        <w:tc>
          <w:tcPr>
            <w:tcW w:type="dxa" w:w="1178"/>
          </w:tcPr>
          <w:p>
            <w:r>
              <w:rPr>
                <w:sz w:val="14"/>
              </w:rPr>
              <w:t>6.1 %</w:t>
            </w:r>
          </w:p>
        </w:tc>
        <w:tc>
          <w:tcPr>
            <w:tcW w:type="dxa" w:w="1178"/>
          </w:tcPr>
          <w:p>
            <w:r>
              <w:rPr>
                <w:sz w:val="14"/>
              </w:rPr>
              <w:t>5.4 %</w:t>
            </w:r>
          </w:p>
        </w:tc>
        <w:tc>
          <w:tcPr>
            <w:tcW w:type="dxa" w:w="1178"/>
          </w:tcPr>
          <w:p>
            <w:r>
              <w:rPr>
                <w:sz w:val="14"/>
              </w:rPr>
              <w:t>4.3 %</w:t>
            </w:r>
          </w:p>
        </w:tc>
        <w:tc>
          <w:tcPr>
            <w:tcW w:type="dxa" w:w="1178"/>
          </w:tcPr>
          <w:p>
            <w:r>
              <w:rPr>
                <w:sz w:val="14"/>
              </w:rPr>
              <w:t>15.8 %</w:t>
            </w:r>
          </w:p>
        </w:tc>
        <w:tc>
          <w:tcPr>
            <w:tcW w:type="dxa" w:w="1178"/>
          </w:tcPr>
          <w:p>
            <w:r>
              <w:rPr>
                <w:sz w:val="14"/>
              </w:rPr>
              <w:t>34.0 %</w:t>
            </w:r>
          </w:p>
        </w:tc>
      </w:tr>
      <w:tr>
        <w:tc>
          <w:tcPr>
            <w:tcW w:type="dxa" w:w="1178"/>
          </w:tcPr>
          <w:p>
            <w:r>
              <w:rPr>
                <w:sz w:val="14"/>
              </w:rPr>
              <w:t>2050 HS</w:t>
            </w:r>
          </w:p>
        </w:tc>
        <w:tc>
          <w:tcPr>
            <w:tcW w:type="dxa" w:w="1178"/>
          </w:tcPr>
          <w:p>
            <w:r>
              <w:rPr>
                <w:sz w:val="14"/>
              </w:rPr>
              <w:t>95,844</w:t>
            </w:r>
          </w:p>
        </w:tc>
        <w:tc>
          <w:tcPr>
            <w:tcW w:type="dxa" w:w="1178"/>
          </w:tcPr>
          <w:p>
            <w:r>
              <w:rPr>
                <w:sz w:val="14"/>
              </w:rPr>
              <w:t>6,814</w:t>
            </w:r>
          </w:p>
        </w:tc>
        <w:tc>
          <w:tcPr>
            <w:tcW w:type="dxa" w:w="1178"/>
          </w:tcPr>
          <w:p>
            <w:r>
              <w:rPr>
                <w:sz w:val="14"/>
              </w:rPr>
              <w:t>5,956</w:t>
            </w:r>
          </w:p>
        </w:tc>
        <w:tc>
          <w:tcPr>
            <w:tcW w:type="dxa" w:w="1178"/>
          </w:tcPr>
          <w:p>
            <w:r>
              <w:rPr>
                <w:sz w:val="14"/>
              </w:rPr>
              <w:t>4,440</w:t>
            </w:r>
          </w:p>
        </w:tc>
        <w:tc>
          <w:tcPr>
            <w:tcW w:type="dxa" w:w="1178"/>
          </w:tcPr>
          <w:p>
            <w:r>
              <w:rPr>
                <w:sz w:val="14"/>
              </w:rPr>
              <w:t>17,209</w:t>
            </w:r>
          </w:p>
        </w:tc>
        <w:tc>
          <w:tcPr>
            <w:tcW w:type="dxa" w:w="1178"/>
          </w:tcPr>
          <w:p>
            <w:r>
              <w:rPr>
                <w:sz w:val="14"/>
              </w:rPr>
              <w:t>84.8 %</w:t>
            </w:r>
          </w:p>
        </w:tc>
        <w:tc>
          <w:tcPr>
            <w:tcW w:type="dxa" w:w="1178"/>
          </w:tcPr>
          <w:p>
            <w:r>
              <w:rPr>
                <w:sz w:val="14"/>
              </w:rPr>
              <w:t>6.0 %</w:t>
            </w:r>
          </w:p>
        </w:tc>
        <w:tc>
          <w:tcPr>
            <w:tcW w:type="dxa" w:w="1178"/>
          </w:tcPr>
          <w:p>
            <w:r>
              <w:rPr>
                <w:sz w:val="14"/>
              </w:rPr>
              <w:t>5.3 %</w:t>
            </w:r>
          </w:p>
        </w:tc>
        <w:tc>
          <w:tcPr>
            <w:tcW w:type="dxa" w:w="1178"/>
          </w:tcPr>
          <w:p>
            <w:r>
              <w:rPr>
                <w:sz w:val="14"/>
              </w:rPr>
              <w:t>3.9 %</w:t>
            </w:r>
          </w:p>
        </w:tc>
        <w:tc>
          <w:tcPr>
            <w:tcW w:type="dxa" w:w="1178"/>
          </w:tcPr>
          <w:p>
            <w:r>
              <w:rPr>
                <w:sz w:val="14"/>
              </w:rPr>
              <w:t>15.2 %</w:t>
            </w:r>
          </w:p>
        </w:tc>
        <w:tc>
          <w:tcPr>
            <w:tcW w:type="dxa" w:w="1178"/>
          </w:tcPr>
          <w:p>
            <w:r>
              <w:rPr>
                <w:sz w:val="14"/>
              </w:rPr>
              <w:t>34.6 %</w:t>
            </w:r>
          </w:p>
        </w:tc>
      </w:tr>
    </w:tbl>
    <w:p>
      <w:r>
        <w:rPr>
          <w:i/>
        </w:rPr>
        <w:t>The extension part, as part of the through line:</w:t>
      </w:r>
    </w:p>
    <w:tbl>
      <w:tblPr>
        <w:tblStyle w:val="LightGrid-Accent1"/>
        <w:tblW w:type="auto" w:w="0"/>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gridCol w:w="1178"/>
      </w:tblGrid>
      <w:tr>
        <w:tc>
          <w:tcPr>
            <w:tcW w:type="dxa" w:w="1178"/>
          </w:tcPr>
          <w:p>
            <w:r>
              <w:rPr>
                <w:b/>
                <w:sz w:val="14"/>
              </w:rPr>
              <w:t>scenario</w:t>
            </w:r>
          </w:p>
        </w:tc>
        <w:tc>
          <w:tcPr>
            <w:tcW w:type="dxa" w:w="1178"/>
          </w:tcPr>
          <w:p>
            <w:r>
              <w:rPr>
                <w:b/>
                <w:sz w:val="14"/>
              </w:rPr>
              <w:t>LRT</w:t>
            </w:r>
          </w:p>
        </w:tc>
        <w:tc>
          <w:tcPr>
            <w:tcW w:type="dxa" w:w="1178"/>
          </w:tcPr>
          <w:p>
            <w:r>
              <w:rPr>
                <w:b/>
                <w:sz w:val="14"/>
              </w:rPr>
              <w:t>LRT (peak hour)</w:t>
            </w:r>
          </w:p>
        </w:tc>
        <w:tc>
          <w:tcPr>
            <w:tcW w:type="dxa" w:w="1178"/>
          </w:tcPr>
          <w:p>
            <w:r>
              <w:rPr>
                <w:b/>
                <w:sz w:val="14"/>
              </w:rPr>
              <w:t>LRT using the extension</w:t>
            </w:r>
          </w:p>
        </w:tc>
        <w:tc>
          <w:tcPr>
            <w:tcW w:type="dxa" w:w="1178"/>
          </w:tcPr>
          <w:p>
            <w:r>
              <w:rPr>
                <w:b/>
                <w:sz w:val="14"/>
              </w:rPr>
              <w:t>LRT using the extension (peak hour)</w:t>
            </w:r>
          </w:p>
        </w:tc>
        <w:tc>
          <w:tcPr>
            <w:tcW w:type="dxa" w:w="1178"/>
          </w:tcPr>
          <w:p>
            <w:r>
              <w:rPr>
                <w:b/>
                <w:sz w:val="14"/>
              </w:rPr>
              <w:t>ext: from car</w:t>
            </w:r>
          </w:p>
        </w:tc>
        <w:tc>
          <w:tcPr>
            <w:tcW w:type="dxa" w:w="1178"/>
          </w:tcPr>
          <w:p>
            <w:r>
              <w:rPr>
                <w:b/>
                <w:sz w:val="14"/>
              </w:rPr>
              <w:t>ext: from BRT</w:t>
            </w:r>
          </w:p>
        </w:tc>
        <w:tc>
          <w:tcPr>
            <w:tcW w:type="dxa" w:w="1178"/>
          </w:tcPr>
          <w:p>
            <w:r>
              <w:rPr>
                <w:b/>
                <w:sz w:val="14"/>
              </w:rPr>
              <w:t>ext: from bus</w:t>
            </w:r>
          </w:p>
        </w:tc>
        <w:tc>
          <w:tcPr>
            <w:tcW w:type="dxa" w:w="1178"/>
          </w:tcPr>
          <w:p>
            <w:r>
              <w:rPr>
                <w:b/>
                <w:sz w:val="14"/>
              </w:rPr>
              <w:t>LRT within the extension</w:t>
            </w:r>
          </w:p>
        </w:tc>
        <w:tc>
          <w:tcPr>
            <w:tcW w:type="dxa" w:w="1178"/>
          </w:tcPr>
          <w:p>
            <w:r>
              <w:rPr>
                <w:b/>
                <w:sz w:val="14"/>
              </w:rPr>
              <w:t>busiest segment (3 h, one direction)</w:t>
            </w:r>
          </w:p>
        </w:tc>
        <w:tc>
          <w:tcPr>
            <w:tcW w:type="dxa" w:w="1178"/>
          </w:tcPr>
          <w:p>
            <w:r>
              <w:rPr>
                <w:b/>
                <w:sz w:val="14"/>
              </w:rPr>
              <w:t>busiest segment (peak hour, one direction)</w:t>
            </w:r>
          </w:p>
        </w:tc>
        <w:tc>
          <w:tcPr>
            <w:tcW w:type="dxa" w:w="1178"/>
          </w:tcPr>
          <w:p>
            <w:r>
              <w:rPr>
                <w:b/>
                <w:sz w:val="14"/>
              </w:rPr>
              <w:t>extension share of LRT trips</w:t>
            </w:r>
          </w:p>
        </w:tc>
      </w:tr>
      <w:tr>
        <w:tc>
          <w:tcPr>
            <w:tcW w:type="dxa" w:w="1178"/>
          </w:tcPr>
          <w:p>
            <w:r>
              <w:rPr>
                <w:sz w:val="14"/>
              </w:rPr>
              <w:t>2022</w:t>
            </w:r>
          </w:p>
        </w:tc>
        <w:tc>
          <w:tcPr>
            <w:tcW w:type="dxa" w:w="1178"/>
          </w:tcPr>
          <w:p>
            <w:r>
              <w:rPr>
                <w:sz w:val="14"/>
              </w:rPr>
              <w:t>4,101</w:t>
            </w:r>
          </w:p>
        </w:tc>
        <w:tc>
          <w:tcPr>
            <w:tcW w:type="dxa" w:w="1178"/>
          </w:tcPr>
          <w:p>
            <w:r>
              <w:rPr>
                <w:sz w:val="14"/>
              </w:rPr>
              <w:t>1,961</w:t>
            </w:r>
          </w:p>
        </w:tc>
        <w:tc>
          <w:tcPr>
            <w:tcW w:type="dxa" w:w="1178"/>
          </w:tcPr>
          <w:p>
            <w:r>
              <w:rPr>
                <w:sz w:val="14"/>
              </w:rPr>
              <w:t>3,235</w:t>
            </w:r>
          </w:p>
        </w:tc>
        <w:tc>
          <w:tcPr>
            <w:tcW w:type="dxa" w:w="1178"/>
          </w:tcPr>
          <w:p>
            <w:r>
              <w:rPr>
                <w:sz w:val="14"/>
              </w:rPr>
              <w:t>1,547</w:t>
            </w:r>
          </w:p>
        </w:tc>
        <w:tc>
          <w:tcPr>
            <w:tcW w:type="dxa" w:w="1178"/>
          </w:tcPr>
          <w:p>
            <w:r>
              <w:rPr>
                <w:sz w:val="14"/>
              </w:rPr>
              <w:t>233</w:t>
            </w:r>
          </w:p>
        </w:tc>
        <w:tc>
          <w:tcPr>
            <w:tcW w:type="dxa" w:w="1178"/>
          </w:tcPr>
          <w:p>
            <w:r>
              <w:rPr>
                <w:sz w:val="14"/>
              </w:rPr>
              <w:t>1,848</w:t>
            </w:r>
          </w:p>
        </w:tc>
        <w:tc>
          <w:tcPr>
            <w:tcW w:type="dxa" w:w="1178"/>
          </w:tcPr>
          <w:p>
            <w:r>
              <w:rPr>
                <w:sz w:val="14"/>
              </w:rPr>
              <w:t>1,154</w:t>
            </w:r>
          </w:p>
        </w:tc>
        <w:tc>
          <w:tcPr>
            <w:tcW w:type="dxa" w:w="1178"/>
          </w:tcPr>
          <w:p>
            <w:r>
              <w:rPr>
                <w:sz w:val="14"/>
              </w:rPr>
              <w:t>2,229</w:t>
            </w:r>
          </w:p>
        </w:tc>
        <w:tc>
          <w:tcPr>
            <w:tcW w:type="dxa" w:w="1178"/>
          </w:tcPr>
          <w:p>
            <w:r>
              <w:rPr>
                <w:sz w:val="14"/>
              </w:rPr>
              <w:t>948</w:t>
            </w:r>
          </w:p>
        </w:tc>
        <w:tc>
          <w:tcPr>
            <w:tcW w:type="dxa" w:w="1178"/>
          </w:tcPr>
          <w:p>
            <w:r>
              <w:rPr>
                <w:sz w:val="14"/>
              </w:rPr>
              <w:t>507</w:t>
            </w:r>
          </w:p>
        </w:tc>
        <w:tc>
          <w:tcPr>
            <w:tcW w:type="dxa" w:w="1178"/>
          </w:tcPr>
          <w:p>
            <w:r>
              <w:rPr>
                <w:sz w:val="14"/>
              </w:rPr>
              <w:t>78.9 %</w:t>
            </w:r>
          </w:p>
        </w:tc>
      </w:tr>
      <w:tr>
        <w:tc>
          <w:tcPr>
            <w:tcW w:type="dxa" w:w="1178"/>
          </w:tcPr>
          <w:p>
            <w:r>
              <w:rPr>
                <w:sz w:val="14"/>
              </w:rPr>
              <w:t>2040 BU</w:t>
            </w:r>
          </w:p>
        </w:tc>
        <w:tc>
          <w:tcPr>
            <w:tcW w:type="dxa" w:w="1178"/>
          </w:tcPr>
          <w:p>
            <w:r>
              <w:rPr>
                <w:sz w:val="14"/>
              </w:rPr>
              <w:t>5,358</w:t>
            </w:r>
          </w:p>
        </w:tc>
        <w:tc>
          <w:tcPr>
            <w:tcW w:type="dxa" w:w="1178"/>
          </w:tcPr>
          <w:p>
            <w:r>
              <w:rPr>
                <w:sz w:val="14"/>
              </w:rPr>
              <w:t>2,562</w:t>
            </w:r>
          </w:p>
        </w:tc>
        <w:tc>
          <w:tcPr>
            <w:tcW w:type="dxa" w:w="1178"/>
          </w:tcPr>
          <w:p>
            <w:r>
              <w:rPr>
                <w:sz w:val="14"/>
              </w:rPr>
              <w:t>4,300</w:t>
            </w:r>
          </w:p>
        </w:tc>
        <w:tc>
          <w:tcPr>
            <w:tcW w:type="dxa" w:w="1178"/>
          </w:tcPr>
          <w:p>
            <w:r>
              <w:rPr>
                <w:sz w:val="14"/>
              </w:rPr>
              <w:t>2,056</w:t>
            </w:r>
          </w:p>
        </w:tc>
        <w:tc>
          <w:tcPr>
            <w:tcW w:type="dxa" w:w="1178"/>
          </w:tcPr>
          <w:p>
            <w:r>
              <w:rPr>
                <w:sz w:val="14"/>
              </w:rPr>
              <w:t>279</w:t>
            </w:r>
          </w:p>
        </w:tc>
        <w:tc>
          <w:tcPr>
            <w:tcW w:type="dxa" w:w="1178"/>
          </w:tcPr>
          <w:p>
            <w:r>
              <w:rPr>
                <w:sz w:val="14"/>
              </w:rPr>
              <w:t>2,254</w:t>
            </w:r>
          </w:p>
        </w:tc>
        <w:tc>
          <w:tcPr>
            <w:tcW w:type="dxa" w:w="1178"/>
          </w:tcPr>
          <w:p>
            <w:r>
              <w:rPr>
                <w:sz w:val="14"/>
              </w:rPr>
              <w:t>1,767</w:t>
            </w:r>
          </w:p>
        </w:tc>
        <w:tc>
          <w:tcPr>
            <w:tcW w:type="dxa" w:w="1178"/>
          </w:tcPr>
          <w:p>
            <w:r>
              <w:rPr>
                <w:sz w:val="14"/>
              </w:rPr>
              <w:t>2,922</w:t>
            </w:r>
          </w:p>
        </w:tc>
        <w:tc>
          <w:tcPr>
            <w:tcW w:type="dxa" w:w="1178"/>
          </w:tcPr>
          <w:p>
            <w:r>
              <w:rPr>
                <w:sz w:val="14"/>
              </w:rPr>
              <w:t>1,284</w:t>
            </w:r>
          </w:p>
        </w:tc>
        <w:tc>
          <w:tcPr>
            <w:tcW w:type="dxa" w:w="1178"/>
          </w:tcPr>
          <w:p>
            <w:r>
              <w:rPr>
                <w:sz w:val="14"/>
              </w:rPr>
              <w:t>687</w:t>
            </w:r>
          </w:p>
        </w:tc>
        <w:tc>
          <w:tcPr>
            <w:tcW w:type="dxa" w:w="1178"/>
          </w:tcPr>
          <w:p>
            <w:r>
              <w:rPr>
                <w:sz w:val="14"/>
              </w:rPr>
              <w:t>80.3 %</w:t>
            </w:r>
          </w:p>
        </w:tc>
      </w:tr>
      <w:tr>
        <w:tc>
          <w:tcPr>
            <w:tcW w:type="dxa" w:w="1178"/>
          </w:tcPr>
          <w:p>
            <w:r>
              <w:rPr>
                <w:sz w:val="14"/>
              </w:rPr>
              <w:t>2050 BU</w:t>
            </w:r>
          </w:p>
        </w:tc>
        <w:tc>
          <w:tcPr>
            <w:tcW w:type="dxa" w:w="1178"/>
          </w:tcPr>
          <w:p>
            <w:r>
              <w:rPr>
                <w:sz w:val="14"/>
              </w:rPr>
              <w:t>6,135</w:t>
            </w:r>
          </w:p>
        </w:tc>
        <w:tc>
          <w:tcPr>
            <w:tcW w:type="dxa" w:w="1178"/>
          </w:tcPr>
          <w:p>
            <w:r>
              <w:rPr>
                <w:sz w:val="14"/>
              </w:rPr>
              <w:t>2,934</w:t>
            </w:r>
          </w:p>
        </w:tc>
        <w:tc>
          <w:tcPr>
            <w:tcW w:type="dxa" w:w="1178"/>
          </w:tcPr>
          <w:p>
            <w:r>
              <w:rPr>
                <w:sz w:val="14"/>
              </w:rPr>
              <w:t>4,998</w:t>
            </w:r>
          </w:p>
        </w:tc>
        <w:tc>
          <w:tcPr>
            <w:tcW w:type="dxa" w:w="1178"/>
          </w:tcPr>
          <w:p>
            <w:r>
              <w:rPr>
                <w:sz w:val="14"/>
              </w:rPr>
              <w:t>2,390</w:t>
            </w:r>
          </w:p>
        </w:tc>
        <w:tc>
          <w:tcPr>
            <w:tcW w:type="dxa" w:w="1178"/>
          </w:tcPr>
          <w:p>
            <w:r>
              <w:rPr>
                <w:sz w:val="14"/>
              </w:rPr>
              <w:t>319</w:t>
            </w:r>
          </w:p>
        </w:tc>
        <w:tc>
          <w:tcPr>
            <w:tcW w:type="dxa" w:w="1178"/>
          </w:tcPr>
          <w:p>
            <w:r>
              <w:rPr>
                <w:sz w:val="14"/>
              </w:rPr>
              <w:t>2,606</w:t>
            </w:r>
          </w:p>
        </w:tc>
        <w:tc>
          <w:tcPr>
            <w:tcW w:type="dxa" w:w="1178"/>
          </w:tcPr>
          <w:p>
            <w:r>
              <w:rPr>
                <w:sz w:val="14"/>
              </w:rPr>
              <w:t>2,073</w:t>
            </w:r>
          </w:p>
        </w:tc>
        <w:tc>
          <w:tcPr>
            <w:tcW w:type="dxa" w:w="1178"/>
          </w:tcPr>
          <w:p>
            <w:r>
              <w:rPr>
                <w:sz w:val="14"/>
              </w:rPr>
              <w:t>3,454</w:t>
            </w:r>
          </w:p>
        </w:tc>
        <w:tc>
          <w:tcPr>
            <w:tcW w:type="dxa" w:w="1178"/>
          </w:tcPr>
          <w:p>
            <w:r>
              <w:rPr>
                <w:sz w:val="14"/>
              </w:rPr>
              <w:t>1,684</w:t>
            </w:r>
          </w:p>
        </w:tc>
        <w:tc>
          <w:tcPr>
            <w:tcW w:type="dxa" w:w="1178"/>
          </w:tcPr>
          <w:p>
            <w:r>
              <w:rPr>
                <w:sz w:val="14"/>
              </w:rPr>
              <w:t>787</w:t>
            </w:r>
          </w:p>
        </w:tc>
        <w:tc>
          <w:tcPr>
            <w:tcW w:type="dxa" w:w="1178"/>
          </w:tcPr>
          <w:p>
            <w:r>
              <w:rPr>
                <w:sz w:val="14"/>
              </w:rPr>
              <w:t>81.5 %</w:t>
            </w:r>
          </w:p>
        </w:tc>
      </w:tr>
      <w:tr>
        <w:tc>
          <w:tcPr>
            <w:tcW w:type="dxa" w:w="1178"/>
          </w:tcPr>
          <w:p>
            <w:r>
              <w:rPr>
                <w:sz w:val="14"/>
              </w:rPr>
              <w:t>2040 HS</w:t>
            </w:r>
          </w:p>
        </w:tc>
        <w:tc>
          <w:tcPr>
            <w:tcW w:type="dxa" w:w="1178"/>
          </w:tcPr>
          <w:p>
            <w:r>
              <w:rPr>
                <w:sz w:val="14"/>
              </w:rPr>
              <w:t>5,620</w:t>
            </w:r>
          </w:p>
        </w:tc>
        <w:tc>
          <w:tcPr>
            <w:tcW w:type="dxa" w:w="1178"/>
          </w:tcPr>
          <w:p>
            <w:r>
              <w:rPr>
                <w:sz w:val="14"/>
              </w:rPr>
              <w:t>2,687</w:t>
            </w:r>
          </w:p>
        </w:tc>
        <w:tc>
          <w:tcPr>
            <w:tcW w:type="dxa" w:w="1178"/>
          </w:tcPr>
          <w:p>
            <w:r>
              <w:rPr>
                <w:sz w:val="14"/>
              </w:rPr>
              <w:t>4,595</w:t>
            </w:r>
          </w:p>
        </w:tc>
        <w:tc>
          <w:tcPr>
            <w:tcW w:type="dxa" w:w="1178"/>
          </w:tcPr>
          <w:p>
            <w:r>
              <w:rPr>
                <w:sz w:val="14"/>
              </w:rPr>
              <w:t>2,197</w:t>
            </w:r>
          </w:p>
        </w:tc>
        <w:tc>
          <w:tcPr>
            <w:tcW w:type="dxa" w:w="1178"/>
          </w:tcPr>
          <w:p>
            <w:r>
              <w:rPr>
                <w:sz w:val="14"/>
              </w:rPr>
              <w:t>381</w:t>
            </w:r>
          </w:p>
        </w:tc>
        <w:tc>
          <w:tcPr>
            <w:tcW w:type="dxa" w:w="1178"/>
          </w:tcPr>
          <w:p>
            <w:r>
              <w:rPr>
                <w:sz w:val="14"/>
              </w:rPr>
              <w:t>2,508</w:t>
            </w:r>
          </w:p>
        </w:tc>
        <w:tc>
          <w:tcPr>
            <w:tcW w:type="dxa" w:w="1178"/>
          </w:tcPr>
          <w:p>
            <w:r>
              <w:rPr>
                <w:sz w:val="14"/>
              </w:rPr>
              <w:t>1,707</w:t>
            </w:r>
          </w:p>
        </w:tc>
        <w:tc>
          <w:tcPr>
            <w:tcW w:type="dxa" w:w="1178"/>
          </w:tcPr>
          <w:p>
            <w:r>
              <w:rPr>
                <w:sz w:val="14"/>
              </w:rPr>
              <w:t>3,138</w:t>
            </w:r>
          </w:p>
        </w:tc>
        <w:tc>
          <w:tcPr>
            <w:tcW w:type="dxa" w:w="1178"/>
          </w:tcPr>
          <w:p>
            <w:r>
              <w:rPr>
                <w:sz w:val="14"/>
              </w:rPr>
              <w:t>1,407</w:t>
            </w:r>
          </w:p>
        </w:tc>
        <w:tc>
          <w:tcPr>
            <w:tcW w:type="dxa" w:w="1178"/>
          </w:tcPr>
          <w:p>
            <w:r>
              <w:rPr>
                <w:sz w:val="14"/>
              </w:rPr>
              <w:t>753</w:t>
            </w:r>
          </w:p>
        </w:tc>
        <w:tc>
          <w:tcPr>
            <w:tcW w:type="dxa" w:w="1178"/>
          </w:tcPr>
          <w:p>
            <w:r>
              <w:rPr>
                <w:sz w:val="14"/>
              </w:rPr>
              <w:t>81.8 %</w:t>
            </w:r>
          </w:p>
        </w:tc>
      </w:tr>
      <w:tr>
        <w:tc>
          <w:tcPr>
            <w:tcW w:type="dxa" w:w="1178"/>
          </w:tcPr>
          <w:p>
            <w:r>
              <w:rPr>
                <w:sz w:val="14"/>
              </w:rPr>
              <w:t>2050 HS</w:t>
            </w:r>
          </w:p>
        </w:tc>
        <w:tc>
          <w:tcPr>
            <w:tcW w:type="dxa" w:w="1178"/>
          </w:tcPr>
          <w:p>
            <w:r>
              <w:rPr>
                <w:sz w:val="14"/>
              </w:rPr>
              <w:t>5,956</w:t>
            </w:r>
          </w:p>
        </w:tc>
        <w:tc>
          <w:tcPr>
            <w:tcW w:type="dxa" w:w="1178"/>
          </w:tcPr>
          <w:p>
            <w:r>
              <w:rPr>
                <w:sz w:val="14"/>
              </w:rPr>
              <w:t>2,848</w:t>
            </w:r>
          </w:p>
        </w:tc>
        <w:tc>
          <w:tcPr>
            <w:tcW w:type="dxa" w:w="1178"/>
          </w:tcPr>
          <w:p>
            <w:r>
              <w:rPr>
                <w:sz w:val="14"/>
              </w:rPr>
              <w:t>4,918</w:t>
            </w:r>
          </w:p>
        </w:tc>
        <w:tc>
          <w:tcPr>
            <w:tcW w:type="dxa" w:w="1178"/>
          </w:tcPr>
          <w:p>
            <w:r>
              <w:rPr>
                <w:sz w:val="14"/>
              </w:rPr>
              <w:t>2,352</w:t>
            </w:r>
          </w:p>
        </w:tc>
        <w:tc>
          <w:tcPr>
            <w:tcW w:type="dxa" w:w="1178"/>
          </w:tcPr>
          <w:p>
            <w:r>
              <w:rPr>
                <w:sz w:val="14"/>
              </w:rPr>
              <w:t>421</w:t>
            </w:r>
          </w:p>
        </w:tc>
        <w:tc>
          <w:tcPr>
            <w:tcW w:type="dxa" w:w="1178"/>
          </w:tcPr>
          <w:p>
            <w:r>
              <w:rPr>
                <w:sz w:val="14"/>
              </w:rPr>
              <w:t>2,733</w:t>
            </w:r>
          </w:p>
        </w:tc>
        <w:tc>
          <w:tcPr>
            <w:tcW w:type="dxa" w:w="1178"/>
          </w:tcPr>
          <w:p>
            <w:r>
              <w:rPr>
                <w:sz w:val="14"/>
              </w:rPr>
              <w:t>1,764</w:t>
            </w:r>
          </w:p>
        </w:tc>
        <w:tc>
          <w:tcPr>
            <w:tcW w:type="dxa" w:w="1178"/>
          </w:tcPr>
          <w:p>
            <w:r>
              <w:rPr>
                <w:sz w:val="14"/>
              </w:rPr>
              <w:t>3,409</w:t>
            </w:r>
          </w:p>
        </w:tc>
        <w:tc>
          <w:tcPr>
            <w:tcW w:type="dxa" w:w="1178"/>
          </w:tcPr>
          <w:p>
            <w:r>
              <w:rPr>
                <w:sz w:val="14"/>
              </w:rPr>
              <w:t>1,398</w:t>
            </w:r>
          </w:p>
        </w:tc>
        <w:tc>
          <w:tcPr>
            <w:tcW w:type="dxa" w:w="1178"/>
          </w:tcPr>
          <w:p>
            <w:r>
              <w:rPr>
                <w:sz w:val="14"/>
              </w:rPr>
              <w:t>748</w:t>
            </w:r>
          </w:p>
        </w:tc>
        <w:tc>
          <w:tcPr>
            <w:tcW w:type="dxa" w:w="1178"/>
          </w:tcPr>
          <w:p>
            <w:r>
              <w:rPr>
                <w:sz w:val="14"/>
              </w:rPr>
              <w:t>82.6 %</w:t>
            </w:r>
          </w:p>
        </w:tc>
      </w:tr>
    </w:tbl>
    <w:p/>
    <w:p>
      <w:pPr>
        <w:sectPr>
          <w:pgSz w:w="15840" w:h="12240" w:orient="landscape"/>
          <w:pgMar w:top="1440" w:right="850" w:bottom="1440" w:left="850" w:header="720" w:footer="720" w:gutter="0"/>
          <w:cols w:space="720"/>
          <w:docGrid w:linePitch="360"/>
        </w:sectPr>
      </w:pPr>
    </w:p>
    <w:p>
      <w:r>
        <w:t>Reading the tables. "Before" is the scenario's no-build market (car, bus incl. rail, BRT = Metronit) on the corridor TAZ pairs; the three shift columns are the trips the pivot moves to the LRT from each; "after" is what remains plus the LRT. "car → transit" is the trips the logsum improvement moves out of the car; "car → LRT" is the part of them the LRT itself carries (the rest board the bus or Metronit path of their pair). "BRT → LRT" and "bus → LRT" are the LRT trips drawn from existing transit on the pairs whose transit path is Metronit-based or bus-based; the three LRT columns add up to the LRT total. Taxi-type trips (about 700) are carried unchanged and are outside the shares. The extension columns count the LRT trips of the same run that ride at least one segment between S01 and S24 (from either end of the line), and separately those with both ends at extension stations.</w:t>
      </w:r>
    </w:p>
    <w:p>
      <w:r>
        <w:t>A note on the car column. The AM shift from the car doubles between 2040 BU and 2050 BU (684 → 1,421) and between 2040 BU and 2040 HS (684 → 1,387) while the market grows by 16 % and 4 %. This is not a demand effect but the aggregation effect of caveat 27 seen across scenarios: the incremental shift of a TAZ pair is proportional to S·(1 − S) of its smoothed transit share, and the forecast sets of step 23 seed trips into TAZ pairs that are empty in 2022 (small-base and transforming TAZs receive the super-zone pattern), so the number of corridor pairs with both car and transit trips rises from 1,620 (2022) to 2,084 (2040 BU), 2,942 (2050 BU), 4,970 (2040 HS) and 5,688 (2050 HS) and the trip-weighted S·(1 − S) from 0.048 to 0.062. The PM sets, grown pair by pair from the PM base, keep the 2022 pair set and show a smooth car column (666 → 880). The car shift should therefore be read as an order of magnitude (300–1,300 trips, 0.4–1.5 % of the corridor car trips), not compared between scenarios (caveat 29).</w:t>
      </w:r>
    </w:p>
    <w:p>
      <w:r>
        <w:drawing>
          <wp:inline xmlns:a="http://schemas.openxmlformats.org/drawingml/2006/main" xmlns:pic="http://schemas.openxmlformats.org/drawingml/2006/picture">
            <wp:extent cx="5760000" cy="2215385"/>
            <wp:docPr id="10" name="Picture 10"/>
            <wp:cNvGraphicFramePr>
              <a:graphicFrameLocks noChangeAspect="1"/>
            </wp:cNvGraphicFramePr>
            <a:graphic>
              <a:graphicData uri="http://schemas.openxmlformats.org/drawingml/2006/picture">
                <pic:pic>
                  <pic:nvPicPr>
                    <pic:cNvPr id="0" name="demand_by_scenario.png"/>
                    <pic:cNvPicPr/>
                  </pic:nvPicPr>
                  <pic:blipFill>
                    <a:blip r:embed="rId18"/>
                    <a:stretch>
                      <a:fillRect/>
                    </a:stretch>
                  </pic:blipFill>
                  <pic:spPr>
                    <a:xfrm>
                      <a:off x="0" y="0"/>
                      <a:ext cx="5760000" cy="2215385"/>
                    </a:xfrm>
                    <a:prstGeom prst="rect"/>
                  </pic:spPr>
                </pic:pic>
              </a:graphicData>
            </a:graphic>
          </wp:inline>
        </w:drawing>
      </w:r>
    </w:p>
    <w:p>
      <w:r>
        <w:rPr>
          <w:i/>
          <w:sz w:val="16"/>
        </w:rPr>
        <w:t>Figure 4.1 — Transit demand on the corridor by scenario, peak hour: no-build transit, total transit after the LRT, LRT trips, and the LRT trips using the extension (AM and PM).</w:t>
      </w:r>
    </w:p>
    <w:p>
      <w:r>
        <w:drawing>
          <wp:inline xmlns:a="http://schemas.openxmlformats.org/drawingml/2006/main" xmlns:pic="http://schemas.openxmlformats.org/drawingml/2006/picture">
            <wp:extent cx="5760000" cy="2215385"/>
            <wp:docPr id="11" name="Picture 11"/>
            <wp:cNvGraphicFramePr>
              <a:graphicFrameLocks noChangeAspect="1"/>
            </wp:cNvGraphicFramePr>
            <a:graphic>
              <a:graphicData uri="http://schemas.openxmlformats.org/drawingml/2006/picture">
                <pic:pic>
                  <pic:nvPicPr>
                    <pic:cNvPr id="0" name="shift_sources.png"/>
                    <pic:cNvPicPr/>
                  </pic:nvPicPr>
                  <pic:blipFill>
                    <a:blip r:embed="rId19"/>
                    <a:stretch>
                      <a:fillRect/>
                    </a:stretch>
                  </pic:blipFill>
                  <pic:spPr>
                    <a:xfrm>
                      <a:off x="0" y="0"/>
                      <a:ext cx="5760000" cy="2215385"/>
                    </a:xfrm>
                    <a:prstGeom prst="rect"/>
                  </pic:spPr>
                </pic:pic>
              </a:graphicData>
            </a:graphic>
          </wp:inline>
        </w:drawing>
      </w:r>
    </w:p>
    <w:p>
      <w:r>
        <w:rPr>
          <w:i/>
          <w:sz w:val="16"/>
        </w:rPr>
        <w:t>Figure 4.2 — Where the LRT trips come from (car, Metronit, bus), whole line and the part using the extension, by scenario, peak hour.</w:t>
      </w:r>
    </w:p>
    <w:p>
      <w:pPr>
        <w:pStyle w:val="Heading2"/>
      </w:pPr>
      <w:r>
        <w:t>4.2 Flow on the line — LRT, both directions</w:t>
      </w:r>
    </w:p>
    <w:p>
      <w:r>
        <w:t>Passengers on each segment of the line in the peak hour, by direction: towards Nazareth (S01 → S24 → M20) and towards Tirat Carmel (M20 → M01 → S01). The dashed line marks the junction of the extension (S24) with the main route (M01, the same station at Hamifrats). Source: lrt_line_loads.csv in each run folder (the LRT trips between the cheapest-access stations of each TAZ pair), scaled to the peak hour by the network bus factor of the direction.</w:t>
      </w:r>
    </w:p>
    <w:p>
      <w:pPr>
        <w:sectPr>
          <w:pgSz w:w="12240" w:h="15840"/>
          <w:pgMar w:top="1440" w:right="1134" w:bottom="1440" w:left="1134" w:header="720" w:footer="720" w:gutter="0"/>
          <w:cols w:space="720"/>
          <w:docGrid w:linePitch="360"/>
        </w:sectPr>
      </w:pPr>
    </w:p>
    <w:p>
      <w:r>
        <w:drawing>
          <wp:inline xmlns:a="http://schemas.openxmlformats.org/drawingml/2006/main" xmlns:pic="http://schemas.openxmlformats.org/drawingml/2006/picture">
            <wp:extent cx="9000000" cy="4846154"/>
            <wp:docPr id="12" name="Picture 12"/>
            <wp:cNvGraphicFramePr>
              <a:graphicFrameLocks noChangeAspect="1"/>
            </wp:cNvGraphicFramePr>
            <a:graphic>
              <a:graphicData uri="http://schemas.openxmlformats.org/drawingml/2006/picture">
                <pic:pic>
                  <pic:nvPicPr>
                    <pic:cNvPr id="0" name="flow_lrt_scenarios_AM.png"/>
                    <pic:cNvPicPr/>
                  </pic:nvPicPr>
                  <pic:blipFill>
                    <a:blip r:embed="rId20"/>
                    <a:stretch>
                      <a:fillRect/>
                    </a:stretch>
                  </pic:blipFill>
                  <pic:spPr>
                    <a:xfrm>
                      <a:off x="0" y="0"/>
                      <a:ext cx="9000000" cy="4846154"/>
                    </a:xfrm>
                    <a:prstGeom prst="rect"/>
                  </pic:spPr>
                </pic:pic>
              </a:graphicData>
            </a:graphic>
          </wp:inline>
        </w:drawing>
      </w:r>
    </w:p>
    <w:p>
      <w:r>
        <w:rPr>
          <w:i/>
          <w:sz w:val="16"/>
        </w:rPr>
        <w:t>Figure 4.3 — LRT flow by segment and direction, the four scenarios, AM.</w:t>
      </w:r>
    </w:p>
    <w:p>
      <w:r>
        <w:drawing>
          <wp:inline xmlns:a="http://schemas.openxmlformats.org/drawingml/2006/main" xmlns:pic="http://schemas.openxmlformats.org/drawingml/2006/picture">
            <wp:extent cx="9000000" cy="4846154"/>
            <wp:docPr id="13" name="Picture 13"/>
            <wp:cNvGraphicFramePr>
              <a:graphicFrameLocks noChangeAspect="1"/>
            </wp:cNvGraphicFramePr>
            <a:graphic>
              <a:graphicData uri="http://schemas.openxmlformats.org/drawingml/2006/picture">
                <pic:pic>
                  <pic:nvPicPr>
                    <pic:cNvPr id="0" name="flow_lrt_scenarios_PM.png"/>
                    <pic:cNvPicPr/>
                  </pic:nvPicPr>
                  <pic:blipFill>
                    <a:blip r:embed="rId21"/>
                    <a:stretch>
                      <a:fillRect/>
                    </a:stretch>
                  </pic:blipFill>
                  <pic:spPr>
                    <a:xfrm>
                      <a:off x="0" y="0"/>
                      <a:ext cx="9000000" cy="4846154"/>
                    </a:xfrm>
                    <a:prstGeom prst="rect"/>
                  </pic:spPr>
                </pic:pic>
              </a:graphicData>
            </a:graphic>
          </wp:inline>
        </w:drawing>
      </w:r>
    </w:p>
    <w:p>
      <w:r>
        <w:rPr>
          <w:i/>
          <w:sz w:val="16"/>
        </w:rPr>
        <w:t>Figure 4.4 — LRT flow by segment and direction, the four scenarios, PM.</w:t>
      </w:r>
    </w:p>
    <w:p>
      <w:r>
        <w:drawing>
          <wp:inline xmlns:a="http://schemas.openxmlformats.org/drawingml/2006/main" xmlns:pic="http://schemas.openxmlformats.org/drawingml/2006/picture">
            <wp:extent cx="9000000" cy="9000000"/>
            <wp:docPr id="14" name="Picture 14"/>
            <wp:cNvGraphicFramePr>
              <a:graphicFrameLocks noChangeAspect="1"/>
            </wp:cNvGraphicFramePr>
            <a:graphic>
              <a:graphicData uri="http://schemas.openxmlformats.org/drawingml/2006/picture">
                <pic:pic>
                  <pic:nvPicPr>
                    <pic:cNvPr id="0" name="flow_lrt_AM.png"/>
                    <pic:cNvPicPr/>
                  </pic:nvPicPr>
                  <pic:blipFill>
                    <a:blip r:embed="rId22"/>
                    <a:stretch>
                      <a:fillRect/>
                    </a:stretch>
                  </pic:blipFill>
                  <pic:spPr>
                    <a:xfrm>
                      <a:off x="0" y="0"/>
                      <a:ext cx="9000000" cy="9000000"/>
                    </a:xfrm>
                    <a:prstGeom prst="rect"/>
                  </pic:spPr>
                </pic:pic>
              </a:graphicData>
            </a:graphic>
          </wp:inline>
        </w:drawing>
      </w:r>
    </w:p>
    <w:p>
      <w:r>
        <w:rPr>
          <w:i/>
          <w:sz w:val="16"/>
        </w:rPr>
        <w:t>Figure 4.5 — LRT flow per scenario, both directions on one panel, AM (2022 and the four scenarios).</w:t>
      </w:r>
    </w:p>
    <w:p>
      <w:r>
        <w:drawing>
          <wp:inline xmlns:a="http://schemas.openxmlformats.org/drawingml/2006/main" xmlns:pic="http://schemas.openxmlformats.org/drawingml/2006/picture">
            <wp:extent cx="9000000" cy="9000000"/>
            <wp:docPr id="15" name="Picture 15"/>
            <wp:cNvGraphicFramePr>
              <a:graphicFrameLocks noChangeAspect="1"/>
            </wp:cNvGraphicFramePr>
            <a:graphic>
              <a:graphicData uri="http://schemas.openxmlformats.org/drawingml/2006/picture">
                <pic:pic>
                  <pic:nvPicPr>
                    <pic:cNvPr id="0" name="flow_lrt_PM.png"/>
                    <pic:cNvPicPr/>
                  </pic:nvPicPr>
                  <pic:blipFill>
                    <a:blip r:embed="rId23"/>
                    <a:stretch>
                      <a:fillRect/>
                    </a:stretch>
                  </pic:blipFill>
                  <pic:spPr>
                    <a:xfrm>
                      <a:off x="0" y="0"/>
                      <a:ext cx="9000000" cy="9000000"/>
                    </a:xfrm>
                    <a:prstGeom prst="rect"/>
                  </pic:spPr>
                </pic:pic>
              </a:graphicData>
            </a:graphic>
          </wp:inline>
        </w:drawing>
      </w:r>
    </w:p>
    <w:p>
      <w:r>
        <w:rPr>
          <w:i/>
          <w:sz w:val="16"/>
        </w:rPr>
        <w:t>Figure 4.6 — LRT flow per scenario, both directions on one panel, PM.</w:t>
      </w:r>
    </w:p>
    <w:p>
      <w:pPr>
        <w:pStyle w:val="Heading2"/>
      </w:pPr>
      <w:r>
        <w:t>4.3 Flow on the line — total transit, both directions</w:t>
      </w:r>
    </w:p>
    <w:p>
      <w:r>
        <w:t>The same profile for all transit trips of the corridor market (bus, Metronit and LRT after the LRT is added), loaded along the line between the LRT stations nearest their ends — the transit demand the line's corridor carries, of which the LRT takes the share shown in 4.1. Source: transit_line_loads.csv in each run folder, scaled to the peak hour as above.</w:t>
      </w:r>
    </w:p>
    <w:p>
      <w:r>
        <w:drawing>
          <wp:inline xmlns:a="http://schemas.openxmlformats.org/drawingml/2006/main" xmlns:pic="http://schemas.openxmlformats.org/drawingml/2006/picture">
            <wp:extent cx="9000000" cy="4846154"/>
            <wp:docPr id="16" name="Picture 16"/>
            <wp:cNvGraphicFramePr>
              <a:graphicFrameLocks noChangeAspect="1"/>
            </wp:cNvGraphicFramePr>
            <a:graphic>
              <a:graphicData uri="http://schemas.openxmlformats.org/drawingml/2006/picture">
                <pic:pic>
                  <pic:nvPicPr>
                    <pic:cNvPr id="0" name="flow_transit_scenarios_AM.png"/>
                    <pic:cNvPicPr/>
                  </pic:nvPicPr>
                  <pic:blipFill>
                    <a:blip r:embed="rId24"/>
                    <a:stretch>
                      <a:fillRect/>
                    </a:stretch>
                  </pic:blipFill>
                  <pic:spPr>
                    <a:xfrm>
                      <a:off x="0" y="0"/>
                      <a:ext cx="9000000" cy="4846154"/>
                    </a:xfrm>
                    <a:prstGeom prst="rect"/>
                  </pic:spPr>
                </pic:pic>
              </a:graphicData>
            </a:graphic>
          </wp:inline>
        </w:drawing>
      </w:r>
    </w:p>
    <w:p>
      <w:r>
        <w:rPr>
          <w:i/>
          <w:sz w:val="16"/>
        </w:rPr>
        <w:t>Figure 4.7 — Total transit flow by segment and direction, the four scenarios, AM.</w:t>
      </w:r>
    </w:p>
    <w:p>
      <w:r>
        <w:drawing>
          <wp:inline xmlns:a="http://schemas.openxmlformats.org/drawingml/2006/main" xmlns:pic="http://schemas.openxmlformats.org/drawingml/2006/picture">
            <wp:extent cx="9000000" cy="4846154"/>
            <wp:docPr id="17" name="Picture 17"/>
            <wp:cNvGraphicFramePr>
              <a:graphicFrameLocks noChangeAspect="1"/>
            </wp:cNvGraphicFramePr>
            <a:graphic>
              <a:graphicData uri="http://schemas.openxmlformats.org/drawingml/2006/picture">
                <pic:pic>
                  <pic:nvPicPr>
                    <pic:cNvPr id="0" name="flow_transit_scenarios_PM.png"/>
                    <pic:cNvPicPr/>
                  </pic:nvPicPr>
                  <pic:blipFill>
                    <a:blip r:embed="rId25"/>
                    <a:stretch>
                      <a:fillRect/>
                    </a:stretch>
                  </pic:blipFill>
                  <pic:spPr>
                    <a:xfrm>
                      <a:off x="0" y="0"/>
                      <a:ext cx="9000000" cy="4846154"/>
                    </a:xfrm>
                    <a:prstGeom prst="rect"/>
                  </pic:spPr>
                </pic:pic>
              </a:graphicData>
            </a:graphic>
          </wp:inline>
        </w:drawing>
      </w:r>
    </w:p>
    <w:p>
      <w:r>
        <w:rPr>
          <w:i/>
          <w:sz w:val="16"/>
        </w:rPr>
        <w:t>Figure 4.8 — Total transit flow by segment and direction, the four scenarios, PM.</w:t>
      </w:r>
    </w:p>
    <w:p>
      <w:r>
        <w:drawing>
          <wp:inline xmlns:a="http://schemas.openxmlformats.org/drawingml/2006/main" xmlns:pic="http://schemas.openxmlformats.org/drawingml/2006/picture">
            <wp:extent cx="9000000" cy="9000000"/>
            <wp:docPr id="18" name="Picture 18"/>
            <wp:cNvGraphicFramePr>
              <a:graphicFrameLocks noChangeAspect="1"/>
            </wp:cNvGraphicFramePr>
            <a:graphic>
              <a:graphicData uri="http://schemas.openxmlformats.org/drawingml/2006/picture">
                <pic:pic>
                  <pic:nvPicPr>
                    <pic:cNvPr id="0" name="flow_transit_AM.png"/>
                    <pic:cNvPicPr/>
                  </pic:nvPicPr>
                  <pic:blipFill>
                    <a:blip r:embed="rId26"/>
                    <a:stretch>
                      <a:fillRect/>
                    </a:stretch>
                  </pic:blipFill>
                  <pic:spPr>
                    <a:xfrm>
                      <a:off x="0" y="0"/>
                      <a:ext cx="9000000" cy="9000000"/>
                    </a:xfrm>
                    <a:prstGeom prst="rect"/>
                  </pic:spPr>
                </pic:pic>
              </a:graphicData>
            </a:graphic>
          </wp:inline>
        </w:drawing>
      </w:r>
    </w:p>
    <w:p>
      <w:r>
        <w:rPr>
          <w:i/>
          <w:sz w:val="16"/>
        </w:rPr>
        <w:t>Figure 4.9 — Total transit flow per scenario, both directions, AM.</w:t>
      </w:r>
    </w:p>
    <w:p>
      <w:r>
        <w:drawing>
          <wp:inline xmlns:a="http://schemas.openxmlformats.org/drawingml/2006/main" xmlns:pic="http://schemas.openxmlformats.org/drawingml/2006/picture">
            <wp:extent cx="9000000" cy="9000000"/>
            <wp:docPr id="19" name="Picture 19"/>
            <wp:cNvGraphicFramePr>
              <a:graphicFrameLocks noChangeAspect="1"/>
            </wp:cNvGraphicFramePr>
            <a:graphic>
              <a:graphicData uri="http://schemas.openxmlformats.org/drawingml/2006/picture">
                <pic:pic>
                  <pic:nvPicPr>
                    <pic:cNvPr id="0" name="flow_transit_PM.png"/>
                    <pic:cNvPicPr/>
                  </pic:nvPicPr>
                  <pic:blipFill>
                    <a:blip r:embed="rId27"/>
                    <a:stretch>
                      <a:fillRect/>
                    </a:stretch>
                  </pic:blipFill>
                  <pic:spPr>
                    <a:xfrm>
                      <a:off x="0" y="0"/>
                      <a:ext cx="9000000" cy="9000000"/>
                    </a:xfrm>
                    <a:prstGeom prst="rect"/>
                  </pic:spPr>
                </pic:pic>
              </a:graphicData>
            </a:graphic>
          </wp:inline>
        </w:drawing>
      </w:r>
    </w:p>
    <w:p>
      <w:r>
        <w:rPr>
          <w:i/>
          <w:sz w:val="16"/>
        </w:rPr>
        <w:t>Figure 4.10 — Total transit flow per scenario, both directions, PM.</w:t>
      </w:r>
    </w:p>
    <w:p>
      <w:pPr>
        <w:sectPr>
          <w:pgSz w:w="15840" w:h="12240" w:orient="landscape"/>
          <w:pgMar w:top="1440" w:right="850" w:bottom="1440" w:left="850" w:header="720" w:footer="720" w:gutter="0"/>
          <w:cols w:space="720"/>
          <w:docGrid w:linePitch="360"/>
        </w:sectPr>
      </w:pPr>
    </w:p>
    <w:p>
      <w:pPr>
        <w:pStyle w:val="Heading2"/>
      </w:pPr>
      <w:r>
        <w:t>4.4 Mode split on the route</w:t>
      </w:r>
    </w:p>
    <w:p>
      <w:r>
        <w:t>The split of the corridor market between car and transit after the LRT, with the LRT shown within transit, by scenario and period.</w:t>
      </w:r>
    </w:p>
    <w:p>
      <w:r>
        <w:drawing>
          <wp:inline xmlns:a="http://schemas.openxmlformats.org/drawingml/2006/main" xmlns:pic="http://schemas.openxmlformats.org/drawingml/2006/picture">
            <wp:extent cx="5760000" cy="2215385"/>
            <wp:docPr id="20" name="Picture 20"/>
            <wp:cNvGraphicFramePr>
              <a:graphicFrameLocks noChangeAspect="1"/>
            </wp:cNvGraphicFramePr>
            <a:graphic>
              <a:graphicData uri="http://schemas.openxmlformats.org/drawingml/2006/picture">
                <pic:pic>
                  <pic:nvPicPr>
                    <pic:cNvPr id="0" name="mode_split.png"/>
                    <pic:cNvPicPr/>
                  </pic:nvPicPr>
                  <pic:blipFill>
                    <a:blip r:embed="rId28"/>
                    <a:stretch>
                      <a:fillRect/>
                    </a:stretch>
                  </pic:blipFill>
                  <pic:spPr>
                    <a:xfrm>
                      <a:off x="0" y="0"/>
                      <a:ext cx="5760000" cy="2215385"/>
                    </a:xfrm>
                    <a:prstGeom prst="rect"/>
                  </pic:spPr>
                </pic:pic>
              </a:graphicData>
            </a:graphic>
          </wp:inline>
        </w:drawing>
      </w:r>
    </w:p>
    <w:p>
      <w:r>
        <w:rPr>
          <w:i/>
          <w:sz w:val="16"/>
        </w:rPr>
        <w:t>Figure 4.11 — Mode split on the corridor after the LRT: car, bus, Metronit and LRT, AM and PM.</w:t>
      </w:r>
    </w:p>
    <w:p>
      <w:pPr>
        <w:pStyle w:val="Heading2"/>
      </w:pPr>
      <w:r>
        <w:t>4.5 Sensitivity: the Unprioritized regime</w:t>
      </w:r>
    </w:p>
    <w:tbl>
      <w:tblPr>
        <w:tblStyle w:val="LightGrid-Accent1"/>
        <w:tblW w:type="auto" w:w="0"/>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tcPr>
          <w:p>
            <w:r>
              <w:rPr>
                <w:b/>
                <w:sz w:val="14"/>
              </w:rPr>
              <w:t>period</w:t>
            </w:r>
          </w:p>
        </w:tc>
        <w:tc>
          <w:tcPr>
            <w:tcW w:type="dxa" w:w="1108"/>
          </w:tcPr>
          <w:p>
            <w:r>
              <w:rPr>
                <w:b/>
                <w:sz w:val="14"/>
              </w:rPr>
              <w:t>scenario</w:t>
            </w:r>
          </w:p>
        </w:tc>
        <w:tc>
          <w:tcPr>
            <w:tcW w:type="dxa" w:w="1108"/>
          </w:tcPr>
          <w:p>
            <w:r>
              <w:rPr>
                <w:b/>
                <w:sz w:val="14"/>
              </w:rPr>
              <w:t>LRT Prioritized</w:t>
            </w:r>
          </w:p>
        </w:tc>
        <w:tc>
          <w:tcPr>
            <w:tcW w:type="dxa" w:w="1108"/>
          </w:tcPr>
          <w:p>
            <w:r>
              <w:rPr>
                <w:b/>
                <w:sz w:val="14"/>
              </w:rPr>
              <w:t>LRT Unprioritized</w:t>
            </w:r>
          </w:p>
        </w:tc>
        <w:tc>
          <w:tcPr>
            <w:tcW w:type="dxa" w:w="1108"/>
          </w:tcPr>
          <w:p>
            <w:r>
              <w:rPr>
                <w:b/>
                <w:sz w:val="14"/>
              </w:rPr>
              <w:t>ratio</w:t>
            </w:r>
          </w:p>
        </w:tc>
        <w:tc>
          <w:tcPr>
            <w:tcW w:type="dxa" w:w="1108"/>
          </w:tcPr>
          <w:p>
            <w:r>
              <w:rPr>
                <w:b/>
                <w:sz w:val="14"/>
              </w:rPr>
              <w:t>using the extension, Prioritized</w:t>
            </w:r>
          </w:p>
        </w:tc>
        <w:tc>
          <w:tcPr>
            <w:tcW w:type="dxa" w:w="1108"/>
          </w:tcPr>
          <w:p>
            <w:r>
              <w:rPr>
                <w:b/>
                <w:sz w:val="14"/>
              </w:rPr>
              <w:t>using the extension, Unprioritized</w:t>
            </w:r>
          </w:p>
        </w:tc>
        <w:tc>
          <w:tcPr>
            <w:tcW w:type="dxa" w:w="1108"/>
          </w:tcPr>
          <w:p>
            <w:r>
              <w:rPr>
                <w:b/>
                <w:sz w:val="14"/>
              </w:rPr>
              <w:t>from car, Prioritized</w:t>
            </w:r>
          </w:p>
        </w:tc>
        <w:tc>
          <w:tcPr>
            <w:tcW w:type="dxa" w:w="1108"/>
          </w:tcPr>
          <w:p>
            <w:r>
              <w:rPr>
                <w:b/>
                <w:sz w:val="14"/>
              </w:rPr>
              <w:t>from car, Unprioritized</w:t>
            </w:r>
          </w:p>
        </w:tc>
      </w:tr>
      <w:tr>
        <w:tc>
          <w:tcPr>
            <w:tcW w:type="dxa" w:w="1108"/>
          </w:tcPr>
          <w:p>
            <w:r>
              <w:rPr>
                <w:sz w:val="14"/>
              </w:rPr>
              <w:t>AM</w:t>
            </w:r>
          </w:p>
        </w:tc>
        <w:tc>
          <w:tcPr>
            <w:tcW w:type="dxa" w:w="1108"/>
          </w:tcPr>
          <w:p>
            <w:r>
              <w:rPr>
                <w:sz w:val="14"/>
              </w:rPr>
              <w:t>2040 BU</w:t>
            </w:r>
          </w:p>
        </w:tc>
        <w:tc>
          <w:tcPr>
            <w:tcW w:type="dxa" w:w="1108"/>
          </w:tcPr>
          <w:p>
            <w:r>
              <w:rPr>
                <w:sz w:val="14"/>
              </w:rPr>
              <w:t>6,309</w:t>
            </w:r>
          </w:p>
        </w:tc>
        <w:tc>
          <w:tcPr>
            <w:tcW w:type="dxa" w:w="1108"/>
          </w:tcPr>
          <w:p>
            <w:r>
              <w:rPr>
                <w:sz w:val="14"/>
              </w:rPr>
              <w:t>4,999</w:t>
            </w:r>
          </w:p>
        </w:tc>
        <w:tc>
          <w:tcPr>
            <w:tcW w:type="dxa" w:w="1108"/>
          </w:tcPr>
          <w:p>
            <w:r>
              <w:rPr>
                <w:sz w:val="14"/>
              </w:rPr>
              <w:t>0.79</w:t>
            </w:r>
          </w:p>
        </w:tc>
        <w:tc>
          <w:tcPr>
            <w:tcW w:type="dxa" w:w="1108"/>
          </w:tcPr>
          <w:p>
            <w:r>
              <w:rPr>
                <w:sz w:val="14"/>
              </w:rPr>
              <w:t>4,950</w:t>
            </w:r>
          </w:p>
        </w:tc>
        <w:tc>
          <w:tcPr>
            <w:tcW w:type="dxa" w:w="1108"/>
          </w:tcPr>
          <w:p>
            <w:r>
              <w:rPr>
                <w:sz w:val="14"/>
              </w:rPr>
              <w:t>3,640</w:t>
            </w:r>
          </w:p>
        </w:tc>
        <w:tc>
          <w:tcPr>
            <w:tcW w:type="dxa" w:w="1108"/>
          </w:tcPr>
          <w:p>
            <w:r>
              <w:rPr>
                <w:sz w:val="14"/>
              </w:rPr>
              <w:t>353</w:t>
            </w:r>
          </w:p>
        </w:tc>
        <w:tc>
          <w:tcPr>
            <w:tcW w:type="dxa" w:w="1108"/>
          </w:tcPr>
          <w:p>
            <w:r>
              <w:rPr>
                <w:sz w:val="14"/>
              </w:rPr>
              <w:t>237</w:t>
            </w:r>
          </w:p>
        </w:tc>
      </w:tr>
      <w:tr>
        <w:tc>
          <w:tcPr>
            <w:tcW w:type="dxa" w:w="1108"/>
          </w:tcPr>
          <w:p>
            <w:r>
              <w:rPr>
                <w:sz w:val="14"/>
              </w:rPr>
              <w:t>AM</w:t>
            </w:r>
          </w:p>
        </w:tc>
        <w:tc>
          <w:tcPr>
            <w:tcW w:type="dxa" w:w="1108"/>
          </w:tcPr>
          <w:p>
            <w:r>
              <w:rPr>
                <w:sz w:val="14"/>
              </w:rPr>
              <w:t>2050 BU</w:t>
            </w:r>
          </w:p>
        </w:tc>
        <w:tc>
          <w:tcPr>
            <w:tcW w:type="dxa" w:w="1108"/>
          </w:tcPr>
          <w:p>
            <w:r>
              <w:rPr>
                <w:sz w:val="14"/>
              </w:rPr>
              <w:t>7,433</w:t>
            </w:r>
          </w:p>
        </w:tc>
        <w:tc>
          <w:tcPr>
            <w:tcW w:type="dxa" w:w="1108"/>
          </w:tcPr>
          <w:p>
            <w:r>
              <w:rPr>
                <w:sz w:val="14"/>
              </w:rPr>
              <w:t>5,700</w:t>
            </w:r>
          </w:p>
        </w:tc>
        <w:tc>
          <w:tcPr>
            <w:tcW w:type="dxa" w:w="1108"/>
          </w:tcPr>
          <w:p>
            <w:r>
              <w:rPr>
                <w:sz w:val="14"/>
              </w:rPr>
              <w:t>0.77</w:t>
            </w:r>
          </w:p>
        </w:tc>
        <w:tc>
          <w:tcPr>
            <w:tcW w:type="dxa" w:w="1108"/>
          </w:tcPr>
          <w:p>
            <w:r>
              <w:rPr>
                <w:sz w:val="14"/>
              </w:rPr>
              <w:t>6,003</w:t>
            </w:r>
          </w:p>
        </w:tc>
        <w:tc>
          <w:tcPr>
            <w:tcW w:type="dxa" w:w="1108"/>
          </w:tcPr>
          <w:p>
            <w:r>
              <w:rPr>
                <w:sz w:val="14"/>
              </w:rPr>
              <w:t>4,271</w:t>
            </w:r>
          </w:p>
        </w:tc>
        <w:tc>
          <w:tcPr>
            <w:tcW w:type="dxa" w:w="1108"/>
          </w:tcPr>
          <w:p>
            <w:r>
              <w:rPr>
                <w:sz w:val="14"/>
              </w:rPr>
              <w:t>818</w:t>
            </w:r>
          </w:p>
        </w:tc>
        <w:tc>
          <w:tcPr>
            <w:tcW w:type="dxa" w:w="1108"/>
          </w:tcPr>
          <w:p>
            <w:r>
              <w:rPr>
                <w:sz w:val="14"/>
              </w:rPr>
              <w:t>450</w:t>
            </w:r>
          </w:p>
        </w:tc>
      </w:tr>
      <w:tr>
        <w:tc>
          <w:tcPr>
            <w:tcW w:type="dxa" w:w="1108"/>
          </w:tcPr>
          <w:p>
            <w:r>
              <w:rPr>
                <w:sz w:val="14"/>
              </w:rPr>
              <w:t>AM</w:t>
            </w:r>
          </w:p>
        </w:tc>
        <w:tc>
          <w:tcPr>
            <w:tcW w:type="dxa" w:w="1108"/>
          </w:tcPr>
          <w:p>
            <w:r>
              <w:rPr>
                <w:sz w:val="14"/>
              </w:rPr>
              <w:t>2040 HS</w:t>
            </w:r>
          </w:p>
        </w:tc>
        <w:tc>
          <w:tcPr>
            <w:tcW w:type="dxa" w:w="1108"/>
          </w:tcPr>
          <w:p>
            <w:r>
              <w:rPr>
                <w:sz w:val="14"/>
              </w:rPr>
              <w:t>7,476</w:t>
            </w:r>
          </w:p>
        </w:tc>
        <w:tc>
          <w:tcPr>
            <w:tcW w:type="dxa" w:w="1108"/>
          </w:tcPr>
          <w:p>
            <w:r>
              <w:rPr>
                <w:sz w:val="14"/>
              </w:rPr>
              <w:t>6,010</w:t>
            </w:r>
          </w:p>
        </w:tc>
        <w:tc>
          <w:tcPr>
            <w:tcW w:type="dxa" w:w="1108"/>
          </w:tcPr>
          <w:p>
            <w:r>
              <w:rPr>
                <w:sz w:val="14"/>
              </w:rPr>
              <w:t>0.80</w:t>
            </w:r>
          </w:p>
        </w:tc>
        <w:tc>
          <w:tcPr>
            <w:tcW w:type="dxa" w:w="1108"/>
          </w:tcPr>
          <w:p>
            <w:r>
              <w:rPr>
                <w:sz w:val="14"/>
              </w:rPr>
              <w:t>5,651</w:t>
            </w:r>
          </w:p>
        </w:tc>
        <w:tc>
          <w:tcPr>
            <w:tcW w:type="dxa" w:w="1108"/>
          </w:tcPr>
          <w:p>
            <w:r>
              <w:rPr>
                <w:sz w:val="14"/>
              </w:rPr>
              <w:t>4,185</w:t>
            </w:r>
          </w:p>
        </w:tc>
        <w:tc>
          <w:tcPr>
            <w:tcW w:type="dxa" w:w="1108"/>
          </w:tcPr>
          <w:p>
            <w:r>
              <w:rPr>
                <w:sz w:val="14"/>
              </w:rPr>
              <w:t>870</w:t>
            </w:r>
          </w:p>
        </w:tc>
        <w:tc>
          <w:tcPr>
            <w:tcW w:type="dxa" w:w="1108"/>
          </w:tcPr>
          <w:p>
            <w:r>
              <w:rPr>
                <w:sz w:val="14"/>
              </w:rPr>
              <w:t>628</w:t>
            </w:r>
          </w:p>
        </w:tc>
      </w:tr>
      <w:tr>
        <w:tc>
          <w:tcPr>
            <w:tcW w:type="dxa" w:w="1108"/>
          </w:tcPr>
          <w:p>
            <w:r>
              <w:rPr>
                <w:sz w:val="14"/>
              </w:rPr>
              <w:t>AM</w:t>
            </w:r>
          </w:p>
        </w:tc>
        <w:tc>
          <w:tcPr>
            <w:tcW w:type="dxa" w:w="1108"/>
          </w:tcPr>
          <w:p>
            <w:r>
              <w:rPr>
                <w:sz w:val="14"/>
              </w:rPr>
              <w:t>2050 HS</w:t>
            </w:r>
          </w:p>
        </w:tc>
        <w:tc>
          <w:tcPr>
            <w:tcW w:type="dxa" w:w="1108"/>
          </w:tcPr>
          <w:p>
            <w:r>
              <w:rPr>
                <w:sz w:val="14"/>
              </w:rPr>
              <w:t>9,225</w:t>
            </w:r>
          </w:p>
        </w:tc>
        <w:tc>
          <w:tcPr>
            <w:tcW w:type="dxa" w:w="1108"/>
          </w:tcPr>
          <w:p>
            <w:r>
              <w:rPr>
                <w:sz w:val="14"/>
              </w:rPr>
              <w:t>7,393</w:t>
            </w:r>
          </w:p>
        </w:tc>
        <w:tc>
          <w:tcPr>
            <w:tcW w:type="dxa" w:w="1108"/>
          </w:tcPr>
          <w:p>
            <w:r>
              <w:rPr>
                <w:sz w:val="14"/>
              </w:rPr>
              <w:t>0.80</w:t>
            </w:r>
          </w:p>
        </w:tc>
        <w:tc>
          <w:tcPr>
            <w:tcW w:type="dxa" w:w="1108"/>
          </w:tcPr>
          <w:p>
            <w:r>
              <w:rPr>
                <w:sz w:val="14"/>
              </w:rPr>
              <w:t>7,010</w:t>
            </w:r>
          </w:p>
        </w:tc>
        <w:tc>
          <w:tcPr>
            <w:tcW w:type="dxa" w:w="1108"/>
          </w:tcPr>
          <w:p>
            <w:r>
              <w:rPr>
                <w:sz w:val="14"/>
              </w:rPr>
              <w:t>5,179</w:t>
            </w:r>
          </w:p>
        </w:tc>
        <w:tc>
          <w:tcPr>
            <w:tcW w:type="dxa" w:w="1108"/>
          </w:tcPr>
          <w:p>
            <w:r>
              <w:rPr>
                <w:sz w:val="14"/>
              </w:rPr>
              <w:t>1,311</w:t>
            </w:r>
          </w:p>
        </w:tc>
        <w:tc>
          <w:tcPr>
            <w:tcW w:type="dxa" w:w="1108"/>
          </w:tcPr>
          <w:p>
            <w:r>
              <w:rPr>
                <w:sz w:val="14"/>
              </w:rPr>
              <w:t>934</w:t>
            </w:r>
          </w:p>
        </w:tc>
      </w:tr>
      <w:tr>
        <w:tc>
          <w:tcPr>
            <w:tcW w:type="dxa" w:w="1108"/>
          </w:tcPr>
          <w:p>
            <w:r>
              <w:rPr>
                <w:sz w:val="14"/>
              </w:rPr>
              <w:t>PM</w:t>
            </w:r>
          </w:p>
        </w:tc>
        <w:tc>
          <w:tcPr>
            <w:tcW w:type="dxa" w:w="1108"/>
          </w:tcPr>
          <w:p>
            <w:r>
              <w:rPr>
                <w:sz w:val="14"/>
              </w:rPr>
              <w:t>2040 BU</w:t>
            </w:r>
          </w:p>
        </w:tc>
        <w:tc>
          <w:tcPr>
            <w:tcW w:type="dxa" w:w="1108"/>
          </w:tcPr>
          <w:p>
            <w:r>
              <w:rPr>
                <w:sz w:val="14"/>
              </w:rPr>
              <w:t>5,358</w:t>
            </w:r>
          </w:p>
        </w:tc>
        <w:tc>
          <w:tcPr>
            <w:tcW w:type="dxa" w:w="1108"/>
          </w:tcPr>
          <w:p>
            <w:r>
              <w:rPr>
                <w:sz w:val="14"/>
              </w:rPr>
              <w:t>4,263</w:t>
            </w:r>
          </w:p>
        </w:tc>
        <w:tc>
          <w:tcPr>
            <w:tcW w:type="dxa" w:w="1108"/>
          </w:tcPr>
          <w:p>
            <w:r>
              <w:rPr>
                <w:sz w:val="14"/>
              </w:rPr>
              <w:t>0.80</w:t>
            </w:r>
          </w:p>
        </w:tc>
        <w:tc>
          <w:tcPr>
            <w:tcW w:type="dxa" w:w="1108"/>
          </w:tcPr>
          <w:p>
            <w:r>
              <w:rPr>
                <w:sz w:val="14"/>
              </w:rPr>
              <w:t>4,300</w:t>
            </w:r>
          </w:p>
        </w:tc>
        <w:tc>
          <w:tcPr>
            <w:tcW w:type="dxa" w:w="1108"/>
          </w:tcPr>
          <w:p>
            <w:r>
              <w:rPr>
                <w:sz w:val="14"/>
              </w:rPr>
              <w:t>3,205</w:t>
            </w:r>
          </w:p>
        </w:tc>
        <w:tc>
          <w:tcPr>
            <w:tcW w:type="dxa" w:w="1108"/>
          </w:tcPr>
          <w:p>
            <w:r>
              <w:rPr>
                <w:sz w:val="14"/>
              </w:rPr>
              <w:t>327</w:t>
            </w:r>
          </w:p>
        </w:tc>
        <w:tc>
          <w:tcPr>
            <w:tcW w:type="dxa" w:w="1108"/>
          </w:tcPr>
          <w:p>
            <w:r>
              <w:rPr>
                <w:sz w:val="14"/>
              </w:rPr>
              <w:t>222</w:t>
            </w:r>
          </w:p>
        </w:tc>
      </w:tr>
      <w:tr>
        <w:tc>
          <w:tcPr>
            <w:tcW w:type="dxa" w:w="1108"/>
          </w:tcPr>
          <w:p>
            <w:r>
              <w:rPr>
                <w:sz w:val="14"/>
              </w:rPr>
              <w:t>PM</w:t>
            </w:r>
          </w:p>
        </w:tc>
        <w:tc>
          <w:tcPr>
            <w:tcW w:type="dxa" w:w="1108"/>
          </w:tcPr>
          <w:p>
            <w:r>
              <w:rPr>
                <w:sz w:val="14"/>
              </w:rPr>
              <w:t>2050 BU</w:t>
            </w:r>
          </w:p>
        </w:tc>
        <w:tc>
          <w:tcPr>
            <w:tcW w:type="dxa" w:w="1108"/>
          </w:tcPr>
          <w:p>
            <w:r>
              <w:rPr>
                <w:sz w:val="14"/>
              </w:rPr>
              <w:t>6,135</w:t>
            </w:r>
          </w:p>
        </w:tc>
        <w:tc>
          <w:tcPr>
            <w:tcW w:type="dxa" w:w="1108"/>
          </w:tcPr>
          <w:p>
            <w:r>
              <w:rPr>
                <w:sz w:val="14"/>
              </w:rPr>
              <w:t>4,854</w:t>
            </w:r>
          </w:p>
        </w:tc>
        <w:tc>
          <w:tcPr>
            <w:tcW w:type="dxa" w:w="1108"/>
          </w:tcPr>
          <w:p>
            <w:r>
              <w:rPr>
                <w:sz w:val="14"/>
              </w:rPr>
              <w:t>0.79</w:t>
            </w:r>
          </w:p>
        </w:tc>
        <w:tc>
          <w:tcPr>
            <w:tcW w:type="dxa" w:w="1108"/>
          </w:tcPr>
          <w:p>
            <w:r>
              <w:rPr>
                <w:sz w:val="14"/>
              </w:rPr>
              <w:t>4,998</w:t>
            </w:r>
          </w:p>
        </w:tc>
        <w:tc>
          <w:tcPr>
            <w:tcW w:type="dxa" w:w="1108"/>
          </w:tcPr>
          <w:p>
            <w:r>
              <w:rPr>
                <w:sz w:val="14"/>
              </w:rPr>
              <w:t>3,717</w:t>
            </w:r>
          </w:p>
        </w:tc>
        <w:tc>
          <w:tcPr>
            <w:tcW w:type="dxa" w:w="1108"/>
          </w:tcPr>
          <w:p>
            <w:r>
              <w:rPr>
                <w:sz w:val="14"/>
              </w:rPr>
              <w:t>368</w:t>
            </w:r>
          </w:p>
        </w:tc>
        <w:tc>
          <w:tcPr>
            <w:tcW w:type="dxa" w:w="1108"/>
          </w:tcPr>
          <w:p>
            <w:r>
              <w:rPr>
                <w:sz w:val="14"/>
              </w:rPr>
              <w:t>246</w:t>
            </w:r>
          </w:p>
        </w:tc>
      </w:tr>
      <w:tr>
        <w:tc>
          <w:tcPr>
            <w:tcW w:type="dxa" w:w="1108"/>
          </w:tcPr>
          <w:p>
            <w:r>
              <w:rPr>
                <w:sz w:val="14"/>
              </w:rPr>
              <w:t>PM</w:t>
            </w:r>
          </w:p>
        </w:tc>
        <w:tc>
          <w:tcPr>
            <w:tcW w:type="dxa" w:w="1108"/>
          </w:tcPr>
          <w:p>
            <w:r>
              <w:rPr>
                <w:sz w:val="14"/>
              </w:rPr>
              <w:t>2040 HS</w:t>
            </w:r>
          </w:p>
        </w:tc>
        <w:tc>
          <w:tcPr>
            <w:tcW w:type="dxa" w:w="1108"/>
          </w:tcPr>
          <w:p>
            <w:r>
              <w:rPr>
                <w:sz w:val="14"/>
              </w:rPr>
              <w:t>5,620</w:t>
            </w:r>
          </w:p>
        </w:tc>
        <w:tc>
          <w:tcPr>
            <w:tcW w:type="dxa" w:w="1108"/>
          </w:tcPr>
          <w:p>
            <w:r>
              <w:rPr>
                <w:sz w:val="14"/>
              </w:rPr>
              <w:t>4,512</w:t>
            </w:r>
          </w:p>
        </w:tc>
        <w:tc>
          <w:tcPr>
            <w:tcW w:type="dxa" w:w="1108"/>
          </w:tcPr>
          <w:p>
            <w:r>
              <w:rPr>
                <w:sz w:val="14"/>
              </w:rPr>
              <w:t>0.80</w:t>
            </w:r>
          </w:p>
        </w:tc>
        <w:tc>
          <w:tcPr>
            <w:tcW w:type="dxa" w:w="1108"/>
          </w:tcPr>
          <w:p>
            <w:r>
              <w:rPr>
                <w:sz w:val="14"/>
              </w:rPr>
              <w:t>4,595</w:t>
            </w:r>
          </w:p>
        </w:tc>
        <w:tc>
          <w:tcPr>
            <w:tcW w:type="dxa" w:w="1108"/>
          </w:tcPr>
          <w:p>
            <w:r>
              <w:rPr>
                <w:sz w:val="14"/>
              </w:rPr>
              <w:t>3,488</w:t>
            </w:r>
          </w:p>
        </w:tc>
        <w:tc>
          <w:tcPr>
            <w:tcW w:type="dxa" w:w="1108"/>
          </w:tcPr>
          <w:p>
            <w:r>
              <w:rPr>
                <w:sz w:val="14"/>
              </w:rPr>
              <w:t>425</w:t>
            </w:r>
          </w:p>
        </w:tc>
        <w:tc>
          <w:tcPr>
            <w:tcW w:type="dxa" w:w="1108"/>
          </w:tcPr>
          <w:p>
            <w:r>
              <w:rPr>
                <w:sz w:val="14"/>
              </w:rPr>
              <w:t>290</w:t>
            </w:r>
          </w:p>
        </w:tc>
      </w:tr>
      <w:tr>
        <w:tc>
          <w:tcPr>
            <w:tcW w:type="dxa" w:w="1108"/>
          </w:tcPr>
          <w:p>
            <w:r>
              <w:rPr>
                <w:sz w:val="14"/>
              </w:rPr>
              <w:t>PM</w:t>
            </w:r>
          </w:p>
        </w:tc>
        <w:tc>
          <w:tcPr>
            <w:tcW w:type="dxa" w:w="1108"/>
          </w:tcPr>
          <w:p>
            <w:r>
              <w:rPr>
                <w:sz w:val="14"/>
              </w:rPr>
              <w:t>2050 HS</w:t>
            </w:r>
          </w:p>
        </w:tc>
        <w:tc>
          <w:tcPr>
            <w:tcW w:type="dxa" w:w="1108"/>
          </w:tcPr>
          <w:p>
            <w:r>
              <w:rPr>
                <w:sz w:val="14"/>
              </w:rPr>
              <w:t>5,956</w:t>
            </w:r>
          </w:p>
        </w:tc>
        <w:tc>
          <w:tcPr>
            <w:tcW w:type="dxa" w:w="1108"/>
          </w:tcPr>
          <w:p>
            <w:r>
              <w:rPr>
                <w:sz w:val="14"/>
              </w:rPr>
              <w:t>4,768</w:t>
            </w:r>
          </w:p>
        </w:tc>
        <w:tc>
          <w:tcPr>
            <w:tcW w:type="dxa" w:w="1108"/>
          </w:tcPr>
          <w:p>
            <w:r>
              <w:rPr>
                <w:sz w:val="14"/>
              </w:rPr>
              <w:t>0.80</w:t>
            </w:r>
          </w:p>
        </w:tc>
        <w:tc>
          <w:tcPr>
            <w:tcW w:type="dxa" w:w="1108"/>
          </w:tcPr>
          <w:p>
            <w:r>
              <w:rPr>
                <w:sz w:val="14"/>
              </w:rPr>
              <w:t>4,918</w:t>
            </w:r>
          </w:p>
        </w:tc>
        <w:tc>
          <w:tcPr>
            <w:tcW w:type="dxa" w:w="1108"/>
          </w:tcPr>
          <w:p>
            <w:r>
              <w:rPr>
                <w:sz w:val="14"/>
              </w:rPr>
              <w:t>3,730</w:t>
            </w:r>
          </w:p>
        </w:tc>
        <w:tc>
          <w:tcPr>
            <w:tcW w:type="dxa" w:w="1108"/>
          </w:tcPr>
          <w:p>
            <w:r>
              <w:rPr>
                <w:sz w:val="14"/>
              </w:rPr>
              <w:t>466</w:t>
            </w:r>
          </w:p>
        </w:tc>
        <w:tc>
          <w:tcPr>
            <w:tcW w:type="dxa" w:w="1108"/>
          </w:tcPr>
          <w:p>
            <w:r>
              <w:rPr>
                <w:sz w:val="14"/>
              </w:rPr>
              <w:t>316</w:t>
            </w:r>
          </w:p>
        </w:tc>
      </w:tr>
    </w:tbl>
    <w:p>
      <w:r>
        <w:rPr>
          <w:sz w:val="16"/>
        </w:rPr>
        <w:t>Table 4.3 — LRT trips in the two regimes of the extension. The Unprioritized regime (at-grade running, 65.8 min end to end on the extension against 40.7) loses about a fifth of the LRT trips, most of it on the extension itself.</w:t>
      </w:r>
    </w:p>
    <w:p>
      <w:pPr>
        <w:pStyle w:val="Heading2"/>
      </w:pPr>
      <w:r>
        <w:t>4.6 Time on route</w:t>
      </w:r>
    </w:p>
    <w:tbl>
      <w:tblPr>
        <w:tblStyle w:val="LightGrid-Accent1"/>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4"/>
              </w:rPr>
              <w:t>mode</w:t>
            </w:r>
          </w:p>
        </w:tc>
        <w:tc>
          <w:tcPr>
            <w:tcW w:type="dxa" w:w="1425"/>
          </w:tcPr>
          <w:p>
            <w:r>
              <w:rPr>
                <w:b/>
                <w:sz w:val="14"/>
              </w:rPr>
              <w:t>period</w:t>
            </w:r>
          </w:p>
        </w:tc>
        <w:tc>
          <w:tcPr>
            <w:tcW w:type="dxa" w:w="1425"/>
          </w:tcPr>
          <w:p>
            <w:r>
              <w:rPr>
                <w:b/>
                <w:sz w:val="14"/>
              </w:rPr>
              <w:t>direction</w:t>
            </w:r>
          </w:p>
        </w:tc>
        <w:tc>
          <w:tcPr>
            <w:tcW w:type="dxa" w:w="1425"/>
          </w:tcPr>
          <w:p>
            <w:r>
              <w:rPr>
                <w:b/>
                <w:sz w:val="14"/>
              </w:rPr>
              <w:t>from</w:t>
            </w:r>
          </w:p>
        </w:tc>
        <w:tc>
          <w:tcPr>
            <w:tcW w:type="dxa" w:w="1425"/>
          </w:tcPr>
          <w:p>
            <w:r>
              <w:rPr>
                <w:b/>
                <w:sz w:val="14"/>
              </w:rPr>
              <w:t>to</w:t>
            </w:r>
          </w:p>
        </w:tc>
        <w:tc>
          <w:tcPr>
            <w:tcW w:type="dxa" w:w="1425"/>
          </w:tcPr>
          <w:p>
            <w:r>
              <w:rPr>
                <w:b/>
                <w:sz w:val="14"/>
              </w:rPr>
              <w:t>scheduled_min (median)</w:t>
            </w:r>
          </w:p>
        </w:tc>
        <w:tc>
          <w:tcPr>
            <w:tcW w:type="dxa" w:w="1425"/>
          </w:tcPr>
          <w:p>
            <w:r>
              <w:rPr>
                <w:b/>
                <w:sz w:val="14"/>
              </w:rPr>
              <w:t>observed_min (step 30 ratio)</w:t>
            </w:r>
          </w:p>
        </w:tc>
      </w:tr>
      <w:tr>
        <w:tc>
          <w:tcPr>
            <w:tcW w:type="dxa" w:w="1425"/>
          </w:tcPr>
          <w:p>
            <w:r>
              <w:rPr>
                <w:sz w:val="14"/>
              </w:rPr>
              <w:t>Metronit line 1 (83001)</w:t>
            </w:r>
          </w:p>
        </w:tc>
        <w:tc>
          <w:tcPr>
            <w:tcW w:type="dxa" w:w="1425"/>
          </w:tcPr>
          <w:p>
            <w:r>
              <w:rPr>
                <w:sz w:val="14"/>
              </w:rPr>
              <w:t>AM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AM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AM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Metronit line 1 (83001)</w:t>
            </w:r>
          </w:p>
        </w:tc>
        <w:tc>
          <w:tcPr>
            <w:tcW w:type="dxa" w:w="1425"/>
          </w:tcPr>
          <w:p>
            <w:r>
              <w:rPr>
                <w:sz w:val="14"/>
              </w:rPr>
              <w:t>PM</w:t>
            </w:r>
          </w:p>
        </w:tc>
        <w:tc>
          <w:tcPr>
            <w:tcW w:type="dxa" w:w="1425"/>
          </w:tcPr>
          <w:p>
            <w:r>
              <w:rPr>
                <w:sz w:val="14"/>
              </w:rPr>
              <w:t>0</w:t>
            </w:r>
          </w:p>
        </w:tc>
        <w:tc>
          <w:tcPr>
            <w:tcW w:type="dxa" w:w="1425"/>
          </w:tcPr>
          <w:p>
            <w:r>
              <w:rPr>
                <w:sz w:val="14"/>
              </w:rPr>
              <w:t>ת. מרכזית חוף הכרמל/רציפים עירוני</w:t>
            </w:r>
          </w:p>
        </w:tc>
        <w:tc>
          <w:tcPr>
            <w:tcW w:type="dxa" w:w="1425"/>
          </w:tcPr>
          <w:p>
            <w:r>
              <w:rPr>
                <w:sz w:val="14"/>
              </w:rPr>
              <w:t>מרכזית הקריות/הורדה מטרונית</w:t>
            </w:r>
          </w:p>
        </w:tc>
        <w:tc>
          <w:tcPr>
            <w:tcW w:type="dxa" w:w="1425"/>
          </w:tcPr>
          <w:p>
            <w:r>
              <w:rPr>
                <w:sz w:val="14"/>
              </w:rPr>
              <w:t>65</w:t>
            </w:r>
          </w:p>
        </w:tc>
        <w:tc>
          <w:tcPr>
            <w:tcW w:type="dxa" w:w="1425"/>
          </w:tcPr>
          <w:p>
            <w:r>
              <w:rPr>
                <w:sz w:val="14"/>
              </w:rPr>
              <w:t>57</w:t>
            </w:r>
          </w:p>
        </w:tc>
      </w:tr>
      <w:tr>
        <w:tc>
          <w:tcPr>
            <w:tcW w:type="dxa" w:w="1425"/>
          </w:tcPr>
          <w:p>
            <w:r>
              <w:rPr>
                <w:sz w:val="14"/>
              </w:rPr>
              <w:t>Metronit line 1 (83001)</w:t>
            </w:r>
          </w:p>
        </w:tc>
        <w:tc>
          <w:tcPr>
            <w:tcW w:type="dxa" w:w="1425"/>
          </w:tcPr>
          <w:p>
            <w:r>
              <w:rPr>
                <w:sz w:val="14"/>
              </w:rPr>
              <w:t>PM</w:t>
            </w:r>
          </w:p>
        </w:tc>
        <w:tc>
          <w:tcPr>
            <w:tcW w:type="dxa" w:w="1425"/>
          </w:tcPr>
          <w:p>
            <w:r>
              <w:rPr>
                <w:sz w:val="14"/>
              </w:rPr>
              <w:t>1</w:t>
            </w:r>
          </w:p>
        </w:tc>
        <w:tc>
          <w:tcPr>
            <w:tcW w:type="dxa" w:w="1425"/>
          </w:tcPr>
          <w:p>
            <w:r>
              <w:rPr>
                <w:sz w:val="14"/>
              </w:rPr>
              <w:t>מרכזית הקריות/איסוף מטרונית</w:t>
            </w:r>
          </w:p>
        </w:tc>
        <w:tc>
          <w:tcPr>
            <w:tcW w:type="dxa" w:w="1425"/>
          </w:tcPr>
          <w:p>
            <w:r>
              <w:rPr>
                <w:sz w:val="14"/>
              </w:rPr>
              <w:t>ת. מרכזית חוף הכרמל/הורדה מטרונית</w:t>
            </w:r>
          </w:p>
        </w:tc>
        <w:tc>
          <w:tcPr>
            <w:tcW w:type="dxa" w:w="1425"/>
          </w:tcPr>
          <w:p>
            <w:r>
              <w:rPr>
                <w:sz w:val="14"/>
              </w:rPr>
              <w:t>65</w:t>
            </w:r>
          </w:p>
        </w:tc>
        <w:tc>
          <w:tcPr>
            <w:tcW w:type="dxa" w:w="1425"/>
          </w:tcPr>
          <w:p>
            <w:r>
              <w:rPr>
                <w:sz w:val="14"/>
              </w:rPr>
              <w:t>57</w:t>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0</w:t>
            </w:r>
          </w:p>
        </w:tc>
        <w:tc>
          <w:tcPr>
            <w:tcW w:type="dxa" w:w="1425"/>
          </w:tcPr>
          <w:p>
            <w:r>
              <w:rPr>
                <w:sz w:val="14"/>
              </w:rPr>
              <w:t>בנימינה</w:t>
            </w:r>
          </w:p>
        </w:tc>
        <w:tc>
          <w:tcPr>
            <w:tcW w:type="dxa" w:w="1425"/>
          </w:tcPr>
          <w:p>
            <w:r>
              <w:rPr>
                <w:sz w:val="14"/>
              </w:rPr>
              <w:t>נהריה</w:t>
            </w:r>
          </w:p>
        </w:tc>
        <w:tc>
          <w:tcPr>
            <w:tcW w:type="dxa" w:w="1425"/>
          </w:tcPr>
          <w:p>
            <w:r>
              <w:rPr>
                <w:sz w:val="14"/>
              </w:rPr>
              <w:t>65</w:t>
            </w:r>
          </w:p>
        </w:tc>
        <w:tc>
          <w:tcPr>
            <w:tcW w:type="dxa" w:w="1425"/>
          </w:tcPr>
          <w:p>
            <w:r>
              <w:rPr>
                <w:sz w:val="14"/>
              </w:rPr>
            </w:r>
          </w:p>
        </w:tc>
      </w:tr>
      <w:tr>
        <w:tc>
          <w:tcPr>
            <w:tcW w:type="dxa" w:w="1425"/>
          </w:tcPr>
          <w:p>
            <w:r>
              <w:rPr>
                <w:sz w:val="14"/>
              </w:rPr>
              <w:t>Train (Israel Railways, study-area stations)</w:t>
            </w:r>
          </w:p>
        </w:tc>
        <w:tc>
          <w:tcPr>
            <w:tcW w:type="dxa" w:w="1425"/>
          </w:tcPr>
          <w:p>
            <w:r>
              <w:rPr>
                <w:sz w:val="14"/>
              </w:rPr>
              <w:t>PM</w:t>
            </w:r>
          </w:p>
        </w:tc>
        <w:tc>
          <w:tcPr>
            <w:tcW w:type="dxa" w:w="1425"/>
          </w:tcPr>
          <w:p>
            <w:r>
              <w:rPr>
                <w:sz w:val="14"/>
              </w:rPr>
              <w:t>1</w:t>
            </w:r>
          </w:p>
        </w:tc>
        <w:tc>
          <w:tcPr>
            <w:tcW w:type="dxa" w:w="1425"/>
          </w:tcPr>
          <w:p>
            <w:r>
              <w:rPr>
                <w:sz w:val="14"/>
              </w:rPr>
              <w:t>נהריה</w:t>
            </w:r>
          </w:p>
        </w:tc>
        <w:tc>
          <w:tcPr>
            <w:tcW w:type="dxa" w:w="1425"/>
          </w:tcPr>
          <w:p>
            <w:r>
              <w:rPr>
                <w:sz w:val="14"/>
              </w:rPr>
              <w:t>בנימינה</w:t>
            </w:r>
          </w:p>
        </w:tc>
        <w:tc>
          <w:tcPr>
            <w:tcW w:type="dxa" w:w="1425"/>
          </w:tcPr>
          <w:p>
            <w:r>
              <w:rPr>
                <w:sz w:val="14"/>
              </w:rPr>
              <w:t>68</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AM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חוף הכרמל → קרית מוצקין</w:t>
            </w:r>
          </w:p>
        </w:tc>
        <w:tc>
          <w:tcPr>
            <w:tcW w:type="dxa" w:w="1425"/>
          </w:tcPr>
          <w:p>
            <w:r>
              <w:rPr>
                <w:sz w:val="14"/>
              </w:rPr>
              <w:t>חוף הכרמל</w:t>
            </w:r>
          </w:p>
        </w:tc>
        <w:tc>
          <w:tcPr>
            <w:tcW w:type="dxa" w:w="1425"/>
          </w:tcPr>
          <w:p>
            <w:r>
              <w:rPr>
                <w:sz w:val="14"/>
              </w:rPr>
              <w:t>קרית מוצקין</w:t>
            </w:r>
          </w:p>
        </w:tc>
        <w:tc>
          <w:tcPr>
            <w:tcW w:type="dxa" w:w="1425"/>
          </w:tcPr>
          <w:p>
            <w:r>
              <w:rPr>
                <w:sz w:val="14"/>
              </w:rPr>
              <w:t>30</w:t>
            </w:r>
          </w:p>
        </w:tc>
        <w:tc>
          <w:tcPr>
            <w:tcW w:type="dxa" w:w="1425"/>
          </w:tcPr>
          <w:p>
            <w:r>
              <w:rPr>
                <w:sz w:val="14"/>
              </w:rPr>
            </w:r>
          </w:p>
        </w:tc>
      </w:tr>
      <w:tr>
        <w:tc>
          <w:tcPr>
            <w:tcW w:type="dxa" w:w="1425"/>
          </w:tcPr>
          <w:p>
            <w:r>
              <w:rPr>
                <w:sz w:val="14"/>
              </w:rPr>
              <w:t>Train (Israel Railways, corridor segment)</w:t>
            </w:r>
          </w:p>
        </w:tc>
        <w:tc>
          <w:tcPr>
            <w:tcW w:type="dxa" w:w="1425"/>
          </w:tcPr>
          <w:p>
            <w:r>
              <w:rPr>
                <w:sz w:val="14"/>
              </w:rPr>
              <w:t>PM</w:t>
            </w:r>
          </w:p>
        </w:tc>
        <w:tc>
          <w:tcPr>
            <w:tcW w:type="dxa" w:w="1425"/>
          </w:tcPr>
          <w:p>
            <w:r>
              <w:rPr>
                <w:sz w:val="14"/>
              </w:rPr>
              <w:t>קרית מוצקין → חוף הכרמל</w:t>
            </w:r>
          </w:p>
        </w:tc>
        <w:tc>
          <w:tcPr>
            <w:tcW w:type="dxa" w:w="1425"/>
          </w:tcPr>
          <w:p>
            <w:r>
              <w:rPr>
                <w:sz w:val="14"/>
              </w:rPr>
              <w:t>קרית מוצקין</w:t>
            </w:r>
          </w:p>
        </w:tc>
        <w:tc>
          <w:tcPr>
            <w:tcW w:type="dxa" w:w="1425"/>
          </w:tcPr>
          <w:p>
            <w:r>
              <w:rPr>
                <w:sz w:val="14"/>
              </w:rPr>
              <w:t>חוף הכרמל</w:t>
            </w:r>
          </w:p>
        </w:tc>
        <w:tc>
          <w:tcPr>
            <w:tcW w:type="dxa" w:w="1425"/>
          </w:tcPr>
          <w:p>
            <w:r>
              <w:rPr>
                <w:sz w:val="14"/>
              </w:rPr>
              <w:t>31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74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Hamifrats (S24)</w:t>
            </w:r>
          </w:p>
        </w:tc>
        <w:tc>
          <w:tcPr>
            <w:tcW w:type="dxa" w:w="1425"/>
          </w:tcPr>
          <w:p>
            <w:r>
              <w:rPr>
                <w:sz w:val="14"/>
              </w:rPr>
              <w:t>Nazareth (M20)</w:t>
            </w:r>
          </w:p>
        </w:tc>
        <w:tc>
          <w:tcPr>
            <w:tcW w:type="dxa" w:w="1425"/>
          </w:tcPr>
          <w:p>
            <w:r>
              <w:rPr>
                <w:sz w:val="14"/>
              </w:rPr>
              <w:t>34</w:t>
            </w:r>
          </w:p>
        </w:tc>
        <w:tc>
          <w:tcPr>
            <w:tcW w:type="dxa" w:w="1425"/>
          </w:tcPr>
          <w:p>
            <w:r>
              <w:rPr>
                <w:sz w:val="14"/>
              </w:rPr>
            </w:r>
          </w:p>
        </w:tc>
      </w:tr>
      <w:tr>
        <w:tc>
          <w:tcPr>
            <w:tcW w:type="dxa" w:w="1425"/>
          </w:tcPr>
          <w:p>
            <w:r>
              <w:rPr>
                <w:sz w:val="14"/>
              </w:rPr>
              <w:t>LRT — Main route + extension,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Nazareth (M20)</w:t>
            </w:r>
          </w:p>
        </w:tc>
        <w:tc>
          <w:tcPr>
            <w:tcW w:type="dxa" w:w="1425"/>
          </w:tcPr>
          <w:p>
            <w:r>
              <w:rPr>
                <w:sz w:val="14"/>
              </w:rPr>
              <w:t>100</w:t>
            </w:r>
          </w:p>
        </w:tc>
        <w:tc>
          <w:tcPr>
            <w:tcW w:type="dxa" w:w="1425"/>
          </w:tcPr>
          <w:p>
            <w:r>
              <w:rPr>
                <w:sz w:val="14"/>
              </w:rPr>
            </w:r>
          </w:p>
        </w:tc>
      </w:tr>
      <w:tr>
        <w:tc>
          <w:tcPr>
            <w:tcW w:type="dxa" w:w="1425"/>
          </w:tcPr>
          <w:p>
            <w:r>
              <w:rPr>
                <w:sz w:val="14"/>
              </w:rPr>
              <w:t>LRT — Extension only, Prioritized (priority at interchanges; step 25 underground-calibrated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41</w:t>
            </w:r>
          </w:p>
        </w:tc>
        <w:tc>
          <w:tcPr>
            <w:tcW w:type="dxa" w:w="1425"/>
          </w:tcPr>
          <w:p>
            <w:r>
              <w:rPr>
                <w:sz w:val="14"/>
              </w:rPr>
            </w:r>
          </w:p>
        </w:tc>
      </w:tr>
      <w:tr>
        <w:tc>
          <w:tcPr>
            <w:tcW w:type="dxa" w:w="1425"/>
          </w:tcPr>
          <w:p>
            <w:r>
              <w:rPr>
                <w:sz w:val="14"/>
              </w:rPr>
              <w:t>LRT — Extension only, Unprioritized (at grade; step 25 ground times)</w:t>
            </w:r>
          </w:p>
        </w:tc>
        <w:tc>
          <w:tcPr>
            <w:tcW w:type="dxa" w:w="1425"/>
          </w:tcPr>
          <w:p>
            <w:r>
              <w:rPr>
                <w:sz w:val="14"/>
              </w:rPr>
              <w:t>all</w:t>
            </w:r>
          </w:p>
        </w:tc>
        <w:tc>
          <w:tcPr>
            <w:tcW w:type="dxa" w:w="1425"/>
          </w:tcPr>
          <w:p>
            <w:r>
              <w:rPr>
                <w:sz w:val="14"/>
              </w:rPr>
              <w:t>both (symmetric)</w:t>
            </w:r>
          </w:p>
        </w:tc>
        <w:tc>
          <w:tcPr>
            <w:tcW w:type="dxa" w:w="1425"/>
          </w:tcPr>
          <w:p>
            <w:r>
              <w:rPr>
                <w:sz w:val="14"/>
              </w:rPr>
              <w:t>Tirat Carmel (S01)</w:t>
            </w:r>
          </w:p>
        </w:tc>
        <w:tc>
          <w:tcPr>
            <w:tcW w:type="dxa" w:w="1425"/>
          </w:tcPr>
          <w:p>
            <w:r>
              <w:rPr>
                <w:sz w:val="14"/>
              </w:rPr>
              <w:t>Hamifrats (S24)</w:t>
            </w:r>
          </w:p>
        </w:tc>
        <w:tc>
          <w:tcPr>
            <w:tcW w:type="dxa" w:w="1425"/>
          </w:tcPr>
          <w:p>
            <w:r>
              <w:rPr>
                <w:sz w:val="14"/>
              </w:rPr>
              <w:t>66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42</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07:00)</w:t>
            </w:r>
          </w:p>
        </w:tc>
        <w:tc>
          <w:tcPr>
            <w:tcW w:type="dxa" w:w="1425"/>
          </w:tcPr>
          <w:p>
            <w:r>
              <w:rPr>
                <w:sz w:val="14"/>
              </w:rPr>
              <w:t>AM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59</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Hamifrats</w:t>
            </w:r>
          </w:p>
        </w:tc>
        <w:tc>
          <w:tcPr>
            <w:tcW w:type="dxa" w:w="1425"/>
          </w:tcPr>
          <w:p>
            <w:r>
              <w:rPr>
                <w:sz w:val="14"/>
              </w:rPr>
              <w:t>32</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Hamifrats</w:t>
            </w:r>
          </w:p>
        </w:tc>
        <w:tc>
          <w:tcPr>
            <w:tcW w:type="dxa" w:w="1425"/>
          </w:tcPr>
          <w:p>
            <w:r>
              <w:rPr>
                <w:sz w:val="14"/>
              </w:rPr>
              <w:t>TiratCarmel</w:t>
            </w:r>
          </w:p>
        </w:tc>
        <w:tc>
          <w:tcPr>
            <w:tcW w:type="dxa" w:w="1425"/>
          </w:tcPr>
          <w:p>
            <w:r>
              <w:rPr>
                <w:sz w:val="14"/>
              </w:rPr>
              <w:t>21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Hamifrats</w:t>
            </w:r>
          </w:p>
        </w:tc>
        <w:tc>
          <w:tcPr>
            <w:tcW w:type="dxa" w:w="1425"/>
          </w:tcPr>
          <w:p>
            <w:r>
              <w:rPr>
                <w:sz w:val="14"/>
              </w:rPr>
              <w:t>Nazareth</w:t>
            </w:r>
          </w:p>
        </w:tc>
        <w:tc>
          <w:tcPr>
            <w:tcW w:type="dxa" w:w="1425"/>
          </w:tcPr>
          <w:p>
            <w:r>
              <w:rPr>
                <w:sz w:val="14"/>
              </w:rPr>
              <w:t>46</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Hamifrats</w:t>
            </w:r>
          </w:p>
        </w:tc>
        <w:tc>
          <w:tcPr>
            <w:tcW w:type="dxa" w:w="1425"/>
          </w:tcPr>
          <w:p>
            <w:r>
              <w:rPr>
                <w:sz w:val="14"/>
              </w:rPr>
              <w:t>41</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forward</w:t>
            </w:r>
          </w:p>
        </w:tc>
        <w:tc>
          <w:tcPr>
            <w:tcW w:type="dxa" w:w="1425"/>
          </w:tcPr>
          <w:p>
            <w:r>
              <w:rPr>
                <w:sz w:val="14"/>
              </w:rPr>
              <w:t>TiratCarmel</w:t>
            </w:r>
          </w:p>
        </w:tc>
        <w:tc>
          <w:tcPr>
            <w:tcW w:type="dxa" w:w="1425"/>
          </w:tcPr>
          <w:p>
            <w:r>
              <w:rPr>
                <w:sz w:val="14"/>
              </w:rPr>
              <w:t>Nazareth</w:t>
            </w:r>
          </w:p>
        </w:tc>
        <w:tc>
          <w:tcPr>
            <w:tcW w:type="dxa" w:w="1425"/>
          </w:tcPr>
          <w:p>
            <w:r>
              <w:rPr>
                <w:sz w:val="14"/>
              </w:rPr>
              <w:t>65</w:t>
            </w:r>
          </w:p>
        </w:tc>
        <w:tc>
          <w:tcPr>
            <w:tcW w:type="dxa" w:w="1425"/>
          </w:tcPr>
          <w:p>
            <w:r>
              <w:rPr>
                <w:sz w:val="14"/>
              </w:rPr>
            </w:r>
          </w:p>
        </w:tc>
      </w:tr>
      <w:tr>
        <w:tc>
          <w:tcPr>
            <w:tcW w:type="dxa" w:w="1425"/>
          </w:tcPr>
          <w:p>
            <w:r>
              <w:rPr>
                <w:sz w:val="14"/>
              </w:rPr>
              <w:t>Car (May 2026 speeds, 17:00)</w:t>
            </w:r>
          </w:p>
        </w:tc>
        <w:tc>
          <w:tcPr>
            <w:tcW w:type="dxa" w:w="1425"/>
          </w:tcPr>
          <w:p>
            <w:r>
              <w:rPr>
                <w:sz w:val="14"/>
              </w:rPr>
              <w:t>PM</w:t>
            </w:r>
          </w:p>
        </w:tc>
        <w:tc>
          <w:tcPr>
            <w:tcW w:type="dxa" w:w="1425"/>
          </w:tcPr>
          <w:p>
            <w:r>
              <w:rPr>
                <w:sz w:val="14"/>
              </w:rPr>
              <w:t>reverse</w:t>
            </w:r>
          </w:p>
        </w:tc>
        <w:tc>
          <w:tcPr>
            <w:tcW w:type="dxa" w:w="1425"/>
          </w:tcPr>
          <w:p>
            <w:r>
              <w:rPr>
                <w:sz w:val="14"/>
              </w:rPr>
              <w:t>Nazareth</w:t>
            </w:r>
          </w:p>
        </w:tc>
        <w:tc>
          <w:tcPr>
            <w:tcW w:type="dxa" w:w="1425"/>
          </w:tcPr>
          <w:p>
            <w:r>
              <w:rPr>
                <w:sz w:val="14"/>
              </w:rPr>
              <w:t>TiratCarmel</w:t>
            </w:r>
          </w:p>
        </w:tc>
        <w:tc>
          <w:tcPr>
            <w:tcW w:type="dxa" w:w="1425"/>
          </w:tcPr>
          <w:p>
            <w:r>
              <w:rPr>
                <w:sz w:val="14"/>
              </w:rPr>
              <w:t>58</w:t>
            </w:r>
          </w:p>
        </w:tc>
        <w:tc>
          <w:tcPr>
            <w:tcW w:type="dxa" w:w="1425"/>
          </w:tcPr>
          <w:p>
            <w:r>
              <w:rPr>
                <w:sz w:val="14"/>
              </w:rPr>
            </w:r>
          </w:p>
        </w:tc>
      </w:tr>
    </w:tbl>
    <w:p>
      <w:r>
        <w:rPr>
          <w:sz w:val="16"/>
        </w:rPr>
        <w:t>Table 4.4 — End-to-end times on the route by mode (Output/alternatives/time_on_route.csv). The LRT through line runs 74.3 min Prioritized / 99.6 min Unprioritized from Tirat Carmel to Nazareth (extension 40.7 / 65.8 min; main route 33.7 min at 80 km/h with 10 s dwell).</w:t>
      </w:r>
    </w:p>
    <w:p>
      <w:pPr>
        <w:pStyle w:val="Heading2"/>
      </w:pPr>
      <w:r>
        <w:t>4.7 Maps</w:t>
      </w:r>
    </w:p>
    <w:p>
      <w:r>
        <w:t>The map set of the alternatives report (Output/figures/alternatives/, 41 maps: line loads, origins and destinations of the LRT trips, LRT share, growth, shift sources and rates, travel-time maps) applies to these runs; four are reproduced here.</w:t>
      </w:r>
    </w:p>
    <w:p>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map_line_loads_AM_HS_2050.png"/>
                    <pic:cNvPicPr/>
                  </pic:nvPicPr>
                  <pic:blipFill>
                    <a:blip r:embed="rId29"/>
                    <a:stretch>
                      <a:fillRect/>
                    </a:stretch>
                  </pic:blipFill>
                  <pic:spPr>
                    <a:xfrm>
                      <a:off x="0" y="0"/>
                      <a:ext cx="5760000" cy="4680000"/>
                    </a:xfrm>
                    <a:prstGeom prst="rect"/>
                  </pic:spPr>
                </pic:pic>
              </a:graphicData>
            </a:graphic>
          </wp:inline>
        </w:drawing>
      </w:r>
    </w:p>
    <w:p>
      <w:r>
        <w:rPr>
          <w:i/>
          <w:sz w:val="16"/>
        </w:rPr>
        <w:t>Figure 4.12 — LRT line loads and station boardings in the peak hour, HS 2050 AM.</w:t>
      </w:r>
    </w:p>
    <w:p>
      <w:r>
        <w:drawing>
          <wp:inline xmlns:a="http://schemas.openxmlformats.org/drawingml/2006/main" xmlns:pic="http://schemas.openxmlformats.org/drawingml/2006/picture">
            <wp:extent cx="5760000" cy="4680000"/>
            <wp:docPr id="22" name="Picture 22"/>
            <wp:cNvGraphicFramePr>
              <a:graphicFrameLocks noChangeAspect="1"/>
            </wp:cNvGraphicFramePr>
            <a:graphic>
              <a:graphicData uri="http://schemas.openxmlformats.org/drawingml/2006/picture">
                <pic:pic>
                  <pic:nvPicPr>
                    <pic:cNvPr id="0" name="map_growth_by_scenario_AM.png"/>
                    <pic:cNvPicPr/>
                  </pic:nvPicPr>
                  <pic:blipFill>
                    <a:blip r:embed="rId30"/>
                    <a:stretch>
                      <a:fillRect/>
                    </a:stretch>
                  </pic:blipFill>
                  <pic:spPr>
                    <a:xfrm>
                      <a:off x="0" y="0"/>
                      <a:ext cx="5760000" cy="4680000"/>
                    </a:xfrm>
                    <a:prstGeom prst="rect"/>
                  </pic:spPr>
                </pic:pic>
              </a:graphicData>
            </a:graphic>
          </wp:inline>
        </w:drawing>
      </w:r>
    </w:p>
    <w:p>
      <w:r>
        <w:rPr>
          <w:i/>
          <w:sz w:val="16"/>
        </w:rPr>
        <w:t>Figure 4.13 — Growth of the LRT trips by TAZ, 2022 → each scenario, AM peak hour.</w:t>
      </w:r>
    </w:p>
    <w:p>
      <w:r>
        <w:drawing>
          <wp:inline xmlns:a="http://schemas.openxmlformats.org/drawingml/2006/main" xmlns:pic="http://schemas.openxmlformats.org/drawingml/2006/picture">
            <wp:extent cx="5760000" cy="1832727"/>
            <wp:docPr id="23" name="Picture 23"/>
            <wp:cNvGraphicFramePr>
              <a:graphicFrameLocks noChangeAspect="1"/>
            </wp:cNvGraphicFramePr>
            <a:graphic>
              <a:graphicData uri="http://schemas.openxmlformats.org/drawingml/2006/picture">
                <pic:pic>
                  <pic:nvPicPr>
                    <pic:cNvPr id="0" name="map_shift_sources_AM_BU_2040.png"/>
                    <pic:cNvPicPr/>
                  </pic:nvPicPr>
                  <pic:blipFill>
                    <a:blip r:embed="rId31"/>
                    <a:stretch>
                      <a:fillRect/>
                    </a:stretch>
                  </pic:blipFill>
                  <pic:spPr>
                    <a:xfrm>
                      <a:off x="0" y="0"/>
                      <a:ext cx="5760000" cy="1832727"/>
                    </a:xfrm>
                    <a:prstGeom prst="rect"/>
                  </pic:spPr>
                </pic:pic>
              </a:graphicData>
            </a:graphic>
          </wp:inline>
        </w:drawing>
      </w:r>
    </w:p>
    <w:p>
      <w:r>
        <w:rPr>
          <w:i/>
          <w:sz w:val="16"/>
        </w:rPr>
        <w:t>Figure 4.14 — Sources of the LRT trips by TAZ (car, Metronit, bus), BU 2040 AM peak hour.</w:t>
      </w:r>
    </w:p>
    <w:p>
      <w:r>
        <w:drawing>
          <wp:inline xmlns:a="http://schemas.openxmlformats.org/drawingml/2006/main" xmlns:pic="http://schemas.openxmlformats.org/drawingml/2006/picture">
            <wp:extent cx="5760000" cy="1832727"/>
            <wp:docPr id="24" name="Picture 24"/>
            <wp:cNvGraphicFramePr>
              <a:graphicFrameLocks noChangeAspect="1"/>
            </wp:cNvGraphicFramePr>
            <a:graphic>
              <a:graphicData uri="http://schemas.openxmlformats.org/drawingml/2006/picture">
                <pic:pic>
                  <pic:nvPicPr>
                    <pic:cNvPr id="0" name="map_time_lrt_vs_bus_AM.png"/>
                    <pic:cNvPicPr/>
                  </pic:nvPicPr>
                  <pic:blipFill>
                    <a:blip r:embed="rId32"/>
                    <a:stretch>
                      <a:fillRect/>
                    </a:stretch>
                  </pic:blipFill>
                  <pic:spPr>
                    <a:xfrm>
                      <a:off x="0" y="0"/>
                      <a:ext cx="5760000" cy="1832727"/>
                    </a:xfrm>
                    <a:prstGeom prst="rect"/>
                  </pic:spPr>
                </pic:pic>
              </a:graphicData>
            </a:graphic>
          </wp:inline>
        </w:drawing>
      </w:r>
    </w:p>
    <w:p>
      <w:r>
        <w:rPr>
          <w:i/>
          <w:sz w:val="16"/>
        </w:rPr>
        <w:t>Figure 4.15 — LRT against bus generalized cost by TAZ, AM.</w:t>
      </w:r>
    </w:p>
    <w:p>
      <w:pPr>
        <w:pStyle w:val="Heading1"/>
      </w:pPr>
      <w:r>
        <w:t>5. Conclusions</w:t>
      </w:r>
    </w:p>
    <w:p>
      <w:pPr>
        <w:pStyle w:val="ListBullet"/>
      </w:pPr>
      <w:r>
        <w:t>Demand. The through line (main route + extension) carries 6,309 trips in the AM three hours in 2040 BU and 9,225 in 2050 HS (7,433 in 2050 BU, 7,476 in 2040 HS), that is 3,716–5,433 in the AM peak hour; the PM is 85 % of the AM. Of these, 4,950–7,010 (78 %) use the extension and 3,038–4,068 travel between extension stations only: the extension is where most of the line's riders are, the main route feeds it rather than the reverse.</w:t>
      </w:r>
    </w:p>
    <w:p>
      <w:pPr>
        <w:pStyle w:val="ListBullet"/>
      </w:pPr>
      <w:r>
        <w:t>Sources. The LRT is first a transit reorganisation: 3,308–4,548 trips come from the Metronit (33 % of its corridor trips), 2,648–3,365 from the bus, and 353–1,311 from the car (0.5 % of the corridor car trips). The transit share of the corridor market rises by about 0.4 points; the LRT takes 33 % of transit.</w:t>
      </w:r>
    </w:p>
    <w:p>
      <w:pPr>
        <w:pStyle w:val="ListBullet"/>
      </w:pPr>
      <w:r>
        <w:t>Profile. In the AM the busiest segment is the entry into Hamifrats from the main route (S24–M02) in the direction towards Tirat Carmel, 2,114 (2040 BU) to 3,058 (2050 HS) passengers in three hours, 966–1,397 in the peak hour; in the direction towards Nazareth the peak is on the Carmel coast (S14–S15, 765–1,054 in the peak hour). In the PM the two directions nearly balance (S24–M02 towards Nazareth 687–753 in the peak hour; S05–S06 or S11–S12 towards Tirat Carmel 501–787). The main route beyond Kiryat Ata (M06 onwards) carries a few hundred per direction; the extension carries 4 of 5 riders.</w:t>
      </w:r>
    </w:p>
    <w:p>
      <w:pPr>
        <w:pStyle w:val="ListBullet"/>
      </w:pPr>
      <w:r>
        <w:t>Growth. Between 2040 BU and 2050 HS the LRT demand grows by about 45 %, in step with the corridor transit market (×1.3–1.5 on 2022), because the forecast holds behaviour at 2022; the HS scenario adds 15–25 % over BU in the same year.</w:t>
      </w:r>
    </w:p>
    <w:p>
      <w:pPr>
        <w:pStyle w:val="ListBullet"/>
      </w:pPr>
      <w:r>
        <w:t>Regime. Priority at the interchanges is worth about 20–25 % of the LRT trips: at-grade running of the extension lengthens its end-to-end time from 41 to 66 minutes and loses a fifth of the riders, mostly on the extension.</w:t>
      </w:r>
    </w:p>
    <w:p>
      <w:pPr>
        <w:pStyle w:val="ListBullet"/>
      </w:pPr>
      <w:r>
        <w:t>Robustness. The central figures sit within a range of about −25 % / +40 % from the cost sensitivity and the LRT premium alone (step 40); the car-to-LRT shift is the least certain component (caveats 15, 25, 27) and should be read as an order of magnitude; the bus and Metronit shifts rest on observed shares and measured service and are the firmer part.</w:t>
      </w:r>
    </w:p>
    <w:p>
      <w:pPr>
        <w:pStyle w:val="ListBullet"/>
      </w:pPr>
      <w:r>
        <w:t>Fitness. The results support the sizing and location of the extension's market, the ranking of the regimes, and the design-hour scale of the trunk load. They do not support capacity, fleet or frequency decisions or an appraisal without a validated assignment and a full mode-choice model; the next steps are a purpose split of the survey, a PM-specific forecast, the main route's operating plan, and a choice-rider λ from a stated-preference or a revealed choice set with the car cost in it.</w:t>
      </w:r>
    </w:p>
    <w:p>
      <w:r>
        <w:t>Repository record: METHODOLOGY.md §6aq (step 45) and §8; docs/PLAIN_ENGLISH_METHODOLOGY.md Part 5; the alternatives report reports/LRT_Alternatives_Demand_Report.docx and its workbook Output/alternatives/LRT_alternatives_matrices.xlsx; this report's builder tools/build_comprehensive_report.py.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