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i w:val="0"/>
          <w:color w:val="52514E"/>
          <w:sz w:val="24"/>
        </w:rPr>
        <w:t>Nofit LRT Extension</w:t>
      </w:r>
    </w:p>
    <w:p>
      <w:pPr>
        <w:spacing w:after="80"/>
      </w:pPr>
      <w:r>
        <w:rPr>
          <w:b/>
          <w:i w:val="0"/>
          <w:sz w:val="44"/>
        </w:rPr>
        <w:t>Building the Car, Bus, Taxi-type and Rail Demand Matrices from the Travel Habits Survey</w:t>
      </w:r>
    </w:p>
    <w:p>
      <w:pPr>
        <w:spacing w:after="200"/>
      </w:pPr>
      <w:r>
        <w:rPr>
          <w:i w:val="0"/>
          <w:color w:val="52514E"/>
          <w:sz w:val="24"/>
        </w:rPr>
        <w:t>Methodology, tests and results, in plain language — revision 2</w:t>
      </w:r>
    </w:p>
    <w:p>
      <w:pPr>
        <w:spacing w:after="20"/>
      </w:pPr>
      <w:r>
        <w:rPr>
          <w:i w:val="0"/>
          <w:sz w:val="20"/>
        </w:rPr>
        <w:t>Date: 21 September 2026 (revision 1: 20 September 2026)</w:t>
      </w:r>
    </w:p>
    <w:p>
      <w:pPr>
        <w:spacing w:after="20"/>
      </w:pPr>
      <w:r>
        <w:rPr>
          <w:i w:val="0"/>
          <w:sz w:val="20"/>
        </w:rPr>
        <w:t>Notebooks: THS_2017_cosine_GEH_tests, THS_2017_KS_tests, THS_2017_MSSIM_tests, Hybrid_superzone_conservation_test, THS_2017_two_mode_matrix, THS_2017_three_mode_2022, Corridor_flow_profile_survey_2022, Corridor_profile_hybrid_vs_ticketing</w:t>
      </w:r>
    </w:p>
    <w:p>
      <w:pPr>
        <w:spacing w:after="160"/>
      </w:pPr>
      <w:r>
        <w:rPr>
          <w:i w:val="0"/>
          <w:sz w:val="20"/>
        </w:rPr>
        <w:t>Outputs: Output/ths2017/tests/, Output/ths2017/two_mode/, Output/ths2017/three_mode_2022/</w:t>
      </w:r>
    </w:p>
    <w:p>
      <w:r>
        <w:rPr>
          <w:b/>
        </w:rPr>
        <w:t xml:space="preserve">What changed in revision 2. </w:t>
      </w:r>
      <w:r>
        <w:t>An external methodology review dated 21 September 2026 (Nofit_Demand_Methodology_Review.md in the repository) was assessed point by point and the work re-run where it was right. Four things changed: the ticketing coverage rule is applied per origin superzone and destination segment instead of per whole origin; taxi-type modes are a separate layer and no longer part of the bus matrix; the corridor profiles are labelled as three-hour potential movements rather than loads; and a new test shows that the earlier survey × cellular hybrid does not reproduce its own superzone totals, so the hybrid is now labelled historical. Every number below is the current one. Sections 4.1 to 4.5 (the similarity tests) are unchanged in substance, with the wording about the "day-to-day ceiling" corrected.</w:t>
      </w:r>
    </w:p>
    <w:p>
      <w:pPr>
        <w:pStyle w:val="Heading1"/>
      </w:pPr>
      <w:r>
        <w:t>1. Summary</w:t>
      </w:r>
    </w:p>
    <w:p>
      <w:r>
        <w:rPr>
          <w:i w:val="0"/>
        </w:rPr>
        <w:t>This report explains how a set of morning-peak travel demand matrices was built for the Nofit LRT extension study from the household travel survey, how it was tested, and what the results say. It is written for readers who know what a demand matrix is but do not want to read the code.</w:t>
      </w:r>
    </w:p>
    <w:p>
      <w:r>
        <w:rPr>
          <w:i w:val="0"/>
        </w:rPr>
        <w:t>Four pieces of work are covered:</w:t>
      </w:r>
    </w:p>
    <w:p>
      <w:pPr>
        <w:pStyle w:val="ListBullet"/>
      </w:pPr>
      <w:r>
        <w:rPr>
          <w:b/>
        </w:rPr>
        <w:t xml:space="preserve">Tests. </w:t>
      </w:r>
      <w:r>
        <w:rPr>
          <w:i w:val="0"/>
        </w:rPr>
        <w:t>Similarity tests (cosine similarity, GEH, Kolmogorov–Smirnov, structural similarity) comparing the household survey matrix, the cellular-phone matrix and the hybrid that combines them, plus a conservation test of the hybrid itself.</w:t>
      </w:r>
    </w:p>
    <w:p>
      <w:pPr>
        <w:pStyle w:val="ListBullet"/>
      </w:pPr>
      <w:r>
        <w:rPr>
          <w:b/>
        </w:rPr>
        <w:t xml:space="preserve">A survey-only matrix. </w:t>
      </w:r>
      <w:r>
        <w:rPr>
          <w:i w:val="0"/>
        </w:rPr>
        <w:t>A matrix built only from the survey trips file, split into car and transit, with the bus part corrected using RavKav ticketing data and the on-board bus survey, segment by segment.</w:t>
      </w:r>
    </w:p>
    <w:p>
      <w:pPr>
        <w:pStyle w:val="ListBullet"/>
      </w:pPr>
      <w:r>
        <w:rPr>
          <w:b/>
        </w:rPr>
        <w:t xml:space="preserve">A 2022 base. </w:t>
      </w:r>
      <w:r>
        <w:rPr>
          <w:i w:val="0"/>
        </w:rPr>
        <w:t>That matrix moved from 2018 to 2022 and split into four layers: car, bus, taxi-type and rail.</w:t>
      </w:r>
    </w:p>
    <w:p>
      <w:pPr>
        <w:pStyle w:val="ListBullet"/>
      </w:pPr>
      <w:r>
        <w:rPr>
          <w:b/>
        </w:rPr>
        <w:t xml:space="preserve">Corridor profiles. </w:t>
      </w:r>
      <w:r>
        <w:rPr>
          <w:i w:val="0"/>
        </w:rPr>
        <w:t>The 2022 layers laid along the LRT line as potential movements, and compared with the ticketing-based profile.</w:t>
      </w:r>
    </w:p>
    <w:p>
      <w:pPr>
        <w:pStyle w:val="Heading2"/>
      </w:pPr>
      <w:r>
        <w:t>The main numbers</w:t>
      </w:r>
    </w:p>
    <w:tbl>
      <w:tblPr>
        <w:tblStyle w:val="TableGrid"/>
        <w:tblW w:type="auto" w:w="0"/>
        <w:jc w:val="center"/>
        <w:tblLook w:firstColumn="1" w:firstRow="1" w:lastColumn="0" w:lastRow="0" w:noHBand="0" w:noVBand="1" w:val="04A0"/>
      </w:tblPr>
      <w:tblGrid>
        <w:gridCol w:w="3009"/>
        <w:gridCol w:w="3009"/>
        <w:gridCol w:w="3009"/>
      </w:tblGrid>
      <w:tr>
        <w:tc>
          <w:tcPr>
            <w:tcW w:type="dxa" w:w="5386"/>
            <w:shd w:val="clear" w:color="auto" w:fill="E8EEF6"/>
          </w:tcPr>
          <w:p>
            <w:pPr>
              <w:spacing w:after="20"/>
            </w:pPr>
            <w:r/>
            <w:r>
              <w:rPr>
                <w:b/>
                <w:sz w:val="18"/>
              </w:rPr>
              <w:t>Layer (morning peak 06:00–09:00, both trip ends in the study area)</w:t>
            </w:r>
          </w:p>
        </w:tc>
        <w:tc>
          <w:tcPr>
            <w:tcW w:type="dxa" w:w="1701"/>
            <w:shd w:val="clear" w:color="auto" w:fill="E8EEF6"/>
          </w:tcPr>
          <w:p>
            <w:pPr>
              <w:spacing w:after="20"/>
            </w:pPr>
            <w:r/>
            <w:r>
              <w:rPr>
                <w:b/>
                <w:sz w:val="18"/>
              </w:rPr>
              <w:t>2018 base</w:t>
            </w:r>
          </w:p>
        </w:tc>
        <w:tc>
          <w:tcPr>
            <w:tcW w:type="dxa" w:w="1701"/>
            <w:shd w:val="clear" w:color="auto" w:fill="E8EEF6"/>
          </w:tcPr>
          <w:p>
            <w:pPr>
              <w:spacing w:after="20"/>
            </w:pPr>
            <w:r/>
            <w:r>
              <w:rPr>
                <w:b/>
                <w:sz w:val="18"/>
              </w:rPr>
              <w:t>2022 base</w:t>
            </w:r>
          </w:p>
        </w:tc>
      </w:tr>
      <w:tr>
        <w:tc>
          <w:tcPr>
            <w:tcW w:type="dxa" w:w="5386"/>
          </w:tcPr>
          <w:p>
            <w:pPr>
              <w:spacing w:after="20"/>
            </w:pPr>
            <w:r/>
            <w:r>
              <w:rPr>
                <w:sz w:val="18"/>
              </w:rPr>
              <w:t>Car</w:t>
            </w:r>
          </w:p>
        </w:tc>
        <w:tc>
          <w:tcPr>
            <w:tcW w:type="dxa" w:w="1701"/>
          </w:tcPr>
          <w:p>
            <w:pPr>
              <w:spacing w:after="20"/>
              <w:jc w:val="right"/>
            </w:pPr>
            <w:r/>
            <w:r>
              <w:rPr>
                <w:sz w:val="18"/>
              </w:rPr>
              <w:t>1,283,589</w:t>
            </w:r>
          </w:p>
        </w:tc>
        <w:tc>
          <w:tcPr>
            <w:tcW w:type="dxa" w:w="1701"/>
          </w:tcPr>
          <w:p>
            <w:pPr>
              <w:spacing w:after="20"/>
              <w:jc w:val="right"/>
            </w:pPr>
            <w:r/>
            <w:r>
              <w:rPr>
                <w:sz w:val="18"/>
              </w:rPr>
              <w:t>1,353,798</w:t>
            </w:r>
          </w:p>
        </w:tc>
      </w:tr>
      <w:tr>
        <w:tc>
          <w:tcPr>
            <w:tcW w:type="dxa" w:w="5386"/>
          </w:tcPr>
          <w:p>
            <w:pPr>
              <w:spacing w:after="20"/>
            </w:pPr>
            <w:r/>
            <w:r>
              <w:rPr>
                <w:sz w:val="18"/>
              </w:rPr>
              <w:t>Bus (public bus and Matronit, calibrated)</w:t>
            </w:r>
          </w:p>
        </w:tc>
        <w:tc>
          <w:tcPr>
            <w:tcW w:type="dxa" w:w="1701"/>
          </w:tcPr>
          <w:p>
            <w:pPr>
              <w:spacing w:after="20"/>
              <w:jc w:val="right"/>
            </w:pPr>
            <w:r/>
            <w:r>
              <w:rPr>
                <w:sz w:val="18"/>
              </w:rPr>
              <w:t>126,117</w:t>
            </w:r>
          </w:p>
        </w:tc>
        <w:tc>
          <w:tcPr>
            <w:tcW w:type="dxa" w:w="1701"/>
          </w:tcPr>
          <w:p>
            <w:pPr>
              <w:spacing w:after="20"/>
              <w:jc w:val="right"/>
            </w:pPr>
            <w:r/>
            <w:r>
              <w:rPr>
                <w:sz w:val="18"/>
              </w:rPr>
              <w:t>129,653</w:t>
            </w:r>
          </w:p>
        </w:tc>
      </w:tr>
      <w:tr>
        <w:tc>
          <w:tcPr>
            <w:tcW w:type="dxa" w:w="5386"/>
          </w:tcPr>
          <w:p>
            <w:pPr>
              <w:spacing w:after="20"/>
            </w:pPr>
            <w:r/>
            <w:r>
              <w:rPr>
                <w:sz w:val="18"/>
              </w:rPr>
              <w:t>Taxi-type (special and group taxi, survey only)</w:t>
            </w:r>
          </w:p>
        </w:tc>
        <w:tc>
          <w:tcPr>
            <w:tcW w:type="dxa" w:w="1701"/>
          </w:tcPr>
          <w:p>
            <w:pPr>
              <w:spacing w:after="20"/>
              <w:jc w:val="right"/>
            </w:pPr>
            <w:r/>
            <w:r>
              <w:rPr>
                <w:sz w:val="18"/>
              </w:rPr>
              <w:t>18,266</w:t>
            </w:r>
          </w:p>
        </w:tc>
        <w:tc>
          <w:tcPr>
            <w:tcW w:type="dxa" w:w="1701"/>
          </w:tcPr>
          <w:p>
            <w:pPr>
              <w:spacing w:after="20"/>
              <w:jc w:val="right"/>
            </w:pPr>
            <w:r/>
            <w:r>
              <w:rPr>
                <w:sz w:val="18"/>
              </w:rPr>
              <w:t>19,359</w:t>
            </w:r>
          </w:p>
        </w:tc>
      </w:tr>
      <w:tr>
        <w:tc>
          <w:tcPr>
            <w:tcW w:type="dxa" w:w="5386"/>
          </w:tcPr>
          <w:p>
            <w:pPr>
              <w:spacing w:after="20"/>
            </w:pPr>
            <w:r/>
            <w:r>
              <w:rPr>
                <w:sz w:val="18"/>
              </w:rPr>
              <w:t>Rail (door-to-door survey trips)</w:t>
            </w:r>
          </w:p>
        </w:tc>
        <w:tc>
          <w:tcPr>
            <w:tcW w:type="dxa" w:w="1701"/>
          </w:tcPr>
          <w:p>
            <w:pPr>
              <w:spacing w:after="20"/>
              <w:jc w:val="right"/>
            </w:pPr>
            <w:r/>
            <w:r>
              <w:rPr>
                <w:sz w:val="18"/>
              </w:rPr>
              <w:t>5,109</w:t>
            </w:r>
          </w:p>
        </w:tc>
        <w:tc>
          <w:tcPr>
            <w:tcW w:type="dxa" w:w="1701"/>
          </w:tcPr>
          <w:p>
            <w:pPr>
              <w:spacing w:after="20"/>
              <w:jc w:val="right"/>
            </w:pPr>
            <w:r/>
            <w:r>
              <w:rPr>
                <w:sz w:val="18"/>
              </w:rPr>
              <w:t>4,050</w:t>
            </w:r>
          </w:p>
        </w:tc>
      </w:tr>
      <w:tr>
        <w:tc>
          <w:tcPr>
            <w:tcW w:type="dxa" w:w="5386"/>
          </w:tcPr>
          <w:p>
            <w:pPr>
              <w:spacing w:after="20"/>
            </w:pPr>
            <w:r/>
            <w:r>
              <w:rPr>
                <w:sz w:val="18"/>
              </w:rPr>
              <w:t>Bus share of car + bus + taxi + rail</w:t>
            </w:r>
          </w:p>
        </w:tc>
        <w:tc>
          <w:tcPr>
            <w:tcW w:type="dxa" w:w="1701"/>
          </w:tcPr>
          <w:p>
            <w:pPr>
              <w:spacing w:after="20"/>
              <w:jc w:val="right"/>
            </w:pPr>
            <w:r/>
            <w:r>
              <w:rPr>
                <w:sz w:val="18"/>
              </w:rPr>
              <w:t>8.8 %</w:t>
            </w:r>
          </w:p>
        </w:tc>
        <w:tc>
          <w:tcPr>
            <w:tcW w:type="dxa" w:w="1701"/>
          </w:tcPr>
          <w:p>
            <w:pPr>
              <w:spacing w:after="20"/>
              <w:jc w:val="right"/>
            </w:pPr>
            <w:r/>
            <w:r>
              <w:rPr>
                <w:sz w:val="18"/>
              </w:rPr>
              <w:t>8.6 %</w:t>
            </w:r>
          </w:p>
        </w:tc>
      </w:tr>
      <w:tr>
        <w:tc>
          <w:tcPr>
            <w:tcW w:type="dxa" w:w="5386"/>
          </w:tcPr>
          <w:p>
            <w:pPr>
              <w:spacing w:after="20"/>
            </w:pPr>
            <w:r/>
            <w:r>
              <w:rPr>
                <w:sz w:val="18"/>
              </w:rPr>
              <w:t>Bus share, trips with both ends in the LRT corridor</w:t>
            </w:r>
          </w:p>
        </w:tc>
        <w:tc>
          <w:tcPr>
            <w:tcW w:type="dxa" w:w="1701"/>
          </w:tcPr>
          <w:p>
            <w:pPr>
              <w:spacing w:after="20"/>
              <w:jc w:val="right"/>
            </w:pPr>
            <w:r/>
            <w:r>
              <w:rPr>
                <w:sz w:val="18"/>
              </w:rPr>
              <w:t>11.7 %</w:t>
            </w:r>
          </w:p>
        </w:tc>
        <w:tc>
          <w:tcPr>
            <w:tcW w:type="dxa" w:w="1701"/>
          </w:tcPr>
          <w:p>
            <w:pPr>
              <w:spacing w:after="20"/>
              <w:jc w:val="right"/>
            </w:pPr>
            <w:r/>
            <w:r>
              <w:rPr>
                <w:sz w:val="18"/>
              </w:rPr>
              <w:t>11.0 %</w:t>
            </w:r>
          </w:p>
        </w:tc>
      </w:tr>
    </w:tbl>
    <w:p>
      <w:pPr>
        <w:spacing w:after="40"/>
      </w:pPr>
    </w:p>
    <w:p>
      <w:pPr>
        <w:pStyle w:val="Heading2"/>
      </w:pPr>
      <w:r>
        <w:t>The main findings</w:t>
      </w:r>
    </w:p>
    <w:p>
      <w:pPr>
        <w:pStyle w:val="ListBullet"/>
      </w:pPr>
      <w:r>
        <w:rPr>
          <w:b/>
        </w:rPr>
        <w:t xml:space="preserve">Survey versus cellular. </w:t>
      </w:r>
      <w:r>
        <w:rPr>
          <w:i w:val="0"/>
        </w:rPr>
        <w:t>The two matrices agree on the broad regional pattern (cosine 0.92 at superzone level, far above chance) but disagree on volumes and trip lengths. The survey expands to 3.6 times the cellular morning volume, and the gap is largest for short trips: the survey's median trip is 2 km, the cellular one 7.6 km. Even with all trips inside one cellular zone removed, the gap stays.</w:t>
      </w:r>
    </w:p>
    <w:p>
      <w:pPr>
        <w:pStyle w:val="ListBullet"/>
      </w:pPr>
      <w:r>
        <w:rPr>
          <w:b/>
        </w:rPr>
        <w:t xml:space="preserve">The hybrid is historical. </w:t>
      </w:r>
      <w:r>
        <w:rPr>
          <w:i w:val="0"/>
        </w:rPr>
        <w:t>It equals the survey at superzone level by design, but the step that pushes it down to TAZs does not preserve the superzone-to-superzone totals: 55 of the 627 larger superzone pairs are off by more than 10 %, the worst by 49 %. A rebalanced version is published; the current base does not use the hybrid at all.</w:t>
      </w:r>
    </w:p>
    <w:p>
      <w:pPr>
        <w:pStyle w:val="ListBullet"/>
      </w:pPr>
      <w:r>
        <w:rPr>
          <w:b/>
        </w:rPr>
        <w:t xml:space="preserve">Ticketing coverage is uneven, and the gap is in local travel. </w:t>
      </w:r>
      <w:r>
        <w:rPr>
          <w:i w:val="0"/>
        </w:rPr>
        <w:t>In the Haifa metropolitan superzones the ticketing data records about as many bus journeys as the survey expands to. In Nazareth it records 8 % of the survey's trips inside the superzone but 74 % of its trips to Haifa. The coverage test is therefore applied per origin and destination segment: 28 origin-by-segment cells keep survey volumes, 17 of them local.</w:t>
      </w:r>
    </w:p>
    <w:p>
      <w:pPr>
        <w:pStyle w:val="ListBullet"/>
      </w:pPr>
      <w:r>
        <w:rPr>
          <w:b/>
        </w:rPr>
        <w:t xml:space="preserve">The calibrated bus total is above both sources. </w:t>
      </w:r>
      <w:r>
        <w:rPr>
          <w:i w:val="0"/>
        </w:rPr>
        <w:t>The rule takes ticketing volumes where ticketing sees at least half of the survey's trips (often more than the survey) and keeps the survey where it sees less than half. The bus base is 126,117 trips against 116,083 in the survey and 92,713 in the ticketing extract, and moves between 117,500 and 131,700 as the threshold moves from 0.3 to 0.7. This is an assumption, stated as such; the variants are published beside it.</w:t>
      </w:r>
    </w:p>
    <w:p>
      <w:pPr>
        <w:pStyle w:val="ListBullet"/>
      </w:pPr>
      <w:r>
        <w:rPr>
          <w:b/>
        </w:rPr>
        <w:t xml:space="preserve">Taxi-type is its own layer. </w:t>
      </w:r>
      <w:r>
        <w:rPr>
          <w:i w:val="0"/>
        </w:rPr>
        <w:t>The 18,266 special- and group-taxi trips are no longer added to bus. They were the whole reason the earlier transit profile looked 1.5 times heavier than the ticketing one towards Nazareth.</w:t>
      </w:r>
    </w:p>
    <w:p>
      <w:pPr>
        <w:pStyle w:val="ListBullet"/>
      </w:pPr>
      <w:r>
        <w:rPr>
          <w:b/>
        </w:rPr>
        <w:t xml:space="preserve">Corridor profiles are potential movements. </w:t>
      </w:r>
      <w:r>
        <w:rPr>
          <w:i w:val="0"/>
        </w:rPr>
        <w:t>The peak link carries about 1,660 transit trips over three hours in each direction in the survey-based set. These are trips between line areas that could use the line, not passenger loads. Towards Tirat Carmel the ticketing-based profile is about twice as high; the difference is boarding-stop attribution and destination frame, not coverage.</w:t>
      </w:r>
    </w:p>
    <w:p>
      <w:pPr>
        <w:pStyle w:val="ListBullet"/>
      </w:pPr>
      <w:r>
        <w:rPr>
          <w:b/>
        </w:rPr>
        <w:t xml:space="preserve">Moving to 2022. </w:t>
      </w:r>
      <w:r>
        <w:rPr>
          <w:i w:val="0"/>
        </w:rPr>
        <w:t>Car grows 5.5 % on population and employment growth; bus cells that took ticketing volumes are already at May 2022; the guarded cells, taxi-type and the survey rail are grown; rail follows the national ridership drop. Trip rates per person are held at the 2018 survey level.</w:t>
      </w:r>
    </w:p>
    <w:p>
      <w:pPr>
        <w:pStyle w:val="Heading1"/>
      </w:pPr>
      <w:r>
        <w:t>2. The data used</w:t>
      </w:r>
    </w:p>
    <w:tbl>
      <w:tblPr>
        <w:tblStyle w:val="TableGrid"/>
        <w:tblW w:type="auto" w:w="0"/>
        <w:jc w:val="center"/>
        <w:tblLook w:firstColumn="1" w:firstRow="1" w:lastColumn="0" w:lastRow="0" w:noHBand="0" w:noVBand="1" w:val="04A0"/>
      </w:tblPr>
      <w:tblGrid>
        <w:gridCol w:w="3009"/>
        <w:gridCol w:w="3009"/>
        <w:gridCol w:w="3009"/>
      </w:tblGrid>
      <w:tr>
        <w:tc>
          <w:tcPr>
            <w:tcW w:type="dxa" w:w="2381"/>
            <w:shd w:val="clear" w:color="auto" w:fill="E8EEF6"/>
          </w:tcPr>
          <w:p>
            <w:pPr>
              <w:spacing w:after="20"/>
            </w:pPr>
            <w:r/>
            <w:r>
              <w:rPr>
                <w:b/>
                <w:sz w:val="18"/>
              </w:rPr>
              <w:t>Source</w:t>
            </w:r>
          </w:p>
        </w:tc>
        <w:tc>
          <w:tcPr>
            <w:tcW w:type="dxa" w:w="3402"/>
            <w:shd w:val="clear" w:color="auto" w:fill="E8EEF6"/>
          </w:tcPr>
          <w:p>
            <w:pPr>
              <w:spacing w:after="20"/>
            </w:pPr>
            <w:r/>
            <w:r>
              <w:rPr>
                <w:b/>
                <w:sz w:val="18"/>
              </w:rPr>
              <w:t>What it is</w:t>
            </w:r>
          </w:p>
        </w:tc>
        <w:tc>
          <w:tcPr>
            <w:tcW w:type="dxa" w:w="3231"/>
            <w:shd w:val="clear" w:color="auto" w:fill="E8EEF6"/>
          </w:tcPr>
          <w:p>
            <w:pPr>
              <w:spacing w:after="20"/>
            </w:pPr>
            <w:r/>
            <w:r>
              <w:rPr>
                <w:b/>
                <w:sz w:val="18"/>
              </w:rPr>
              <w:t>How it is used here</w:t>
            </w:r>
          </w:p>
        </w:tc>
      </w:tr>
      <w:tr>
        <w:tc>
          <w:tcPr>
            <w:tcW w:type="dxa" w:w="2381"/>
          </w:tcPr>
          <w:p>
            <w:pPr>
              <w:spacing w:after="20"/>
            </w:pPr>
            <w:r/>
            <w:r>
              <w:rPr>
                <w:sz w:val="18"/>
              </w:rPr>
              <w:t>Travel Habits Survey 2018, trips file (trips_ths_2017.xlsx)</w:t>
            </w:r>
          </w:p>
        </w:tc>
        <w:tc>
          <w:tcPr>
            <w:tcW w:type="dxa" w:w="3402"/>
          </w:tcPr>
          <w:p>
            <w:pPr>
              <w:spacing w:after="20"/>
            </w:pPr>
            <w:r/>
            <w:r>
              <w:rPr>
                <w:sz w:val="18"/>
              </w:rPr>
              <w:t>One row per activity for 16,401 surveyed persons on two survey days, with the mode used to reach each place and a household expansion weight.</w:t>
            </w:r>
          </w:p>
        </w:tc>
        <w:tc>
          <w:tcPr>
            <w:tcW w:type="dxa" w:w="3231"/>
          </w:tcPr>
          <w:p>
            <w:pPr>
              <w:spacing w:after="20"/>
            </w:pPr>
            <w:r/>
            <w:r>
              <w:rPr>
                <w:sz w:val="18"/>
              </w:rPr>
              <w:t>The base of everything: trips are formed from consecutive activities, kept if they leave between 06:00 and 09:00, and expanded.</w:t>
            </w:r>
          </w:p>
        </w:tc>
      </w:tr>
      <w:tr>
        <w:tc>
          <w:tcPr>
            <w:tcW w:type="dxa" w:w="2381"/>
          </w:tcPr>
          <w:p>
            <w:pPr>
              <w:spacing w:after="20"/>
            </w:pPr>
            <w:r/>
            <w:r>
              <w:rPr>
                <w:sz w:val="18"/>
              </w:rPr>
              <w:t>Cellular OD matrix 2018–19</w:t>
            </w:r>
          </w:p>
        </w:tc>
        <w:tc>
          <w:tcPr>
            <w:tcW w:type="dxa" w:w="3402"/>
          </w:tcPr>
          <w:p>
            <w:pPr>
              <w:spacing w:after="20"/>
            </w:pPr>
            <w:r/>
            <w:r>
              <w:rPr>
                <w:sz w:val="18"/>
              </w:rPr>
              <w:t>Morning-peak trips between 1,270 national zones, an average weekday, derived from phone movements.</w:t>
            </w:r>
          </w:p>
        </w:tc>
        <w:tc>
          <w:tcPr>
            <w:tcW w:type="dxa" w:w="3231"/>
          </w:tcPr>
          <w:p>
            <w:pPr>
              <w:spacing w:after="20"/>
            </w:pPr>
            <w:r/>
            <w:r>
              <w:rPr>
                <w:sz w:val="18"/>
              </w:rPr>
              <w:t>Only in the tests, as the second view of the same travel; and, in the historical pipeline, to split survey zones into TAZs.</w:t>
            </w:r>
          </w:p>
        </w:tc>
      </w:tr>
      <w:tr>
        <w:tc>
          <w:tcPr>
            <w:tcW w:type="dxa" w:w="2381"/>
          </w:tcPr>
          <w:p>
            <w:pPr>
              <w:spacing w:after="20"/>
            </w:pPr>
            <w:r/>
            <w:r>
              <w:rPr>
                <w:sz w:val="18"/>
              </w:rPr>
              <w:t>RavKav bus ticketing, May 2022</w:t>
            </w:r>
          </w:p>
        </w:tc>
        <w:tc>
          <w:tcPr>
            <w:tcW w:type="dxa" w:w="3402"/>
          </w:tcPr>
          <w:p>
            <w:pPr>
              <w:spacing w:after="20"/>
            </w:pPr>
            <w:r/>
            <w:r>
              <w:rPr>
                <w:sz w:val="18"/>
              </w:rPr>
              <w:t>Every bus journey on four Tuesdays: boarding and alighting stops, with transfers linked so a journey is counted once.</w:t>
            </w:r>
          </w:p>
        </w:tc>
        <w:tc>
          <w:tcPr>
            <w:tcW w:type="dxa" w:w="3231"/>
          </w:tcPr>
          <w:p>
            <w:pPr>
              <w:spacing w:after="20"/>
            </w:pPr>
            <w:r/>
            <w:r>
              <w:rPr>
                <w:sz w:val="18"/>
              </w:rPr>
              <w:t>Sets how many bus journeys start in each superzone and segment where its coverage is credible; the sensitivity variants use it everywhere.</w:t>
            </w:r>
          </w:p>
        </w:tc>
      </w:tr>
      <w:tr>
        <w:tc>
          <w:tcPr>
            <w:tcW w:type="dxa" w:w="2381"/>
          </w:tcPr>
          <w:p>
            <w:pPr>
              <w:spacing w:after="20"/>
            </w:pPr>
            <w:r/>
            <w:r>
              <w:rPr>
                <w:sz w:val="18"/>
              </w:rPr>
              <w:t>On-board bus survey, 06:00–09:00</w:t>
            </w:r>
          </w:p>
        </w:tc>
        <w:tc>
          <w:tcPr>
            <w:tcW w:type="dxa" w:w="3402"/>
          </w:tcPr>
          <w:p>
            <w:pPr>
              <w:spacing w:after="20"/>
            </w:pPr>
            <w:r/>
            <w:r>
              <w:rPr>
                <w:sz w:val="18"/>
              </w:rPr>
              <w:t>For each boarding zone, where passengers said they were going.</w:t>
            </w:r>
          </w:p>
        </w:tc>
        <w:tc>
          <w:tcPr>
            <w:tcW w:type="dxa" w:w="3231"/>
          </w:tcPr>
          <w:p>
            <w:pPr>
              <w:spacing w:after="20"/>
            </w:pPr>
            <w:r/>
            <w:r>
              <w:rPr>
                <w:sz w:val="18"/>
              </w:rPr>
              <w:t>Sets the destination pattern of bus trips where the household survey is thin.</w:t>
            </w:r>
          </w:p>
        </w:tc>
      </w:tr>
      <w:tr>
        <w:tc>
          <w:tcPr>
            <w:tcW w:type="dxa" w:w="2381"/>
          </w:tcPr>
          <w:p>
            <w:pPr>
              <w:spacing w:after="20"/>
            </w:pPr>
            <w:r/>
            <w:r>
              <w:rPr>
                <w:sz w:val="18"/>
              </w:rPr>
              <w:t>Zonal socio-economic files 2020 and 2025</w:t>
            </w:r>
          </w:p>
        </w:tc>
        <w:tc>
          <w:tcPr>
            <w:tcW w:type="dxa" w:w="3402"/>
          </w:tcPr>
          <w:p>
            <w:pPr>
              <w:spacing w:after="20"/>
            </w:pPr>
            <w:r/>
            <w:r>
              <w:rPr>
                <w:sz w:val="18"/>
              </w:rPr>
              <w:t>Population and employment per zone, observed (2020) and forecast (2025, BU scenario).</w:t>
            </w:r>
          </w:p>
        </w:tc>
        <w:tc>
          <w:tcPr>
            <w:tcW w:type="dxa" w:w="3231"/>
          </w:tcPr>
          <w:p>
            <w:pPr>
              <w:spacing w:after="20"/>
            </w:pPr>
            <w:r/>
            <w:r>
              <w:rPr>
                <w:sz w:val="18"/>
              </w:rPr>
              <w:t>Splits big survey zones into study zones; grows the 2018 matrices to 2022.</w:t>
            </w:r>
          </w:p>
        </w:tc>
      </w:tr>
      <w:tr>
        <w:tc>
          <w:tcPr>
            <w:tcW w:type="dxa" w:w="2381"/>
          </w:tcPr>
          <w:p>
            <w:pPr>
              <w:spacing w:after="20"/>
            </w:pPr>
            <w:r/>
            <w:r>
              <w:rPr>
                <w:sz w:val="18"/>
              </w:rPr>
              <w:t>Train smartcards 2019</w:t>
            </w:r>
          </w:p>
        </w:tc>
        <w:tc>
          <w:tcPr>
            <w:tcW w:type="dxa" w:w="3402"/>
          </w:tcPr>
          <w:p>
            <w:pPr>
              <w:spacing w:after="20"/>
            </w:pPr>
            <w:r/>
            <w:r>
              <w:rPr>
                <w:sz w:val="18"/>
              </w:rPr>
              <w:t>Station-to-station morning trips.</w:t>
            </w:r>
          </w:p>
        </w:tc>
        <w:tc>
          <w:tcPr>
            <w:tcW w:type="dxa" w:w="3231"/>
          </w:tcPr>
          <w:p>
            <w:pPr>
              <w:spacing w:after="20"/>
            </w:pPr>
            <w:r/>
            <w:r>
              <w:rPr>
                <w:sz w:val="18"/>
              </w:rPr>
              <w:t>A rail alternative for corridor loading; the survey rail matrix stays the door-to-door layer.</w:t>
            </w:r>
          </w:p>
        </w:tc>
      </w:tr>
      <w:tr>
        <w:tc>
          <w:tcPr>
            <w:tcW w:type="dxa" w:w="2381"/>
          </w:tcPr>
          <w:p>
            <w:pPr>
              <w:spacing w:after="20"/>
            </w:pPr>
            <w:r/>
            <w:r>
              <w:rPr>
                <w:sz w:val="18"/>
              </w:rPr>
              <w:t>Zone keys and TAZ map</w:t>
            </w:r>
          </w:p>
        </w:tc>
        <w:tc>
          <w:tcPr>
            <w:tcW w:type="dxa" w:w="3402"/>
          </w:tcPr>
          <w:p>
            <w:pPr>
              <w:spacing w:after="20"/>
            </w:pPr>
            <w:r/>
            <w:r>
              <w:rPr>
                <w:sz w:val="18"/>
              </w:rPr>
              <w:t>Links between the survey's zone system, the cellular zones, the 778 study TAZs and 36 superzones. The keys table is stored in Git LFS; a committed copy derived from the TAZ shapefile (identical on every TAZ) stands in for it.</w:t>
            </w:r>
          </w:p>
        </w:tc>
        <w:tc>
          <w:tcPr>
            <w:tcW w:type="dxa" w:w="3231"/>
          </w:tcPr>
          <w:p>
            <w:pPr>
              <w:spacing w:after="20"/>
            </w:pPr>
            <w:r/>
            <w:r>
              <w:rPr>
                <w:sz w:val="18"/>
              </w:rPr>
              <w:t>Zone conversion; trip lengths.</w:t>
            </w:r>
          </w:p>
        </w:tc>
      </w:tr>
    </w:tbl>
    <w:p>
      <w:pPr>
        <w:spacing w:after="40"/>
      </w:pPr>
    </w:p>
    <w:p>
      <w:pPr>
        <w:pStyle w:val="Heading2"/>
      </w:pPr>
      <w:r>
        <w:t>Words used in this report</w:t>
      </w:r>
    </w:p>
    <w:p>
      <w:pPr>
        <w:pStyle w:val="ListBullet"/>
      </w:pPr>
      <w:r>
        <w:rPr>
          <w:b/>
        </w:rPr>
        <w:t xml:space="preserve">OD matrix. </w:t>
      </w:r>
      <w:r>
        <w:rPr>
          <w:i w:val="0"/>
        </w:rPr>
        <w:t>A table with one row per origin zone and one column per destination zone. Each cell holds the number of trips from that origin to that destination in the morning peak.</w:t>
      </w:r>
    </w:p>
    <w:p>
      <w:pPr>
        <w:pStyle w:val="ListBullet"/>
      </w:pPr>
      <w:r>
        <w:rPr>
          <w:b/>
        </w:rPr>
        <w:t xml:space="preserve">TAZ, superzone, sub-area, corridor. </w:t>
      </w:r>
      <w:r>
        <w:rPr>
          <w:i w:val="0"/>
        </w:rPr>
        <w:t>The 778 study zones. Superzones group them into 36 larger areas; the 28 sub-areas are named districts around the LRT corridor; the corridor itself is 119 TAZs, and 18 sub-areas form the line sequence.</w:t>
      </w:r>
    </w:p>
    <w:p>
      <w:pPr>
        <w:pStyle w:val="ListBullet"/>
      </w:pPr>
      <w:r>
        <w:rPr>
          <w:b/>
        </w:rPr>
        <w:t xml:space="preserve">Expansion weight. </w:t>
      </w:r>
      <w:r>
        <w:rPr>
          <w:i w:val="0"/>
        </w:rPr>
        <w:t>The number of real trips each surveyed trip stands for. A survey of about 4,100 households is scaled up to the whole population this way.</w:t>
      </w:r>
    </w:p>
    <w:p>
      <w:pPr>
        <w:pStyle w:val="ListBullet"/>
      </w:pPr>
      <w:r>
        <w:rPr>
          <w:b/>
        </w:rPr>
        <w:t xml:space="preserve">Destination pattern. </w:t>
      </w:r>
      <w:r>
        <w:rPr>
          <w:i w:val="0"/>
        </w:rPr>
        <w:t>The share of an origin's trips going to each destination, ignoring how many trips the origin makes.</w:t>
      </w:r>
    </w:p>
    <w:p>
      <w:pPr>
        <w:pStyle w:val="ListBullet"/>
      </w:pPr>
      <w:r>
        <w:rPr>
          <w:b/>
        </w:rPr>
        <w:t xml:space="preserve">Segment. </w:t>
      </w:r>
      <w:r>
        <w:rPr>
          <w:i w:val="0"/>
        </w:rPr>
        <w:t>For a given origin superzone, one of three groups of destinations: local (the same superzone), corridor-bound (another superzone that contains LRT-corridor TAZs), or other.</w:t>
      </w:r>
    </w:p>
    <w:p>
      <w:pPr>
        <w:pStyle w:val="ListBullet"/>
      </w:pPr>
      <w:r>
        <w:rPr>
          <w:b/>
        </w:rPr>
        <w:t xml:space="preserve">Shrinkage (empirical Bayes). </w:t>
      </w:r>
      <w:r>
        <w:rPr>
          <w:i w:val="0"/>
        </w:rPr>
        <w:t>When a survey zone has too few observations, its destination pattern is pulled part-way toward a reference pattern. The pull is weaker the more observations the zone has. The strength is a single number, k, chosen by testing on held-out data.</w:t>
      </w:r>
    </w:p>
    <w:p>
      <w:pPr>
        <w:pStyle w:val="ListBullet"/>
      </w:pPr>
      <w:r>
        <w:rPr>
          <w:b/>
        </w:rPr>
        <w:t xml:space="preserve">Furness (iterative proportional fitting). </w:t>
      </w:r>
      <w:r>
        <w:rPr>
          <w:i w:val="0"/>
        </w:rPr>
        <w:t>A standard way to scale a matrix so that its row totals and column totals hit given targets while keeping its internal pattern.</w:t>
      </w:r>
    </w:p>
    <w:p>
      <w:pPr>
        <w:pStyle w:val="ListBullet"/>
      </w:pPr>
      <w:r>
        <w:rPr>
          <w:b/>
        </w:rPr>
        <w:t xml:space="preserve">Potential movements. </w:t>
      </w:r>
      <w:r>
        <w:rPr>
          <w:i w:val="0"/>
        </w:rPr>
        <w:t>Trips between two line areas, counted on every link between them as if they all used the line. A screening quantity, not a passenger load.</w:t>
      </w:r>
    </w:p>
    <w:p>
      <w:pPr>
        <w:pStyle w:val="Heading1"/>
      </w:pPr>
      <w:r>
        <w:t>3. Part A — the survey-only matrix</w:t>
      </w:r>
    </w:p>
    <w:p>
      <w:pPr>
        <w:pStyle w:val="Heading2"/>
      </w:pPr>
      <w:r>
        <w:t>3.1 From activities to trips</w:t>
      </w:r>
    </w:p>
    <w:p>
      <w:r>
        <w:rPr>
          <w:i w:val="0"/>
        </w:rPr>
        <w:t>The survey file lists the places each person visited during the day, in order. A trip runs from one place to the next. Its departure hour is the hour the person left the first place, and its mode is the mode used to reach the second place. Trips leaving between 06:00 and 09:00 are kept. Each trip counts with its expansion weight. Trips with either end outside the study area are set aside (1,197 sampled trips, about 5 % of the weight; most surveyed rail trips are among them, and bringing them back as an external segment is an open task).</w:t>
      </w:r>
    </w:p>
    <w:p>
      <w:r>
        <w:rPr>
          <w:i w:val="0"/>
        </w:rPr>
        <w:t>The two survey days are averaged cell by cell to give a representative weekday. The two days are also kept separately. Their agreement with each other is used throughout as a reference for repeatability. It is not a ceiling: the two days are the same households, so they can agree with each other more closely than either agrees with the truth, and a matrix built from the survey can score above it.</w:t>
      </w:r>
    </w:p>
    <w:p>
      <w:pPr>
        <w:pStyle w:val="Heading2"/>
      </w:pPr>
      <w:r>
        <w:t>3.2 From survey zones to study zones without cellular data</w:t>
      </w:r>
    </w:p>
    <w:p>
      <w:r>
        <w:rPr>
          <w:i w:val="0"/>
        </w:rPr>
        <w:t>The survey records places in a national system of 2,636 zones. A key file maps them to 1,250-zone units, and each of those holds up to eight study TAZs. The earlier pipeline split trips among those TAZs using cellular flows. For the survey-only matrix, the split uses the 2020 zonal file instead: trips are shared out among a zone's TAZs by population on the origin side and by employment on the destination side. Where a zone has no population, employment is used, and where it has neither, the split is equal.</w:t>
      </w:r>
    </w:p>
    <w:p>
      <w:r>
        <w:rPr>
          <w:i w:val="0"/>
        </w:rPr>
        <w:t>Below the 1,250-zone level the TAZ detail is therefore a population / employment split, not something the survey observed. Superzone and sub-area figures are the fair level for judging the survey. The split is also purpose-blind: it is a reasonable first assumption for home-to-work trips and a weak one for education, shopping and escort trips, which is on the task list.</w:t>
      </w:r>
    </w:p>
    <w:p>
      <w:pPr>
        <w:pStyle w:val="Heading2"/>
      </w:pPr>
      <w:r>
        <w:t>3.3 Modes</w:t>
      </w:r>
    </w:p>
    <w:p>
      <w:r>
        <w:rPr>
          <w:i w:val="0"/>
        </w:rPr>
        <w:t>The trips file codes the main mode of each trip. The codes were read through the file's own mode groups and the 2018 codebook:</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814"/>
            <w:shd w:val="clear" w:color="auto" w:fill="E8EEF6"/>
          </w:tcPr>
          <w:p>
            <w:pPr>
              <w:spacing w:after="20"/>
            </w:pPr>
            <w:r/>
            <w:r>
              <w:rPr>
                <w:b/>
                <w:sz w:val="18"/>
              </w:rPr>
              <w:t>Component</w:t>
            </w:r>
          </w:p>
        </w:tc>
        <w:tc>
          <w:tcPr>
            <w:tcW w:type="dxa" w:w="2268"/>
            <w:shd w:val="clear" w:color="auto" w:fill="E8EEF6"/>
          </w:tcPr>
          <w:p>
            <w:pPr>
              <w:spacing w:after="20"/>
            </w:pPr>
            <w:r/>
            <w:r>
              <w:rPr>
                <w:b/>
                <w:sz w:val="18"/>
              </w:rPr>
              <w:t>Main mode codes</w:t>
            </w:r>
          </w:p>
        </w:tc>
        <w:tc>
          <w:tcPr>
            <w:tcW w:type="dxa" w:w="1701"/>
            <w:shd w:val="clear" w:color="auto" w:fill="E8EEF6"/>
          </w:tcPr>
          <w:p>
            <w:pPr>
              <w:spacing w:after="20"/>
            </w:pPr>
            <w:r/>
            <w:r>
              <w:rPr>
                <w:b/>
                <w:sz w:val="18"/>
              </w:rPr>
              <w:t>Weekday trips (2018)</w:t>
            </w:r>
          </w:p>
        </w:tc>
        <w:tc>
          <w:tcPr>
            <w:tcW w:type="dxa" w:w="3231"/>
            <w:shd w:val="clear" w:color="auto" w:fill="E8EEF6"/>
          </w:tcPr>
          <w:p>
            <w:pPr>
              <w:spacing w:after="20"/>
            </w:pPr>
            <w:r/>
            <w:r>
              <w:rPr>
                <w:b/>
                <w:sz w:val="18"/>
              </w:rPr>
              <w:t>Treatment</w:t>
            </w:r>
          </w:p>
        </w:tc>
      </w:tr>
      <w:tr>
        <w:tc>
          <w:tcPr>
            <w:tcW w:type="dxa" w:w="1814"/>
          </w:tcPr>
          <w:p>
            <w:pPr>
              <w:spacing w:after="20"/>
            </w:pPr>
            <w:r/>
            <w:r>
              <w:rPr>
                <w:sz w:val="18"/>
              </w:rPr>
              <w:t>Car</w:t>
            </w:r>
          </w:p>
        </w:tc>
        <w:tc>
          <w:tcPr>
            <w:tcW w:type="dxa" w:w="2268"/>
          </w:tcPr>
          <w:p>
            <w:pPr>
              <w:spacing w:after="20"/>
            </w:pPr>
            <w:r/>
            <w:r>
              <w:rPr>
                <w:sz w:val="18"/>
              </w:rPr>
              <w:t>10 driver, 11 passenger</w:t>
            </w:r>
          </w:p>
        </w:tc>
        <w:tc>
          <w:tcPr>
            <w:tcW w:type="dxa" w:w="1701"/>
          </w:tcPr>
          <w:p>
            <w:pPr>
              <w:spacing w:after="20"/>
              <w:jc w:val="right"/>
            </w:pPr>
            <w:r/>
            <w:r>
              <w:rPr>
                <w:sz w:val="18"/>
              </w:rPr>
              <w:t>1,283,589</w:t>
            </w:r>
          </w:p>
        </w:tc>
        <w:tc>
          <w:tcPr>
            <w:tcW w:type="dxa" w:w="3231"/>
          </w:tcPr>
          <w:p>
            <w:pPr>
              <w:spacing w:after="20"/>
              <w:jc w:val="right"/>
            </w:pPr>
            <w:r/>
            <w:r>
              <w:rPr>
                <w:sz w:val="18"/>
              </w:rPr>
              <w:t>Survey only</w:t>
            </w:r>
          </w:p>
        </w:tc>
      </w:tr>
      <w:tr>
        <w:tc>
          <w:tcPr>
            <w:tcW w:type="dxa" w:w="1814"/>
          </w:tcPr>
          <w:p>
            <w:pPr>
              <w:spacing w:after="20"/>
            </w:pPr>
            <w:r/>
            <w:r>
              <w:rPr>
                <w:sz w:val="18"/>
              </w:rPr>
              <w:t>Bus</w:t>
            </w:r>
          </w:p>
        </w:tc>
        <w:tc>
          <w:tcPr>
            <w:tcW w:type="dxa" w:w="2268"/>
          </w:tcPr>
          <w:p>
            <w:pPr>
              <w:spacing w:after="20"/>
            </w:pPr>
            <w:r/>
            <w:r>
              <w:rPr>
                <w:sz w:val="18"/>
              </w:rPr>
              <w:t>3 public bus, 4 Matronit</w:t>
            </w:r>
          </w:p>
        </w:tc>
        <w:tc>
          <w:tcPr>
            <w:tcW w:type="dxa" w:w="1701"/>
          </w:tcPr>
          <w:p>
            <w:pPr>
              <w:spacing w:after="20"/>
              <w:jc w:val="right"/>
            </w:pPr>
            <w:r/>
            <w:r>
              <w:rPr>
                <w:sz w:val="18"/>
              </w:rPr>
              <w:t>116,083</w:t>
            </w:r>
          </w:p>
        </w:tc>
        <w:tc>
          <w:tcPr>
            <w:tcW w:type="dxa" w:w="3231"/>
          </w:tcPr>
          <w:p>
            <w:pPr>
              <w:spacing w:after="20"/>
              <w:jc w:val="right"/>
            </w:pPr>
            <w:r/>
            <w:r>
              <w:rPr>
                <w:sz w:val="18"/>
              </w:rPr>
              <w:t>Calibrated to ticketing (Part C)</w:t>
            </w:r>
          </w:p>
        </w:tc>
      </w:tr>
      <w:tr>
        <w:tc>
          <w:tcPr>
            <w:tcW w:type="dxa" w:w="1814"/>
          </w:tcPr>
          <w:p>
            <w:pPr>
              <w:spacing w:after="20"/>
            </w:pPr>
            <w:r/>
            <w:r>
              <w:rPr>
                <w:sz w:val="18"/>
              </w:rPr>
              <w:t>Taxi-type</w:t>
            </w:r>
          </w:p>
        </w:tc>
        <w:tc>
          <w:tcPr>
            <w:tcW w:type="dxa" w:w="2268"/>
          </w:tcPr>
          <w:p>
            <w:pPr>
              <w:spacing w:after="20"/>
            </w:pPr>
            <w:r/>
            <w:r>
              <w:rPr>
                <w:sz w:val="18"/>
              </w:rPr>
              <w:t>5 special taxi, 8 group taxi</w:t>
            </w:r>
          </w:p>
        </w:tc>
        <w:tc>
          <w:tcPr>
            <w:tcW w:type="dxa" w:w="1701"/>
          </w:tcPr>
          <w:p>
            <w:pPr>
              <w:spacing w:after="20"/>
              <w:jc w:val="right"/>
            </w:pPr>
            <w:r/>
            <w:r>
              <w:rPr>
                <w:sz w:val="18"/>
              </w:rPr>
              <w:t>18,266</w:t>
            </w:r>
          </w:p>
        </w:tc>
        <w:tc>
          <w:tcPr>
            <w:tcW w:type="dxa" w:w="3231"/>
          </w:tcPr>
          <w:p>
            <w:pPr>
              <w:spacing w:after="20"/>
              <w:jc w:val="right"/>
            </w:pPr>
            <w:r/>
            <w:r>
              <w:rPr>
                <w:sz w:val="18"/>
              </w:rPr>
              <w:t>Survey only; its own layer from Part D on</w:t>
            </w:r>
          </w:p>
        </w:tc>
      </w:tr>
      <w:tr>
        <w:tc>
          <w:tcPr>
            <w:tcW w:type="dxa" w:w="1814"/>
          </w:tcPr>
          <w:p>
            <w:pPr>
              <w:spacing w:after="20"/>
            </w:pPr>
            <w:r/>
            <w:r>
              <w:rPr>
                <w:sz w:val="18"/>
              </w:rPr>
              <w:t>Rail</w:t>
            </w:r>
          </w:p>
        </w:tc>
        <w:tc>
          <w:tcPr>
            <w:tcW w:type="dxa" w:w="2268"/>
          </w:tcPr>
          <w:p>
            <w:pPr>
              <w:spacing w:after="20"/>
            </w:pPr>
            <w:r/>
            <w:r>
              <w:rPr>
                <w:sz w:val="18"/>
              </w:rPr>
              <w:t>7 train</w:t>
            </w:r>
          </w:p>
        </w:tc>
        <w:tc>
          <w:tcPr>
            <w:tcW w:type="dxa" w:w="1701"/>
          </w:tcPr>
          <w:p>
            <w:pPr>
              <w:spacing w:after="20"/>
              <w:jc w:val="right"/>
            </w:pPr>
            <w:r/>
            <w:r>
              <w:rPr>
                <w:sz w:val="18"/>
              </w:rPr>
              <w:t>5,109</w:t>
            </w:r>
          </w:p>
        </w:tc>
        <w:tc>
          <w:tcPr>
            <w:tcW w:type="dxa" w:w="3231"/>
          </w:tcPr>
          <w:p>
            <w:pPr>
              <w:spacing w:after="20"/>
              <w:jc w:val="right"/>
            </w:pPr>
            <w:r/>
            <w:r>
              <w:rPr>
                <w:sz w:val="18"/>
              </w:rPr>
              <w:t>Survey only</w:t>
            </w:r>
          </w:p>
        </w:tc>
      </w:tr>
      <w:tr>
        <w:tc>
          <w:tcPr>
            <w:tcW w:type="dxa" w:w="1814"/>
          </w:tcPr>
          <w:p>
            <w:pPr>
              <w:spacing w:after="20"/>
            </w:pPr>
            <w:r/>
            <w:r>
              <w:rPr>
                <w:sz w:val="18"/>
              </w:rPr>
              <w:t>Other (walk, bicycle, …)</w:t>
            </w:r>
          </w:p>
        </w:tc>
        <w:tc>
          <w:tcPr>
            <w:tcW w:type="dxa" w:w="2268"/>
          </w:tcPr>
          <w:p>
            <w:pPr>
              <w:spacing w:after="20"/>
            </w:pPr>
            <w:r/>
            <w:r>
              <w:rPr>
                <w:sz w:val="18"/>
              </w:rPr>
              <w:t>1, 2, 9, 12, 13, 99</w:t>
            </w:r>
          </w:p>
        </w:tc>
        <w:tc>
          <w:tcPr>
            <w:tcW w:type="dxa" w:w="1701"/>
          </w:tcPr>
          <w:p>
            <w:pPr>
              <w:spacing w:after="20"/>
              <w:jc w:val="right"/>
            </w:pPr>
            <w:r/>
            <w:r>
              <w:rPr>
                <w:sz w:val="18"/>
              </w:rPr>
              <w:t>645,111</w:t>
            </w:r>
          </w:p>
        </w:tc>
        <w:tc>
          <w:tcPr>
            <w:tcW w:type="dxa" w:w="3231"/>
          </w:tcPr>
          <w:p>
            <w:pPr>
              <w:spacing w:after="20"/>
              <w:jc w:val="right"/>
            </w:pPr>
            <w:r/>
            <w:r>
              <w:rPr>
                <w:sz w:val="18"/>
              </w:rPr>
              <w:t>Reported, not part of the car / transit matrix</w:t>
            </w:r>
          </w:p>
        </w:tc>
      </w:tr>
    </w:tbl>
    <w:p>
      <w:pPr>
        <w:spacing w:after="40"/>
      </w:pPr>
    </w:p>
    <w:p>
      <w:r>
        <w:rPr>
          <w:i w:val="0"/>
        </w:rPr>
        <w:t>The exact meaning of codes 5 and 8 has not been confirmed against the survey codebook. Hired taxis and shared taxis need not share the fares, access or transfer behaviour of scheduled bus, so they are kept apart until that is settled. Before calibration, transit (bus + taxi-type + rail) is 9.8 % of car + transit trips.</w:t>
      </w:r>
    </w:p>
    <w:p>
      <w:pPr>
        <w:pStyle w:val="Heading1"/>
      </w:pPr>
      <w:r>
        <w:t>4. Part B — how the survey compares with the cellular and hybrid matrices</w:t>
      </w:r>
    </w:p>
    <w:p>
      <w:r>
        <w:rPr>
          <w:i w:val="0"/>
        </w:rPr>
        <w:t>Four families of tests were run on three matrices: the survey (built from the trips file exactly as in the pipeline), the cellular matrix (with each cellular trip counted once when converted to TAZs), and the survey × cellular hybrid. All tests are run at four levels: 36 superzones, 25 GS zones, the 28 sub-areas and the 778 TAZs.</w:t>
      </w:r>
    </w:p>
    <w:p>
      <w:r>
        <w:rPr>
          <w:i w:val="0"/>
        </w:rPr>
        <w:t>Two references are used everywhere. The first is the survey's day 1 against its day 2: a measure of how repeatable the survey is, useful for reading the size of a difference, but not an upper bound. The second is a chance level, obtained by scrambling the geography of one matrix and repeating the test: anything at that level is meaningless.</w:t>
      </w:r>
    </w:p>
    <w:p>
      <w:pPr>
        <w:pStyle w:val="Heading2"/>
      </w:pPr>
      <w:r>
        <w:t>4.1 Cosine similarity — is the demand in the same cells?</w:t>
      </w:r>
    </w:p>
    <w:p>
      <w:r>
        <w:rPr>
          <w:i w:val="0"/>
        </w:rPr>
        <w:t>Cosine similarity lays both matrices out as long lists of cells and measures the angle between them. It equals 1 when the two lists are proportional, and it ignores the total volume. It is driven by the largest cells, so it is also computed without the diagonal (trips that stay inside one zone) and on destination patterns.</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814"/>
            <w:shd w:val="clear" w:color="auto" w:fill="E8EEF6"/>
          </w:tcPr>
          <w:p>
            <w:pPr>
              <w:spacing w:after="20"/>
            </w:pPr>
            <w:r/>
            <w:r>
              <w:rPr>
                <w:b/>
                <w:sz w:val="18"/>
              </w:rPr>
              <w:t>Level</w:t>
            </w:r>
          </w:p>
        </w:tc>
        <w:tc>
          <w:tcPr>
            <w:tcW w:type="dxa" w:w="1417"/>
            <w:shd w:val="clear" w:color="auto" w:fill="E8EEF6"/>
          </w:tcPr>
          <w:p>
            <w:pPr>
              <w:spacing w:after="20"/>
            </w:pPr>
            <w:r/>
            <w:r>
              <w:rPr>
                <w:b/>
                <w:sz w:val="18"/>
              </w:rPr>
              <w:t>Day 1 vs day 2</w:t>
            </w:r>
          </w:p>
        </w:tc>
        <w:tc>
          <w:tcPr>
            <w:tcW w:type="dxa" w:w="1417"/>
            <w:shd w:val="clear" w:color="auto" w:fill="E8EEF6"/>
          </w:tcPr>
          <w:p>
            <w:pPr>
              <w:spacing w:after="20"/>
            </w:pPr>
            <w:r/>
            <w:r>
              <w:rPr>
                <w:b/>
                <w:sz w:val="18"/>
              </w:rPr>
              <w:t>Survey vs cellular</w:t>
            </w:r>
          </w:p>
        </w:tc>
        <w:tc>
          <w:tcPr>
            <w:tcW w:type="dxa" w:w="1417"/>
            <w:shd w:val="clear" w:color="auto" w:fill="E8EEF6"/>
          </w:tcPr>
          <w:p>
            <w:pPr>
              <w:spacing w:after="20"/>
            </w:pPr>
            <w:r/>
            <w:r>
              <w:rPr>
                <w:b/>
                <w:sz w:val="18"/>
              </w:rPr>
              <w:t>Hybrid vs cellular</w:t>
            </w:r>
          </w:p>
        </w:tc>
        <w:tc>
          <w:tcPr>
            <w:tcW w:type="dxa" w:w="1417"/>
            <w:shd w:val="clear" w:color="auto" w:fill="E8EEF6"/>
          </w:tcPr>
          <w:p>
            <w:pPr>
              <w:spacing w:after="20"/>
            </w:pPr>
            <w:r/>
            <w:r>
              <w:rPr>
                <w:b/>
                <w:sz w:val="18"/>
              </w:rPr>
              <w:t>Hybrid vs survey</w:t>
            </w:r>
          </w:p>
        </w:tc>
        <w:tc>
          <w:tcPr>
            <w:tcW w:type="dxa" w:w="1417"/>
            <w:shd w:val="clear" w:color="auto" w:fill="E8EEF6"/>
          </w:tcPr>
          <w:p>
            <w:pPr>
              <w:spacing w:after="20"/>
            </w:pPr>
            <w:r/>
            <w:r>
              <w:rPr>
                <w:b/>
                <w:sz w:val="18"/>
              </w:rPr>
              <w:t>Chance level</w:t>
            </w:r>
          </w:p>
        </w:tc>
      </w:tr>
      <w:tr>
        <w:tc>
          <w:tcPr>
            <w:tcW w:type="dxa" w:w="1814"/>
          </w:tcPr>
          <w:p>
            <w:pPr>
              <w:spacing w:after="20"/>
            </w:pPr>
            <w:r/>
            <w:r>
              <w:rPr>
                <w:sz w:val="18"/>
              </w:rPr>
              <w:t>Superzone (36)</w:t>
            </w:r>
          </w:p>
        </w:tc>
        <w:tc>
          <w:tcPr>
            <w:tcW w:type="dxa" w:w="1417"/>
          </w:tcPr>
          <w:p>
            <w:pPr>
              <w:spacing w:after="20"/>
              <w:jc w:val="right"/>
            </w:pPr>
            <w:r/>
            <w:r>
              <w:rPr>
                <w:sz w:val="18"/>
              </w:rPr>
              <w:t>0.996</w:t>
            </w:r>
          </w:p>
        </w:tc>
        <w:tc>
          <w:tcPr>
            <w:tcW w:type="dxa" w:w="1417"/>
          </w:tcPr>
          <w:p>
            <w:pPr>
              <w:spacing w:after="20"/>
              <w:jc w:val="right"/>
            </w:pPr>
            <w:r/>
            <w:r>
              <w:rPr>
                <w:sz w:val="18"/>
              </w:rPr>
              <w:t>0.915</w:t>
            </w:r>
          </w:p>
        </w:tc>
        <w:tc>
          <w:tcPr>
            <w:tcW w:type="dxa" w:w="1417"/>
          </w:tcPr>
          <w:p>
            <w:pPr>
              <w:spacing w:after="20"/>
              <w:jc w:val="right"/>
            </w:pPr>
            <w:r/>
            <w:r>
              <w:rPr>
                <w:sz w:val="18"/>
              </w:rPr>
              <w:t>0.917</w:t>
            </w:r>
          </w:p>
        </w:tc>
        <w:tc>
          <w:tcPr>
            <w:tcW w:type="dxa" w:w="1417"/>
          </w:tcPr>
          <w:p>
            <w:pPr>
              <w:spacing w:after="20"/>
              <w:jc w:val="right"/>
            </w:pPr>
            <w:r/>
            <w:r>
              <w:rPr>
                <w:sz w:val="18"/>
              </w:rPr>
              <w:t>1.000</w:t>
            </w:r>
          </w:p>
        </w:tc>
        <w:tc>
          <w:tcPr>
            <w:tcW w:type="dxa" w:w="1417"/>
          </w:tcPr>
          <w:p>
            <w:pPr>
              <w:spacing w:after="20"/>
              <w:jc w:val="right"/>
            </w:pPr>
            <w:r/>
            <w:r>
              <w:rPr>
                <w:sz w:val="18"/>
              </w:rPr>
              <w:t>0.58</w:t>
            </w:r>
          </w:p>
        </w:tc>
      </w:tr>
      <w:tr>
        <w:tc>
          <w:tcPr>
            <w:tcW w:type="dxa" w:w="1814"/>
          </w:tcPr>
          <w:p>
            <w:pPr>
              <w:spacing w:after="20"/>
            </w:pPr>
            <w:r/>
            <w:r>
              <w:rPr>
                <w:sz w:val="18"/>
              </w:rPr>
              <w:t>GS (25)</w:t>
            </w:r>
          </w:p>
        </w:tc>
        <w:tc>
          <w:tcPr>
            <w:tcW w:type="dxa" w:w="1417"/>
          </w:tcPr>
          <w:p>
            <w:pPr>
              <w:spacing w:after="20"/>
              <w:jc w:val="right"/>
            </w:pPr>
            <w:r/>
            <w:r>
              <w:rPr>
                <w:sz w:val="18"/>
              </w:rPr>
              <w:t>0.999</w:t>
            </w:r>
          </w:p>
        </w:tc>
        <w:tc>
          <w:tcPr>
            <w:tcW w:type="dxa" w:w="1417"/>
          </w:tcPr>
          <w:p>
            <w:pPr>
              <w:spacing w:after="20"/>
              <w:jc w:val="right"/>
            </w:pPr>
            <w:r/>
            <w:r>
              <w:rPr>
                <w:sz w:val="18"/>
              </w:rPr>
              <w:t>0.953</w:t>
            </w:r>
          </w:p>
        </w:tc>
        <w:tc>
          <w:tcPr>
            <w:tcW w:type="dxa" w:w="1417"/>
          </w:tcPr>
          <w:p>
            <w:pPr>
              <w:spacing w:after="20"/>
              <w:jc w:val="right"/>
            </w:pPr>
            <w:r/>
            <w:r>
              <w:rPr>
                <w:sz w:val="18"/>
              </w:rPr>
              <w:t>0.963</w:t>
            </w:r>
          </w:p>
        </w:tc>
        <w:tc>
          <w:tcPr>
            <w:tcW w:type="dxa" w:w="1417"/>
          </w:tcPr>
          <w:p>
            <w:pPr>
              <w:spacing w:after="20"/>
              <w:jc w:val="right"/>
            </w:pPr>
            <w:r/>
            <w:r>
              <w:rPr>
                <w:sz w:val="18"/>
              </w:rPr>
              <w:t>0.994</w:t>
            </w:r>
          </w:p>
        </w:tc>
        <w:tc>
          <w:tcPr>
            <w:tcW w:type="dxa" w:w="1417"/>
          </w:tcPr>
          <w:p>
            <w:pPr>
              <w:spacing w:after="20"/>
              <w:jc w:val="right"/>
            </w:pPr>
            <w:r/>
            <w:r>
              <w:rPr>
                <w:sz w:val="18"/>
              </w:rPr>
              <w:t>0.28</w:t>
            </w:r>
          </w:p>
        </w:tc>
      </w:tr>
      <w:tr>
        <w:tc>
          <w:tcPr>
            <w:tcW w:type="dxa" w:w="1814"/>
          </w:tcPr>
          <w:p>
            <w:pPr>
              <w:spacing w:after="20"/>
            </w:pPr>
            <w:r/>
            <w:r>
              <w:rPr>
                <w:sz w:val="18"/>
              </w:rPr>
              <w:t>Sub-areas (28)</w:t>
            </w:r>
          </w:p>
        </w:tc>
        <w:tc>
          <w:tcPr>
            <w:tcW w:type="dxa" w:w="1417"/>
          </w:tcPr>
          <w:p>
            <w:pPr>
              <w:spacing w:after="20"/>
              <w:jc w:val="right"/>
            </w:pPr>
            <w:r/>
            <w:r>
              <w:rPr>
                <w:sz w:val="18"/>
              </w:rPr>
              <w:t>0.997</w:t>
            </w:r>
          </w:p>
        </w:tc>
        <w:tc>
          <w:tcPr>
            <w:tcW w:type="dxa" w:w="1417"/>
          </w:tcPr>
          <w:p>
            <w:pPr>
              <w:spacing w:after="20"/>
              <w:jc w:val="right"/>
            </w:pPr>
            <w:r/>
            <w:r>
              <w:rPr>
                <w:sz w:val="18"/>
              </w:rPr>
              <w:t>0.897</w:t>
            </w:r>
          </w:p>
        </w:tc>
        <w:tc>
          <w:tcPr>
            <w:tcW w:type="dxa" w:w="1417"/>
          </w:tcPr>
          <w:p>
            <w:pPr>
              <w:spacing w:after="20"/>
              <w:jc w:val="right"/>
            </w:pPr>
            <w:r/>
            <w:r>
              <w:rPr>
                <w:sz w:val="18"/>
              </w:rPr>
              <w:t>0.902</w:t>
            </w:r>
          </w:p>
        </w:tc>
        <w:tc>
          <w:tcPr>
            <w:tcW w:type="dxa" w:w="1417"/>
          </w:tcPr>
          <w:p>
            <w:pPr>
              <w:spacing w:after="20"/>
              <w:jc w:val="right"/>
            </w:pPr>
            <w:r/>
            <w:r>
              <w:rPr>
                <w:sz w:val="18"/>
              </w:rPr>
              <w:t>0.960</w:t>
            </w:r>
          </w:p>
        </w:tc>
        <w:tc>
          <w:tcPr>
            <w:tcW w:type="dxa" w:w="1417"/>
          </w:tcPr>
          <w:p>
            <w:pPr>
              <w:spacing w:after="20"/>
              <w:jc w:val="right"/>
            </w:pPr>
            <w:r/>
            <w:r>
              <w:rPr>
                <w:sz w:val="18"/>
              </w:rPr>
              <w:t>0.20</w:t>
            </w:r>
          </w:p>
        </w:tc>
      </w:tr>
      <w:tr>
        <w:tc>
          <w:tcPr>
            <w:tcW w:type="dxa" w:w="1814"/>
          </w:tcPr>
          <w:p>
            <w:pPr>
              <w:spacing w:after="20"/>
            </w:pPr>
            <w:r/>
            <w:r>
              <w:rPr>
                <w:sz w:val="18"/>
              </w:rPr>
              <w:t>TAZ (778)</w:t>
            </w:r>
          </w:p>
        </w:tc>
        <w:tc>
          <w:tcPr>
            <w:tcW w:type="dxa" w:w="1417"/>
          </w:tcPr>
          <w:p>
            <w:pPr>
              <w:spacing w:after="20"/>
              <w:jc w:val="right"/>
            </w:pPr>
            <w:r/>
            <w:r>
              <w:rPr>
                <w:sz w:val="18"/>
              </w:rPr>
              <w:t>0.972</w:t>
            </w:r>
          </w:p>
        </w:tc>
        <w:tc>
          <w:tcPr>
            <w:tcW w:type="dxa" w:w="1417"/>
          </w:tcPr>
          <w:p>
            <w:pPr>
              <w:spacing w:after="20"/>
              <w:jc w:val="right"/>
            </w:pPr>
            <w:r/>
            <w:r>
              <w:rPr>
                <w:sz w:val="18"/>
              </w:rPr>
              <w:t>0.442</w:t>
            </w:r>
          </w:p>
        </w:tc>
        <w:tc>
          <w:tcPr>
            <w:tcW w:type="dxa" w:w="1417"/>
          </w:tcPr>
          <w:p>
            <w:pPr>
              <w:spacing w:after="20"/>
              <w:jc w:val="right"/>
            </w:pPr>
            <w:r/>
            <w:r>
              <w:rPr>
                <w:sz w:val="18"/>
              </w:rPr>
              <w:t>0.734</w:t>
            </w:r>
          </w:p>
        </w:tc>
        <w:tc>
          <w:tcPr>
            <w:tcW w:type="dxa" w:w="1417"/>
          </w:tcPr>
          <w:p>
            <w:pPr>
              <w:spacing w:after="20"/>
              <w:jc w:val="right"/>
            </w:pPr>
            <w:r/>
            <w:r>
              <w:rPr>
                <w:sz w:val="18"/>
              </w:rPr>
              <w:t>0.432</w:t>
            </w:r>
          </w:p>
        </w:tc>
        <w:tc>
          <w:tcPr>
            <w:tcW w:type="dxa" w:w="1417"/>
          </w:tcPr>
          <w:p>
            <w:pPr>
              <w:spacing w:after="20"/>
              <w:jc w:val="right"/>
            </w:pPr>
            <w:r/>
            <w:r>
              <w:rPr>
                <w:sz w:val="18"/>
              </w:rPr>
              <w:t>0.14</w:t>
            </w:r>
          </w:p>
        </w:tc>
      </w:tr>
    </w:tbl>
    <w:p>
      <w:pPr>
        <w:spacing w:after="40"/>
      </w:pPr>
    </w:p>
    <w:p>
      <w:r>
        <w:rPr>
          <w:i/>
          <w:color w:val="52514E"/>
          <w:sz w:val="18"/>
        </w:rPr>
        <w:t>Cosine similarity of the raw matrices. Chance level = mean over 2,000 (300 at TAZ) geography scramblings.</w:t>
      </w:r>
    </w:p>
    <w:p>
      <w:r>
        <w:rPr>
          <w:i w:val="0"/>
        </w:rPr>
        <w:t>What it says: the survey and the cellular matrix share a real regional pattern (0.92 at superzone level, against 0.58 by chance), but well below the survey's own repeatability (0.996). At TAZ level the survey and cellular agree only at 0.44; the hybrid, which was built on the cellular structure, sits at 0.73. Per origin, the worst-matching superzones are the corridor superzones 10 and 11, and the mismatch there is on the diagonal: without it they score 0.75 and 0.69.</w:t>
      </w:r>
    </w:p>
    <w:p>
      <w:pPr>
        <w:jc w:val="center"/>
      </w:pPr>
      <w:r>
        <w:drawing>
          <wp:inline xmlns:a="http://schemas.openxmlformats.org/drawingml/2006/main" xmlns:pic="http://schemas.openxmlformats.org/drawingml/2006/picture">
            <wp:extent cx="5724000" cy="2015082"/>
            <wp:docPr id="1" name="Picture 1"/>
            <wp:cNvGraphicFramePr>
              <a:graphicFrameLocks noChangeAspect="1"/>
            </wp:cNvGraphicFramePr>
            <a:graphic>
              <a:graphicData uri="http://schemas.openxmlformats.org/drawingml/2006/picture">
                <pic:pic>
                  <pic:nvPicPr>
                    <pic:cNvPr id="0" name="cosine_geh_whole_matrix.png"/>
                    <pic:cNvPicPr/>
                  </pic:nvPicPr>
                  <pic:blipFill>
                    <a:blip r:embed="rId9"/>
                    <a:stretch>
                      <a:fillRect/>
                    </a:stretch>
                  </pic:blipFill>
                  <pic:spPr>
                    <a:xfrm>
                      <a:off x="0" y="0"/>
                      <a:ext cx="5724000" cy="2015082"/>
                    </a:xfrm>
                    <a:prstGeom prst="rect"/>
                  </pic:spPr>
                </pic:pic>
              </a:graphicData>
            </a:graphic>
          </wp:inline>
        </w:drawing>
      </w:r>
    </w:p>
    <w:p>
      <w:r>
        <w:rPr>
          <w:i/>
          <w:color w:val="52514E"/>
          <w:sz w:val="18"/>
        </w:rPr>
        <w:t>Figure 1. Cosine similarity for every pair and level, raw matrices (left) and destination patterns (right).</w:t>
      </w:r>
    </w:p>
    <w:p>
      <w:pPr>
        <w:pStyle w:val="Heading2"/>
      </w:pPr>
      <w:r>
        <w:t>4.2 GEH — cell by cell, are the volumes within the usual tolerance?</w:t>
      </w:r>
    </w:p>
    <w:p>
      <w:r>
        <w:rPr>
          <w:i w:val="0"/>
        </w:rPr>
        <w:t>GEH is the statistic used to validate traffic counts. For two hourly flows m and c it is the square root of 2(m − c)² / (m + c); values under 5 are usually called a good match. The three-hour matrices are divided by 3 first, which gives an average hour, not the busiest one. GEH thresholds were set for link counts, not for weighted OD cells, so the shares below are read relative to each other, not against a fixed pass mark.</w:t>
      </w:r>
    </w:p>
    <w:p>
      <w:pPr>
        <w:pStyle w:val="Heading3"/>
      </w:pPr>
      <w:r>
        <w:t>The scale audit</w:t>
      </w:r>
    </w:p>
    <w:p>
      <w:r>
        <w:rPr>
          <w:i w:val="0"/>
        </w:rPr>
        <w:t>Before any rescaling, the survey carries 2,068,158 morning trips inside the study area and the cellular matrix 580,506: 3.6 times more. On trips between different cellular zones the ratio is 2.2. The difference is in short trips: 47 % of survey trips stay inside one cellular zone, against 14 % of cellular trips. After one overall scale factor, only 11 % of superzones have origin totals within GEH 5 of each other. The cellular product misses many short trips and its zone totals differ from the household expansion by more than a single factor. Which side is right cannot be decided without the cellular product's trip definition (dwell time, minimum distance, device-to-person expansion), which has not been supplied.</w:t>
      </w:r>
    </w:p>
    <w:p>
      <w:pPr>
        <w:pStyle w:val="Heading3"/>
      </w:pPr>
      <w:r>
        <w:t>The pattern test</w:t>
      </w:r>
    </w:p>
    <w:p>
      <w:r>
        <w:rPr>
          <w:i w:val="0"/>
        </w:rPr>
        <w:t>The cellular matrix was then given the survey's origin totals and compared cell by cell. The share of flow within GEH 5 is:</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14"/>
            <w:shd w:val="clear" w:color="auto" w:fill="E8EEF6"/>
          </w:tcPr>
          <w:p>
            <w:pPr>
              <w:spacing w:after="20"/>
            </w:pPr>
            <w:r/>
            <w:r>
              <w:rPr>
                <w:b/>
                <w:sz w:val="18"/>
              </w:rPr>
              <w:t>Level</w:t>
            </w:r>
          </w:p>
        </w:tc>
        <w:tc>
          <w:tcPr>
            <w:tcW w:type="dxa" w:w="1757"/>
            <w:shd w:val="clear" w:color="auto" w:fill="E8EEF6"/>
          </w:tcPr>
          <w:p>
            <w:pPr>
              <w:spacing w:after="20"/>
            </w:pPr>
            <w:r/>
            <w:r>
              <w:rPr>
                <w:b/>
                <w:sz w:val="18"/>
              </w:rPr>
              <w:t>Day 1 vs day 2</w:t>
            </w:r>
          </w:p>
        </w:tc>
        <w:tc>
          <w:tcPr>
            <w:tcW w:type="dxa" w:w="1757"/>
            <w:shd w:val="clear" w:color="auto" w:fill="E8EEF6"/>
          </w:tcPr>
          <w:p>
            <w:pPr>
              <w:spacing w:after="20"/>
            </w:pPr>
            <w:r/>
            <w:r>
              <w:rPr>
                <w:b/>
                <w:sz w:val="18"/>
              </w:rPr>
              <w:t>Survey vs cellular</w:t>
            </w:r>
          </w:p>
        </w:tc>
        <w:tc>
          <w:tcPr>
            <w:tcW w:type="dxa" w:w="1757"/>
            <w:shd w:val="clear" w:color="auto" w:fill="E8EEF6"/>
          </w:tcPr>
          <w:p>
            <w:pPr>
              <w:spacing w:after="20"/>
            </w:pPr>
            <w:r/>
            <w:r>
              <w:rPr>
                <w:b/>
                <w:sz w:val="18"/>
              </w:rPr>
              <w:t>Hybrid vs cellular</w:t>
            </w:r>
          </w:p>
        </w:tc>
        <w:tc>
          <w:tcPr>
            <w:tcW w:type="dxa" w:w="1757"/>
            <w:shd w:val="clear" w:color="auto" w:fill="E8EEF6"/>
          </w:tcPr>
          <w:p>
            <w:pPr>
              <w:spacing w:after="20"/>
            </w:pPr>
            <w:r/>
            <w:r>
              <w:rPr>
                <w:b/>
                <w:sz w:val="18"/>
              </w:rPr>
              <w:t>Hybrid vs survey</w:t>
            </w:r>
          </w:p>
        </w:tc>
      </w:tr>
      <w:tr>
        <w:tc>
          <w:tcPr>
            <w:tcW w:type="dxa" w:w="1814"/>
          </w:tcPr>
          <w:p>
            <w:pPr>
              <w:spacing w:after="20"/>
            </w:pPr>
            <w:r/>
            <w:r>
              <w:rPr>
                <w:sz w:val="18"/>
              </w:rPr>
              <w:t>Superzone</w:t>
            </w:r>
          </w:p>
        </w:tc>
        <w:tc>
          <w:tcPr>
            <w:tcW w:type="dxa" w:w="1757"/>
          </w:tcPr>
          <w:p>
            <w:pPr>
              <w:spacing w:after="20"/>
              <w:jc w:val="right"/>
            </w:pPr>
            <w:r/>
            <w:r>
              <w:rPr>
                <w:sz w:val="18"/>
              </w:rPr>
              <w:t>46 %</w:t>
            </w:r>
          </w:p>
        </w:tc>
        <w:tc>
          <w:tcPr>
            <w:tcW w:type="dxa" w:w="1757"/>
          </w:tcPr>
          <w:p>
            <w:pPr>
              <w:spacing w:after="20"/>
              <w:jc w:val="right"/>
            </w:pPr>
            <w:r/>
            <w:r>
              <w:rPr>
                <w:sz w:val="18"/>
              </w:rPr>
              <w:t>6 %</w:t>
            </w:r>
          </w:p>
        </w:tc>
        <w:tc>
          <w:tcPr>
            <w:tcW w:type="dxa" w:w="1757"/>
          </w:tcPr>
          <w:p>
            <w:pPr>
              <w:spacing w:after="20"/>
              <w:jc w:val="right"/>
            </w:pPr>
            <w:r/>
            <w:r>
              <w:rPr>
                <w:sz w:val="18"/>
              </w:rPr>
              <w:t>5 %</w:t>
            </w:r>
          </w:p>
        </w:tc>
        <w:tc>
          <w:tcPr>
            <w:tcW w:type="dxa" w:w="1757"/>
          </w:tcPr>
          <w:p>
            <w:pPr>
              <w:spacing w:after="20"/>
              <w:jc w:val="right"/>
            </w:pPr>
            <w:r/>
            <w:r>
              <w:rPr>
                <w:sz w:val="18"/>
              </w:rPr>
              <w:t>94 %</w:t>
            </w:r>
          </w:p>
        </w:tc>
      </w:tr>
      <w:tr>
        <w:tc>
          <w:tcPr>
            <w:tcW w:type="dxa" w:w="1814"/>
          </w:tcPr>
          <w:p>
            <w:pPr>
              <w:spacing w:after="20"/>
            </w:pPr>
            <w:r/>
            <w:r>
              <w:rPr>
                <w:sz w:val="18"/>
              </w:rPr>
              <w:t>GS</w:t>
            </w:r>
          </w:p>
        </w:tc>
        <w:tc>
          <w:tcPr>
            <w:tcW w:type="dxa" w:w="1757"/>
          </w:tcPr>
          <w:p>
            <w:pPr>
              <w:spacing w:after="20"/>
              <w:jc w:val="right"/>
            </w:pPr>
            <w:r/>
            <w:r>
              <w:rPr>
                <w:sz w:val="18"/>
              </w:rPr>
              <w:t>39 %</w:t>
            </w:r>
          </w:p>
        </w:tc>
        <w:tc>
          <w:tcPr>
            <w:tcW w:type="dxa" w:w="1757"/>
          </w:tcPr>
          <w:p>
            <w:pPr>
              <w:spacing w:after="20"/>
              <w:jc w:val="right"/>
            </w:pPr>
            <w:r/>
            <w:r>
              <w:rPr>
                <w:sz w:val="18"/>
              </w:rPr>
              <w:t>1 %</w:t>
            </w:r>
          </w:p>
        </w:tc>
        <w:tc>
          <w:tcPr>
            <w:tcW w:type="dxa" w:w="1757"/>
          </w:tcPr>
          <w:p>
            <w:pPr>
              <w:spacing w:after="20"/>
              <w:jc w:val="right"/>
            </w:pPr>
            <w:r/>
            <w:r>
              <w:rPr>
                <w:sz w:val="18"/>
              </w:rPr>
              <w:t>2 %</w:t>
            </w:r>
          </w:p>
        </w:tc>
        <w:tc>
          <w:tcPr>
            <w:tcW w:type="dxa" w:w="1757"/>
          </w:tcPr>
          <w:p>
            <w:pPr>
              <w:spacing w:after="20"/>
              <w:jc w:val="right"/>
            </w:pPr>
            <w:r/>
            <w:r>
              <w:rPr>
                <w:sz w:val="18"/>
              </w:rPr>
              <w:t>52 %</w:t>
            </w:r>
          </w:p>
        </w:tc>
      </w:tr>
      <w:tr>
        <w:tc>
          <w:tcPr>
            <w:tcW w:type="dxa" w:w="1814"/>
          </w:tcPr>
          <w:p>
            <w:pPr>
              <w:spacing w:after="20"/>
            </w:pPr>
            <w:r/>
            <w:r>
              <w:rPr>
                <w:sz w:val="18"/>
              </w:rPr>
              <w:t>Sub-areas</w:t>
            </w:r>
          </w:p>
        </w:tc>
        <w:tc>
          <w:tcPr>
            <w:tcW w:type="dxa" w:w="1757"/>
          </w:tcPr>
          <w:p>
            <w:pPr>
              <w:spacing w:after="20"/>
              <w:jc w:val="right"/>
            </w:pPr>
            <w:r/>
            <w:r>
              <w:rPr>
                <w:sz w:val="18"/>
              </w:rPr>
              <w:t>63 %</w:t>
            </w:r>
          </w:p>
        </w:tc>
        <w:tc>
          <w:tcPr>
            <w:tcW w:type="dxa" w:w="1757"/>
          </w:tcPr>
          <w:p>
            <w:pPr>
              <w:spacing w:after="20"/>
              <w:jc w:val="right"/>
            </w:pPr>
            <w:r/>
            <w:r>
              <w:rPr>
                <w:sz w:val="18"/>
              </w:rPr>
              <w:t>9 %</w:t>
            </w:r>
          </w:p>
        </w:tc>
        <w:tc>
          <w:tcPr>
            <w:tcW w:type="dxa" w:w="1757"/>
          </w:tcPr>
          <w:p>
            <w:pPr>
              <w:spacing w:after="20"/>
              <w:jc w:val="right"/>
            </w:pPr>
            <w:r/>
            <w:r>
              <w:rPr>
                <w:sz w:val="18"/>
              </w:rPr>
              <w:t>13 %</w:t>
            </w:r>
          </w:p>
        </w:tc>
        <w:tc>
          <w:tcPr>
            <w:tcW w:type="dxa" w:w="1757"/>
          </w:tcPr>
          <w:p>
            <w:pPr>
              <w:spacing w:after="20"/>
              <w:jc w:val="right"/>
            </w:pPr>
            <w:r/>
            <w:r>
              <w:rPr>
                <w:sz w:val="18"/>
              </w:rPr>
              <w:t>15 %</w:t>
            </w:r>
          </w:p>
        </w:tc>
      </w:tr>
      <w:tr>
        <w:tc>
          <w:tcPr>
            <w:tcW w:type="dxa" w:w="1814"/>
          </w:tcPr>
          <w:p>
            <w:pPr>
              <w:spacing w:after="20"/>
            </w:pPr>
            <w:r/>
            <w:r>
              <w:rPr>
                <w:sz w:val="18"/>
              </w:rPr>
              <w:t>TAZ</w:t>
            </w:r>
          </w:p>
        </w:tc>
        <w:tc>
          <w:tcPr>
            <w:tcW w:type="dxa" w:w="1757"/>
          </w:tcPr>
          <w:p>
            <w:pPr>
              <w:spacing w:after="20"/>
              <w:jc w:val="right"/>
            </w:pPr>
            <w:r/>
            <w:r>
              <w:rPr>
                <w:sz w:val="18"/>
              </w:rPr>
              <w:t>79 %</w:t>
            </w:r>
          </w:p>
        </w:tc>
        <w:tc>
          <w:tcPr>
            <w:tcW w:type="dxa" w:w="1757"/>
          </w:tcPr>
          <w:p>
            <w:pPr>
              <w:spacing w:after="20"/>
              <w:jc w:val="right"/>
            </w:pPr>
            <w:r/>
            <w:r>
              <w:rPr>
                <w:sz w:val="18"/>
              </w:rPr>
              <w:t>46 %</w:t>
            </w:r>
          </w:p>
        </w:tc>
        <w:tc>
          <w:tcPr>
            <w:tcW w:type="dxa" w:w="1757"/>
          </w:tcPr>
          <w:p>
            <w:pPr>
              <w:spacing w:after="20"/>
              <w:jc w:val="right"/>
            </w:pPr>
            <w:r/>
            <w:r>
              <w:rPr>
                <w:sz w:val="18"/>
              </w:rPr>
              <w:t>67 %</w:t>
            </w:r>
          </w:p>
        </w:tc>
        <w:tc>
          <w:tcPr>
            <w:tcW w:type="dxa" w:w="1757"/>
          </w:tcPr>
          <w:p>
            <w:pPr>
              <w:spacing w:after="20"/>
              <w:jc w:val="right"/>
            </w:pPr>
            <w:r/>
            <w:r>
              <w:rPr>
                <w:sz w:val="18"/>
              </w:rPr>
              <w:t>39 %</w:t>
            </w:r>
          </w:p>
        </w:tc>
      </w:tr>
    </w:tbl>
    <w:p>
      <w:pPr>
        <w:spacing w:after="40"/>
      </w:pPr>
    </w:p>
    <w:p>
      <w:r>
        <w:rPr>
          <w:i/>
          <w:color w:val="52514E"/>
          <w:sz w:val="18"/>
        </w:rPr>
        <w:t>Share of flow in cells with GEH &lt; 5, hourly flows, cellular given the survey's origin totals.</w:t>
      </w:r>
    </w:p>
    <w:p>
      <w:r>
        <w:rPr>
          <w:i w:val="0"/>
        </w:rPr>
        <w:t>GEH is harsh at aggregate levels because the cells are large (a superzone cell can carry 6,000 trips an hour, where GEH 5 means about ±4 %). Even the two survey days pass in under half of superzone flow. Survey and hybrid agree with cellular on 5–13 % of flow at the aggregate levels, against 39–63 % for the two survey days. For the corridor: the cellular pattern puts 1.8 times the hybrid's flow from outside into the corridor, and 0.75 times its flow inside the corridor.</w:t>
      </w:r>
    </w:p>
    <w:p>
      <w:pPr>
        <w:pStyle w:val="Heading2"/>
      </w:pPr>
      <w:r>
        <w:t>4.3 Kolmogorov–Smirnov — are the trip lengths the same?</w:t>
      </w:r>
    </w:p>
    <w:p>
      <w:r>
        <w:rPr>
          <w:i w:val="0"/>
        </w:rPr>
        <w:t>A KS test compares two distributions and reports D, the largest gap between their cumulative curves. Here it was applied to the distribution of trips by straight-line centroid distance, with and without the diagonal, per origin superzone, per corridor class, and to how concentrated each matrix is in its big cells. No classical p-values are reported: the expansion weights would make everything significant. Instead D is judged against the day 1 vs day 2 value and against a household bootstrap of the survey (200 resamples).</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3061"/>
            <w:shd w:val="clear" w:color="auto" w:fill="E8EEF6"/>
          </w:tcPr>
          <w:p>
            <w:pPr>
              <w:spacing w:after="20"/>
            </w:pPr>
            <w:r/>
            <w:r>
              <w:rPr>
                <w:b/>
                <w:sz w:val="18"/>
              </w:rPr>
              <w:t>Distribution</w:t>
            </w:r>
          </w:p>
        </w:tc>
        <w:tc>
          <w:tcPr>
            <w:tcW w:type="dxa" w:w="1474"/>
            <w:shd w:val="clear" w:color="auto" w:fill="E8EEF6"/>
          </w:tcPr>
          <w:p>
            <w:pPr>
              <w:spacing w:after="20"/>
            </w:pPr>
            <w:r/>
            <w:r>
              <w:rPr>
                <w:b/>
                <w:sz w:val="18"/>
              </w:rPr>
              <w:t>Day 1 vs day 2</w:t>
            </w:r>
          </w:p>
        </w:tc>
        <w:tc>
          <w:tcPr>
            <w:tcW w:type="dxa" w:w="1474"/>
            <w:shd w:val="clear" w:color="auto" w:fill="E8EEF6"/>
          </w:tcPr>
          <w:p>
            <w:pPr>
              <w:spacing w:after="20"/>
            </w:pPr>
            <w:r/>
            <w:r>
              <w:rPr>
                <w:b/>
                <w:sz w:val="18"/>
              </w:rPr>
              <w:t>Survey vs cellular</w:t>
            </w:r>
          </w:p>
        </w:tc>
        <w:tc>
          <w:tcPr>
            <w:tcW w:type="dxa" w:w="1474"/>
            <w:shd w:val="clear" w:color="auto" w:fill="E8EEF6"/>
          </w:tcPr>
          <w:p>
            <w:pPr>
              <w:spacing w:after="20"/>
            </w:pPr>
            <w:r/>
            <w:r>
              <w:rPr>
                <w:b/>
                <w:sz w:val="18"/>
              </w:rPr>
              <w:t>Hybrid vs cellular</w:t>
            </w:r>
          </w:p>
        </w:tc>
        <w:tc>
          <w:tcPr>
            <w:tcW w:type="dxa" w:w="1474"/>
            <w:shd w:val="clear" w:color="auto" w:fill="E8EEF6"/>
          </w:tcPr>
          <w:p>
            <w:pPr>
              <w:spacing w:after="20"/>
            </w:pPr>
            <w:r/>
            <w:r>
              <w:rPr>
                <w:b/>
                <w:sz w:val="18"/>
              </w:rPr>
              <w:t>Hybrid vs survey</w:t>
            </w:r>
          </w:p>
        </w:tc>
      </w:tr>
      <w:tr>
        <w:tc>
          <w:tcPr>
            <w:tcW w:type="dxa" w:w="3061"/>
          </w:tcPr>
          <w:p>
            <w:pPr>
              <w:spacing w:after="20"/>
            </w:pPr>
            <w:r/>
            <w:r>
              <w:rPr>
                <w:sz w:val="18"/>
              </w:rPr>
              <w:t>Trip length, all cells</w:t>
            </w:r>
          </w:p>
        </w:tc>
        <w:tc>
          <w:tcPr>
            <w:tcW w:type="dxa" w:w="1474"/>
          </w:tcPr>
          <w:p>
            <w:pPr>
              <w:spacing w:after="20"/>
              <w:jc w:val="right"/>
            </w:pPr>
            <w:r/>
            <w:r>
              <w:rPr>
                <w:sz w:val="18"/>
              </w:rPr>
              <w:t>0.009</w:t>
            </w:r>
          </w:p>
        </w:tc>
        <w:tc>
          <w:tcPr>
            <w:tcW w:type="dxa" w:w="1474"/>
          </w:tcPr>
          <w:p>
            <w:pPr>
              <w:spacing w:after="20"/>
              <w:jc w:val="right"/>
            </w:pPr>
            <w:r/>
            <w:r>
              <w:rPr>
                <w:sz w:val="18"/>
              </w:rPr>
              <w:t>0.423</w:t>
            </w:r>
          </w:p>
        </w:tc>
        <w:tc>
          <w:tcPr>
            <w:tcW w:type="dxa" w:w="1474"/>
          </w:tcPr>
          <w:p>
            <w:pPr>
              <w:spacing w:after="20"/>
              <w:jc w:val="right"/>
            </w:pPr>
            <w:r/>
            <w:r>
              <w:rPr>
                <w:sz w:val="18"/>
              </w:rPr>
              <w:t>0.249</w:t>
            </w:r>
          </w:p>
        </w:tc>
        <w:tc>
          <w:tcPr>
            <w:tcW w:type="dxa" w:w="1474"/>
          </w:tcPr>
          <w:p>
            <w:pPr>
              <w:spacing w:after="20"/>
              <w:jc w:val="right"/>
            </w:pPr>
            <w:r/>
            <w:r>
              <w:rPr>
                <w:sz w:val="18"/>
              </w:rPr>
              <w:t>0.192</w:t>
            </w:r>
          </w:p>
        </w:tc>
      </w:tr>
      <w:tr>
        <w:tc>
          <w:tcPr>
            <w:tcW w:type="dxa" w:w="3061"/>
          </w:tcPr>
          <w:p>
            <w:pPr>
              <w:spacing w:after="20"/>
            </w:pPr>
            <w:r/>
            <w:r>
              <w:rPr>
                <w:sz w:val="18"/>
              </w:rPr>
              <w:t>Trip length, without intra-TAZ cells</w:t>
            </w:r>
          </w:p>
        </w:tc>
        <w:tc>
          <w:tcPr>
            <w:tcW w:type="dxa" w:w="1474"/>
          </w:tcPr>
          <w:p>
            <w:pPr>
              <w:spacing w:after="20"/>
              <w:jc w:val="right"/>
            </w:pPr>
            <w:r/>
            <w:r>
              <w:rPr>
                <w:sz w:val="18"/>
              </w:rPr>
              <w:t>0.011</w:t>
            </w:r>
          </w:p>
        </w:tc>
        <w:tc>
          <w:tcPr>
            <w:tcW w:type="dxa" w:w="1474"/>
          </w:tcPr>
          <w:p>
            <w:pPr>
              <w:spacing w:after="20"/>
              <w:jc w:val="right"/>
            </w:pPr>
            <w:r/>
            <w:r>
              <w:rPr>
                <w:sz w:val="18"/>
              </w:rPr>
              <w:t>0.374</w:t>
            </w:r>
          </w:p>
        </w:tc>
        <w:tc>
          <w:tcPr>
            <w:tcW w:type="dxa" w:w="1474"/>
          </w:tcPr>
          <w:p>
            <w:pPr>
              <w:spacing w:after="20"/>
              <w:jc w:val="right"/>
            </w:pPr>
            <w:r/>
            <w:r>
              <w:rPr>
                <w:sz w:val="18"/>
              </w:rPr>
              <w:t>0.242</w:t>
            </w:r>
          </w:p>
        </w:tc>
        <w:tc>
          <w:tcPr>
            <w:tcW w:type="dxa" w:w="1474"/>
          </w:tcPr>
          <w:p>
            <w:pPr>
              <w:spacing w:after="20"/>
              <w:jc w:val="right"/>
            </w:pPr>
            <w:r/>
            <w:r>
              <w:rPr>
                <w:sz w:val="18"/>
              </w:rPr>
              <w:t>0.153</w:t>
            </w:r>
          </w:p>
        </w:tc>
      </w:tr>
      <w:tr>
        <w:tc>
          <w:tcPr>
            <w:tcW w:type="dxa" w:w="3061"/>
          </w:tcPr>
          <w:p>
            <w:pPr>
              <w:spacing w:after="20"/>
            </w:pPr>
            <w:r/>
            <w:r>
              <w:rPr>
                <w:sz w:val="18"/>
              </w:rPr>
              <w:t>Trip length, without intra-cellular-zone cells</w:t>
            </w:r>
          </w:p>
        </w:tc>
        <w:tc>
          <w:tcPr>
            <w:tcW w:type="dxa" w:w="1474"/>
          </w:tcPr>
          <w:p>
            <w:pPr>
              <w:spacing w:after="20"/>
              <w:jc w:val="right"/>
            </w:pPr>
            <w:r/>
            <w:r>
              <w:rPr>
                <w:sz w:val="18"/>
              </w:rPr>
              <w:t>0.009</w:t>
            </w:r>
          </w:p>
        </w:tc>
        <w:tc>
          <w:tcPr>
            <w:tcW w:type="dxa" w:w="1474"/>
          </w:tcPr>
          <w:p>
            <w:pPr>
              <w:spacing w:after="20"/>
              <w:jc w:val="right"/>
            </w:pPr>
            <w:r/>
            <w:r>
              <w:rPr>
                <w:sz w:val="18"/>
              </w:rPr>
              <w:t>0.301</w:t>
            </w:r>
          </w:p>
        </w:tc>
        <w:tc>
          <w:tcPr>
            <w:tcW w:type="dxa" w:w="1474"/>
          </w:tcPr>
          <w:p>
            <w:pPr>
              <w:spacing w:after="20"/>
              <w:jc w:val="right"/>
            </w:pPr>
            <w:r/>
            <w:r>
              <w:rPr>
                <w:sz w:val="18"/>
              </w:rPr>
              <w:t>0.179</w:t>
            </w:r>
          </w:p>
        </w:tc>
        <w:tc>
          <w:tcPr>
            <w:tcW w:type="dxa" w:w="1474"/>
          </w:tcPr>
          <w:p>
            <w:pPr>
              <w:spacing w:after="20"/>
              <w:jc w:val="right"/>
            </w:pPr>
            <w:r/>
            <w:r>
              <w:rPr>
                <w:sz w:val="18"/>
              </w:rPr>
              <w:t>0.185</w:t>
            </w:r>
          </w:p>
        </w:tc>
      </w:tr>
      <w:tr>
        <w:tc>
          <w:tcPr>
            <w:tcW w:type="dxa" w:w="3061"/>
          </w:tcPr>
          <w:p>
            <w:pPr>
              <w:spacing w:after="20"/>
            </w:pPr>
            <w:r/>
            <w:r>
              <w:rPr>
                <w:sz w:val="18"/>
              </w:rPr>
              <w:t>Per-origin trip length (flow-weighted)</w:t>
            </w:r>
          </w:p>
        </w:tc>
        <w:tc>
          <w:tcPr>
            <w:tcW w:type="dxa" w:w="1474"/>
          </w:tcPr>
          <w:p>
            <w:pPr>
              <w:spacing w:after="20"/>
              <w:jc w:val="right"/>
            </w:pPr>
            <w:r/>
            <w:r>
              <w:rPr>
                <w:sz w:val="18"/>
              </w:rPr>
              <w:t>0.034</w:t>
            </w:r>
          </w:p>
        </w:tc>
        <w:tc>
          <w:tcPr>
            <w:tcW w:type="dxa" w:w="1474"/>
          </w:tcPr>
          <w:p>
            <w:pPr>
              <w:spacing w:after="20"/>
              <w:jc w:val="right"/>
            </w:pPr>
            <w:r/>
            <w:r>
              <w:rPr>
                <w:sz w:val="18"/>
              </w:rPr>
              <w:t>0.450</w:t>
            </w:r>
          </w:p>
        </w:tc>
        <w:tc>
          <w:tcPr>
            <w:tcW w:type="dxa" w:w="1474"/>
          </w:tcPr>
          <w:p>
            <w:pPr>
              <w:spacing w:after="20"/>
              <w:jc w:val="right"/>
            </w:pPr>
            <w:r/>
            <w:r>
              <w:rPr>
                <w:sz w:val="18"/>
              </w:rPr>
              <w:t>0.284</w:t>
            </w:r>
          </w:p>
        </w:tc>
        <w:tc>
          <w:tcPr>
            <w:tcW w:type="dxa" w:w="1474"/>
          </w:tcPr>
          <w:p>
            <w:pPr>
              <w:spacing w:after="20"/>
              <w:jc w:val="right"/>
            </w:pPr>
            <w:r/>
            <w:r>
              <w:rPr>
                <w:sz w:val="18"/>
              </w:rPr>
              <w:t>0.236</w:t>
            </w:r>
          </w:p>
        </w:tc>
      </w:tr>
      <w:tr>
        <w:tc>
          <w:tcPr>
            <w:tcW w:type="dxa" w:w="3061"/>
          </w:tcPr>
          <w:p>
            <w:pPr>
              <w:spacing w:after="20"/>
            </w:pPr>
            <w:r/>
            <w:r>
              <w:rPr>
                <w:sz w:val="18"/>
              </w:rPr>
              <w:t>Trip length, corridor to corridor</w:t>
            </w:r>
          </w:p>
        </w:tc>
        <w:tc>
          <w:tcPr>
            <w:tcW w:type="dxa" w:w="1474"/>
          </w:tcPr>
          <w:p>
            <w:pPr>
              <w:spacing w:after="20"/>
              <w:jc w:val="right"/>
            </w:pPr>
            <w:r/>
            <w:r>
              <w:rPr>
                <w:sz w:val="18"/>
              </w:rPr>
              <w:t>0.017</w:t>
            </w:r>
          </w:p>
        </w:tc>
        <w:tc>
          <w:tcPr>
            <w:tcW w:type="dxa" w:w="1474"/>
          </w:tcPr>
          <w:p>
            <w:pPr>
              <w:spacing w:after="20"/>
              <w:jc w:val="right"/>
            </w:pPr>
            <w:r/>
            <w:r>
              <w:rPr>
                <w:sz w:val="18"/>
              </w:rPr>
              <w:t>0.387</w:t>
            </w:r>
          </w:p>
        </w:tc>
        <w:tc>
          <w:tcPr>
            <w:tcW w:type="dxa" w:w="1474"/>
          </w:tcPr>
          <w:p>
            <w:pPr>
              <w:spacing w:after="20"/>
              <w:jc w:val="right"/>
            </w:pPr>
            <w:r/>
            <w:r>
              <w:rPr>
                <w:sz w:val="18"/>
              </w:rPr>
              <w:t>0.276</w:t>
            </w:r>
          </w:p>
        </w:tc>
        <w:tc>
          <w:tcPr>
            <w:tcW w:type="dxa" w:w="1474"/>
          </w:tcPr>
          <w:p>
            <w:pPr>
              <w:spacing w:after="20"/>
              <w:jc w:val="right"/>
            </w:pPr>
            <w:r/>
            <w:r>
              <w:rPr>
                <w:sz w:val="18"/>
              </w:rPr>
              <w:t>0.123</w:t>
            </w:r>
          </w:p>
        </w:tc>
      </w:tr>
      <w:tr>
        <w:tc>
          <w:tcPr>
            <w:tcW w:type="dxa" w:w="3061"/>
          </w:tcPr>
          <w:p>
            <w:pPr>
              <w:spacing w:after="20"/>
            </w:pPr>
            <w:r/>
            <w:r>
              <w:rPr>
                <w:sz w:val="18"/>
              </w:rPr>
              <w:t>Flow concentration, TAZ level</w:t>
            </w:r>
          </w:p>
        </w:tc>
        <w:tc>
          <w:tcPr>
            <w:tcW w:type="dxa" w:w="1474"/>
          </w:tcPr>
          <w:p>
            <w:pPr>
              <w:spacing w:after="20"/>
              <w:jc w:val="right"/>
            </w:pPr>
            <w:r/>
            <w:r>
              <w:rPr>
                <w:sz w:val="18"/>
              </w:rPr>
              <w:t>0.028</w:t>
            </w:r>
          </w:p>
        </w:tc>
        <w:tc>
          <w:tcPr>
            <w:tcW w:type="dxa" w:w="1474"/>
          </w:tcPr>
          <w:p>
            <w:pPr>
              <w:spacing w:after="20"/>
              <w:jc w:val="right"/>
            </w:pPr>
            <w:r/>
            <w:r>
              <w:rPr>
                <w:sz w:val="18"/>
              </w:rPr>
              <w:t>0.499</w:t>
            </w:r>
          </w:p>
        </w:tc>
        <w:tc>
          <w:tcPr>
            <w:tcW w:type="dxa" w:w="1474"/>
          </w:tcPr>
          <w:p>
            <w:pPr>
              <w:spacing w:after="20"/>
              <w:jc w:val="right"/>
            </w:pPr>
            <w:r/>
            <w:r>
              <w:rPr>
                <w:sz w:val="18"/>
              </w:rPr>
              <w:t>0.310</w:t>
            </w:r>
          </w:p>
        </w:tc>
        <w:tc>
          <w:tcPr>
            <w:tcW w:type="dxa" w:w="1474"/>
          </w:tcPr>
          <w:p>
            <w:pPr>
              <w:spacing w:after="20"/>
              <w:jc w:val="right"/>
            </w:pPr>
            <w:r/>
            <w:r>
              <w:rPr>
                <w:sz w:val="18"/>
              </w:rPr>
              <w:t>0.252</w:t>
            </w:r>
          </w:p>
        </w:tc>
      </w:tr>
    </w:tbl>
    <w:p>
      <w:pPr>
        <w:spacing w:after="40"/>
      </w:pPr>
    </w:p>
    <w:p>
      <w:r>
        <w:rPr>
          <w:i/>
          <w:color w:val="52514E"/>
          <w:sz w:val="18"/>
        </w:rPr>
        <w:t>KS statistic D (largest gap in cumulative trip share).</w:t>
      </w:r>
    </w:p>
    <w:p>
      <w:r>
        <w:rPr>
          <w:i w:val="0"/>
        </w:rPr>
        <w:t>What it says: the survey and the cellular matrix describe different trip-length populations, not noisy versions of one. The median centroid distance is 1.95 km in the survey, 7.6 km in cellular and 3.8 km in the hybrid; the bootstrap spread of D is about ±0.01, so a D of 0.42 is nowhere near noise. The gap is not only the diagonal: with every cell inside one cellular zone removed, D is still 0.30. Every origin superzone shows it. The cellular matrix is also far more diffuse: 52 % of its trips sit in cells with fewer than 10 trips an hour, against 11 % of survey trips.</w:t>
      </w:r>
    </w:p>
    <w:p>
      <w:r>
        <w:rPr>
          <w:i w:val="0"/>
        </w:rPr>
        <w:t>One calibration check: against the distances the survey itself reports, the centroid proxy overstates short trips (median 1.95 km versus 1.11 km reported). Both matrices carry the same proxy, but they weight zones differently, so the comparison is fair only approximately; absolute lengths under 1 km are a zone-geometry artefact.</w:t>
      </w:r>
    </w:p>
    <w:p>
      <w:pPr>
        <w:jc w:val="center"/>
      </w:pPr>
      <w:r>
        <w:drawing>
          <wp:inline xmlns:a="http://schemas.openxmlformats.org/drawingml/2006/main" xmlns:pic="http://schemas.openxmlformats.org/drawingml/2006/picture">
            <wp:extent cx="5724000" cy="1565940"/>
            <wp:docPr id="2" name="Picture 2"/>
            <wp:cNvGraphicFramePr>
              <a:graphicFrameLocks noChangeAspect="1"/>
            </wp:cNvGraphicFramePr>
            <a:graphic>
              <a:graphicData uri="http://schemas.openxmlformats.org/drawingml/2006/picture">
                <pic:pic>
                  <pic:nvPicPr>
                    <pic:cNvPr id="0" name="ks_tld.png"/>
                    <pic:cNvPicPr/>
                  </pic:nvPicPr>
                  <pic:blipFill>
                    <a:blip r:embed="rId10"/>
                    <a:stretch>
                      <a:fillRect/>
                    </a:stretch>
                  </pic:blipFill>
                  <pic:spPr>
                    <a:xfrm>
                      <a:off x="0" y="0"/>
                      <a:ext cx="5724000" cy="1565940"/>
                    </a:xfrm>
                    <a:prstGeom prst="rect"/>
                  </pic:spPr>
                </pic:pic>
              </a:graphicData>
            </a:graphic>
          </wp:inline>
        </w:drawing>
      </w:r>
    </w:p>
    <w:p>
      <w:r>
        <w:rPr>
          <w:i/>
          <w:color w:val="52514E"/>
          <w:sz w:val="18"/>
        </w:rPr>
        <w:t>Figure 2. Cumulative trip length distributions; the black bar marks the KS gap between survey and cellular.</w:t>
      </w:r>
    </w:p>
    <w:p>
      <w:pPr>
        <w:pStyle w:val="Heading2"/>
      </w:pPr>
      <w:r>
        <w:t>4.4 MSSIM — do the matrices agree neighbourhood by neighbourhood?</w:t>
      </w:r>
    </w:p>
    <w:p>
      <w:r>
        <w:rPr>
          <w:i w:val="0"/>
        </w:rPr>
        <w:t>The structural similarity index comes from image comparison and was proposed for OD matrices by Djukic, van Lint and Hoogendoorn. It slides a small window over the matrix and compares, inside each window, the average level, the spread and the correlation of the two matrices, then averages over windows. For that to work, neighbouring rows must be neighbouring zones, so TAZs were ordered along a space-filling curve of their centroids; a window has no fixed physical size. Windows of 5 to 25 zones were tested, on raw trips and on log(1 + trips).</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2381"/>
            <w:shd w:val="clear" w:color="auto" w:fill="E8EEF6"/>
          </w:tcPr>
          <w:p>
            <w:pPr>
              <w:spacing w:after="20"/>
            </w:pPr>
            <w:r/>
            <w:r>
              <w:rPr>
                <w:b/>
                <w:sz w:val="18"/>
              </w:rPr>
              <w:t>Level, window, scale</w:t>
            </w:r>
          </w:p>
        </w:tc>
        <w:tc>
          <w:tcPr>
            <w:tcW w:type="dxa" w:w="1644"/>
            <w:shd w:val="clear" w:color="auto" w:fill="E8EEF6"/>
          </w:tcPr>
          <w:p>
            <w:pPr>
              <w:spacing w:after="20"/>
            </w:pPr>
            <w:r/>
            <w:r>
              <w:rPr>
                <w:b/>
                <w:sz w:val="18"/>
              </w:rPr>
              <w:t>Day 1 vs day 2</w:t>
            </w:r>
          </w:p>
        </w:tc>
        <w:tc>
          <w:tcPr>
            <w:tcW w:type="dxa" w:w="1644"/>
            <w:shd w:val="clear" w:color="auto" w:fill="E8EEF6"/>
          </w:tcPr>
          <w:p>
            <w:pPr>
              <w:spacing w:after="20"/>
            </w:pPr>
            <w:r/>
            <w:r>
              <w:rPr>
                <w:b/>
                <w:sz w:val="18"/>
              </w:rPr>
              <w:t>Survey vs cellular</w:t>
            </w:r>
          </w:p>
        </w:tc>
        <w:tc>
          <w:tcPr>
            <w:tcW w:type="dxa" w:w="1644"/>
            <w:shd w:val="clear" w:color="auto" w:fill="E8EEF6"/>
          </w:tcPr>
          <w:p>
            <w:pPr>
              <w:spacing w:after="20"/>
            </w:pPr>
            <w:r/>
            <w:r>
              <w:rPr>
                <w:b/>
                <w:sz w:val="18"/>
              </w:rPr>
              <w:t>Hybrid vs cellular</w:t>
            </w:r>
          </w:p>
        </w:tc>
        <w:tc>
          <w:tcPr>
            <w:tcW w:type="dxa" w:w="1644"/>
            <w:shd w:val="clear" w:color="auto" w:fill="E8EEF6"/>
          </w:tcPr>
          <w:p>
            <w:pPr>
              <w:spacing w:after="20"/>
            </w:pPr>
            <w:r/>
            <w:r>
              <w:rPr>
                <w:b/>
                <w:sz w:val="18"/>
              </w:rPr>
              <w:t>Hybrid vs survey</w:t>
            </w:r>
          </w:p>
        </w:tc>
      </w:tr>
      <w:tr>
        <w:tc>
          <w:tcPr>
            <w:tcW w:type="dxa" w:w="2381"/>
          </w:tcPr>
          <w:p>
            <w:pPr>
              <w:spacing w:after="20"/>
            </w:pPr>
            <w:r/>
            <w:r>
              <w:rPr>
                <w:sz w:val="18"/>
              </w:rPr>
              <w:t>TAZ, 9, raw trips</w:t>
            </w:r>
          </w:p>
        </w:tc>
        <w:tc>
          <w:tcPr>
            <w:tcW w:type="dxa" w:w="1644"/>
          </w:tcPr>
          <w:p>
            <w:pPr>
              <w:spacing w:after="20"/>
              <w:jc w:val="right"/>
            </w:pPr>
            <w:r/>
            <w:r>
              <w:rPr>
                <w:sz w:val="18"/>
              </w:rPr>
              <w:t>0.999 (0.98)</w:t>
            </w:r>
          </w:p>
        </w:tc>
        <w:tc>
          <w:tcPr>
            <w:tcW w:type="dxa" w:w="1644"/>
          </w:tcPr>
          <w:p>
            <w:pPr>
              <w:spacing w:after="20"/>
              <w:jc w:val="right"/>
            </w:pPr>
            <w:r/>
            <w:r>
              <w:rPr>
                <w:sz w:val="18"/>
              </w:rPr>
              <w:t>0.993 (0.99)</w:t>
            </w:r>
          </w:p>
        </w:tc>
        <w:tc>
          <w:tcPr>
            <w:tcW w:type="dxa" w:w="1644"/>
          </w:tcPr>
          <w:p>
            <w:pPr>
              <w:spacing w:after="20"/>
              <w:jc w:val="right"/>
            </w:pPr>
            <w:r/>
            <w:r>
              <w:rPr>
                <w:sz w:val="18"/>
              </w:rPr>
              <w:t>0.978 (0.93)</w:t>
            </w:r>
          </w:p>
        </w:tc>
        <w:tc>
          <w:tcPr>
            <w:tcW w:type="dxa" w:w="1644"/>
          </w:tcPr>
          <w:p>
            <w:pPr>
              <w:spacing w:after="20"/>
              <w:jc w:val="right"/>
            </w:pPr>
            <w:r/>
            <w:r>
              <w:rPr>
                <w:sz w:val="18"/>
              </w:rPr>
              <w:t>0.994 (0.99)</w:t>
            </w:r>
          </w:p>
        </w:tc>
      </w:tr>
      <w:tr>
        <w:tc>
          <w:tcPr>
            <w:tcW w:type="dxa" w:w="2381"/>
          </w:tcPr>
          <w:p>
            <w:pPr>
              <w:spacing w:after="20"/>
            </w:pPr>
            <w:r/>
            <w:r>
              <w:rPr>
                <w:sz w:val="18"/>
              </w:rPr>
              <w:t>TAZ, 9, log</w:t>
            </w:r>
          </w:p>
        </w:tc>
        <w:tc>
          <w:tcPr>
            <w:tcW w:type="dxa" w:w="1644"/>
          </w:tcPr>
          <w:p>
            <w:pPr>
              <w:spacing w:after="20"/>
              <w:jc w:val="right"/>
            </w:pPr>
            <w:r/>
            <w:r>
              <w:rPr>
                <w:sz w:val="18"/>
              </w:rPr>
              <w:t>0.814 (0.14)</w:t>
            </w:r>
          </w:p>
        </w:tc>
        <w:tc>
          <w:tcPr>
            <w:tcW w:type="dxa" w:w="1644"/>
          </w:tcPr>
          <w:p>
            <w:pPr>
              <w:spacing w:after="20"/>
              <w:jc w:val="right"/>
            </w:pPr>
            <w:r/>
            <w:r>
              <w:rPr>
                <w:sz w:val="18"/>
              </w:rPr>
              <w:t>0.128 (0.02)</w:t>
            </w:r>
          </w:p>
        </w:tc>
        <w:tc>
          <w:tcPr>
            <w:tcW w:type="dxa" w:w="1644"/>
          </w:tcPr>
          <w:p>
            <w:pPr>
              <w:spacing w:after="20"/>
              <w:jc w:val="right"/>
            </w:pPr>
            <w:r/>
            <w:r>
              <w:rPr>
                <w:sz w:val="18"/>
              </w:rPr>
              <w:t>0.475 (0.03)</w:t>
            </w:r>
          </w:p>
        </w:tc>
        <w:tc>
          <w:tcPr>
            <w:tcW w:type="dxa" w:w="1644"/>
          </w:tcPr>
          <w:p>
            <w:pPr>
              <w:spacing w:after="20"/>
              <w:jc w:val="right"/>
            </w:pPr>
            <w:r/>
            <w:r>
              <w:rPr>
                <w:sz w:val="18"/>
              </w:rPr>
              <w:t>0.388 (0.11)</w:t>
            </w:r>
          </w:p>
        </w:tc>
      </w:tr>
      <w:tr>
        <w:tc>
          <w:tcPr>
            <w:tcW w:type="dxa" w:w="2381"/>
          </w:tcPr>
          <w:p>
            <w:pPr>
              <w:spacing w:after="20"/>
            </w:pPr>
            <w:r/>
            <w:r>
              <w:rPr>
                <w:sz w:val="18"/>
              </w:rPr>
              <w:t>Superzone, 3, log</w:t>
            </w:r>
          </w:p>
        </w:tc>
        <w:tc>
          <w:tcPr>
            <w:tcW w:type="dxa" w:w="1644"/>
          </w:tcPr>
          <w:p>
            <w:pPr>
              <w:spacing w:after="20"/>
              <w:jc w:val="right"/>
            </w:pPr>
            <w:r/>
            <w:r>
              <w:rPr>
                <w:sz w:val="18"/>
              </w:rPr>
              <w:t>0.686 (0.07)</w:t>
            </w:r>
          </w:p>
        </w:tc>
        <w:tc>
          <w:tcPr>
            <w:tcW w:type="dxa" w:w="1644"/>
          </w:tcPr>
          <w:p>
            <w:pPr>
              <w:spacing w:after="20"/>
              <w:jc w:val="right"/>
            </w:pPr>
            <w:r/>
            <w:r>
              <w:rPr>
                <w:sz w:val="18"/>
              </w:rPr>
              <w:t>0.362 (0.09)</w:t>
            </w:r>
          </w:p>
        </w:tc>
        <w:tc>
          <w:tcPr>
            <w:tcW w:type="dxa" w:w="1644"/>
          </w:tcPr>
          <w:p>
            <w:pPr>
              <w:spacing w:after="20"/>
              <w:jc w:val="right"/>
            </w:pPr>
            <w:r/>
            <w:r>
              <w:rPr>
                <w:sz w:val="18"/>
              </w:rPr>
              <w:t>0.441 (0.09)</w:t>
            </w:r>
          </w:p>
        </w:tc>
        <w:tc>
          <w:tcPr>
            <w:tcW w:type="dxa" w:w="1644"/>
          </w:tcPr>
          <w:p>
            <w:pPr>
              <w:spacing w:after="20"/>
              <w:jc w:val="right"/>
            </w:pPr>
            <w:r/>
            <w:r>
              <w:rPr>
                <w:sz w:val="18"/>
              </w:rPr>
              <w:t>0.938 (0.06)</w:t>
            </w:r>
          </w:p>
        </w:tc>
      </w:tr>
      <w:tr>
        <w:tc>
          <w:tcPr>
            <w:tcW w:type="dxa" w:w="2381"/>
          </w:tcPr>
          <w:p>
            <w:pPr>
              <w:spacing w:after="20"/>
            </w:pPr>
            <w:r/>
            <w:r>
              <w:rPr>
                <w:sz w:val="18"/>
              </w:rPr>
              <w:t>Sub-areas, 3, log</w:t>
            </w:r>
          </w:p>
        </w:tc>
        <w:tc>
          <w:tcPr>
            <w:tcW w:type="dxa" w:w="1644"/>
          </w:tcPr>
          <w:p>
            <w:pPr>
              <w:spacing w:after="20"/>
              <w:jc w:val="right"/>
            </w:pPr>
            <w:r/>
            <w:r>
              <w:rPr>
                <w:sz w:val="18"/>
              </w:rPr>
              <w:t>0.619 (0.07)</w:t>
            </w:r>
          </w:p>
        </w:tc>
        <w:tc>
          <w:tcPr>
            <w:tcW w:type="dxa" w:w="1644"/>
          </w:tcPr>
          <w:p>
            <w:pPr>
              <w:spacing w:after="20"/>
              <w:jc w:val="right"/>
            </w:pPr>
            <w:r/>
            <w:r>
              <w:rPr>
                <w:sz w:val="18"/>
              </w:rPr>
              <w:t>0.257 (0.05)</w:t>
            </w:r>
          </w:p>
        </w:tc>
        <w:tc>
          <w:tcPr>
            <w:tcW w:type="dxa" w:w="1644"/>
          </w:tcPr>
          <w:p>
            <w:pPr>
              <w:spacing w:after="20"/>
              <w:jc w:val="right"/>
            </w:pPr>
            <w:r/>
            <w:r>
              <w:rPr>
                <w:sz w:val="18"/>
              </w:rPr>
              <w:t>0.678 (0.08)</w:t>
            </w:r>
          </w:p>
        </w:tc>
        <w:tc>
          <w:tcPr>
            <w:tcW w:type="dxa" w:w="1644"/>
          </w:tcPr>
          <w:p>
            <w:pPr>
              <w:spacing w:after="20"/>
              <w:jc w:val="right"/>
            </w:pPr>
            <w:r/>
            <w:r>
              <w:rPr>
                <w:sz w:val="18"/>
              </w:rPr>
              <w:t>0.370 (0.06)</w:t>
            </w:r>
          </w:p>
        </w:tc>
      </w:tr>
    </w:tbl>
    <w:p>
      <w:pPr>
        <w:spacing w:after="40"/>
      </w:pPr>
    </w:p>
    <w:p>
      <w:r>
        <w:rPr>
          <w:i/>
          <w:color w:val="52514E"/>
          <w:sz w:val="18"/>
        </w:rPr>
        <w:t>MSSIM; the chance level (one matrix's zones scrambled) in brackets.</w:t>
      </w:r>
    </w:p>
    <w:p>
      <w:r>
        <w:rPr>
          <w:i w:val="0"/>
        </w:rPr>
        <w:t>What it says: on raw trips the index cannot tell anything apart. On the log scale it becomes informative. Survey against cellular is close to chance at TAZ level (0.13, chance 0.02, day-to-day 0.81). The hybrid sits between its two sources: it is the survey at superzone level (0.94, above the day-to-day 0.69, which shows the day-to-day value is not a ceiling) and closer to cellular on the sub-areas (0.68). The zone ordering and the window size change the results by less than 0.05.</w:t>
      </w:r>
    </w:p>
    <w:p>
      <w:pPr>
        <w:jc w:val="center"/>
      </w:pPr>
      <w:r>
        <w:drawing>
          <wp:inline xmlns:a="http://schemas.openxmlformats.org/drawingml/2006/main" xmlns:pic="http://schemas.openxmlformats.org/drawingml/2006/picture">
            <wp:extent cx="5724000" cy="1829978"/>
            <wp:docPr id="3" name="Picture 3"/>
            <wp:cNvGraphicFramePr>
              <a:graphicFrameLocks noChangeAspect="1"/>
            </wp:cNvGraphicFramePr>
            <a:graphic>
              <a:graphicData uri="http://schemas.openxmlformats.org/drawingml/2006/picture">
                <pic:pic>
                  <pic:nvPicPr>
                    <pic:cNvPr id="0" name="mssim_maps.png"/>
                    <pic:cNvPicPr/>
                  </pic:nvPicPr>
                  <pic:blipFill>
                    <a:blip r:embed="rId11"/>
                    <a:stretch>
                      <a:fillRect/>
                    </a:stretch>
                  </pic:blipFill>
                  <pic:spPr>
                    <a:xfrm>
                      <a:off x="0" y="0"/>
                      <a:ext cx="5724000" cy="1829978"/>
                    </a:xfrm>
                    <a:prstGeom prst="rect"/>
                  </pic:spPr>
                </pic:pic>
              </a:graphicData>
            </a:graphic>
          </wp:inline>
        </w:drawing>
      </w:r>
    </w:p>
    <w:p>
      <w:r>
        <w:rPr>
          <w:i/>
          <w:color w:val="52514E"/>
          <w:sz w:val="18"/>
        </w:rPr>
        <w:t>Figure 3. Local similarity maps (window 9, log scale): where the matrices agree (blue) and where they do not (white).</w:t>
      </w:r>
    </w:p>
    <w:p>
      <w:pPr>
        <w:pStyle w:val="Heading2"/>
      </w:pPr>
      <w:r>
        <w:t>4.5 Does the hybrid keep its own superzone totals? (new)</w:t>
      </w:r>
    </w:p>
    <w:p>
      <w:r>
        <w:rPr>
          <w:i w:val="0"/>
        </w:rPr>
        <w:t>The hybrid was built in two steps: blend survey and cellular destination patterns at superzone level, then push the result down to TAZs by multiplying each cellular cell by a superzone-to-superzone correction factor and renormalising each TAZ row. The notebooks checked that each TAZ row's total adds up to the superzone's survey departures. They did not check that the superzone-to-superzone blocks come back out. The review pointed out that they need not, and a direct test confirms it.</w:t>
      </w:r>
    </w:p>
    <w:tbl>
      <w:tblPr>
        <w:tblStyle w:val="TableGrid"/>
        <w:tblW w:type="auto" w:w="0"/>
        <w:jc w:val="center"/>
        <w:tblLook w:firstColumn="1" w:firstRow="1" w:lastColumn="0" w:lastRow="0" w:noHBand="0" w:noVBand="1" w:val="04A0"/>
      </w:tblPr>
      <w:tblGrid>
        <w:gridCol w:w="4513"/>
        <w:gridCol w:w="4513"/>
      </w:tblGrid>
      <w:tr>
        <w:tc>
          <w:tcPr>
            <w:tcW w:type="dxa" w:w="5953"/>
            <w:shd w:val="clear" w:color="auto" w:fill="E8EEF6"/>
          </w:tcPr>
          <w:p>
            <w:pPr>
              <w:spacing w:after="20"/>
            </w:pPr>
            <w:r/>
            <w:r>
              <w:rPr>
                <w:b/>
                <w:sz w:val="18"/>
              </w:rPr>
              <w:t>Primary hybrid (trips file), reaggregated to superzones</w:t>
            </w:r>
          </w:p>
        </w:tc>
        <w:tc>
          <w:tcPr>
            <w:tcW w:type="dxa" w:w="2835"/>
            <w:shd w:val="clear" w:color="auto" w:fill="E8EEF6"/>
          </w:tcPr>
          <w:p>
            <w:pPr>
              <w:spacing w:after="20"/>
            </w:pPr>
            <w:r/>
            <w:r>
              <w:rPr>
                <w:b/>
                <w:sz w:val="18"/>
              </w:rPr>
              <w:t>Value</w:t>
            </w:r>
          </w:p>
        </w:tc>
      </w:tr>
      <w:tr>
        <w:tc>
          <w:tcPr>
            <w:tcW w:type="dxa" w:w="5953"/>
          </w:tcPr>
          <w:p>
            <w:pPr>
              <w:spacing w:after="20"/>
            </w:pPr>
            <w:r/>
            <w:r>
              <w:rPr>
                <w:sz w:val="18"/>
              </w:rPr>
              <w:t>Origin totals: largest relative error</w:t>
            </w:r>
          </w:p>
        </w:tc>
        <w:tc>
          <w:tcPr>
            <w:tcW w:type="dxa" w:w="2835"/>
          </w:tcPr>
          <w:p>
            <w:pPr>
              <w:spacing w:after="20"/>
              <w:jc w:val="right"/>
            </w:pPr>
            <w:r/>
            <w:r>
              <w:rPr>
                <w:sz w:val="18"/>
              </w:rPr>
              <w:t>0.0 %</w:t>
            </w:r>
          </w:p>
        </w:tc>
      </w:tr>
      <w:tr>
        <w:tc>
          <w:tcPr>
            <w:tcW w:type="dxa" w:w="5953"/>
          </w:tcPr>
          <w:p>
            <w:pPr>
              <w:spacing w:after="20"/>
            </w:pPr>
            <w:r/>
            <w:r>
              <w:rPr>
                <w:sz w:val="18"/>
              </w:rPr>
              <w:t>Superzone pairs above 100 trips</w:t>
            </w:r>
          </w:p>
        </w:tc>
        <w:tc>
          <w:tcPr>
            <w:tcW w:type="dxa" w:w="2835"/>
          </w:tcPr>
          <w:p>
            <w:pPr>
              <w:spacing w:after="20"/>
              <w:jc w:val="right"/>
            </w:pPr>
            <w:r/>
            <w:r>
              <w:rPr>
                <w:sz w:val="18"/>
              </w:rPr>
              <w:t>627</w:t>
            </w:r>
          </w:p>
        </w:tc>
      </w:tr>
      <w:tr>
        <w:tc>
          <w:tcPr>
            <w:tcW w:type="dxa" w:w="5953"/>
          </w:tcPr>
          <w:p>
            <w:pPr>
              <w:spacing w:after="20"/>
            </w:pPr>
            <w:r/>
            <w:r>
              <w:rPr>
                <w:sz w:val="18"/>
              </w:rPr>
              <w:t>… off by more than 10 %</w:t>
            </w:r>
          </w:p>
        </w:tc>
        <w:tc>
          <w:tcPr>
            <w:tcW w:type="dxa" w:w="2835"/>
          </w:tcPr>
          <w:p>
            <w:pPr>
              <w:spacing w:after="20"/>
              <w:jc w:val="right"/>
            </w:pPr>
            <w:r/>
            <w:r>
              <w:rPr>
                <w:sz w:val="18"/>
              </w:rPr>
              <w:t>55</w:t>
            </w:r>
          </w:p>
        </w:tc>
      </w:tr>
      <w:tr>
        <w:tc>
          <w:tcPr>
            <w:tcW w:type="dxa" w:w="5953"/>
          </w:tcPr>
          <w:p>
            <w:pPr>
              <w:spacing w:after="20"/>
            </w:pPr>
            <w:r/>
            <w:r>
              <w:rPr>
                <w:sz w:val="18"/>
              </w:rPr>
              <w:t>… off by more than 25 %</w:t>
            </w:r>
          </w:p>
        </w:tc>
        <w:tc>
          <w:tcPr>
            <w:tcW w:type="dxa" w:w="2835"/>
          </w:tcPr>
          <w:p>
            <w:pPr>
              <w:spacing w:after="20"/>
              <w:jc w:val="right"/>
            </w:pPr>
            <w:r/>
            <w:r>
              <w:rPr>
                <w:sz w:val="18"/>
              </w:rPr>
              <w:t>12</w:t>
            </w:r>
          </w:p>
        </w:tc>
      </w:tr>
      <w:tr>
        <w:tc>
          <w:tcPr>
            <w:tcW w:type="dxa" w:w="5953"/>
          </w:tcPr>
          <w:p>
            <w:pPr>
              <w:spacing w:after="20"/>
            </w:pPr>
            <w:r/>
            <w:r>
              <w:rPr>
                <w:sz w:val="18"/>
              </w:rPr>
              <w:t>Worst pair (Tiberias → Karmiel)</w:t>
            </w:r>
          </w:p>
        </w:tc>
        <w:tc>
          <w:tcPr>
            <w:tcW w:type="dxa" w:w="2835"/>
          </w:tcPr>
          <w:p>
            <w:pPr>
              <w:spacing w:after="20"/>
              <w:jc w:val="right"/>
            </w:pPr>
            <w:r/>
            <w:r>
              <w:rPr>
                <w:sz w:val="18"/>
              </w:rPr>
              <w:t>+49 %</w:t>
            </w:r>
          </w:p>
        </w:tc>
      </w:tr>
      <w:tr>
        <w:tc>
          <w:tcPr>
            <w:tcW w:type="dxa" w:w="5953"/>
          </w:tcPr>
          <w:p>
            <w:pPr>
              <w:spacing w:after="20"/>
            </w:pPr>
            <w:r/>
            <w:r>
              <w:rPr>
                <w:sz w:val="18"/>
              </w:rPr>
              <w:t>Off-diagonal trips, overall</w:t>
            </w:r>
          </w:p>
        </w:tc>
        <w:tc>
          <w:tcPr>
            <w:tcW w:type="dxa" w:w="2835"/>
          </w:tcPr>
          <w:p>
            <w:pPr>
              <w:spacing w:after="20"/>
              <w:jc w:val="right"/>
            </w:pPr>
            <w:r/>
            <w:r>
              <w:rPr>
                <w:sz w:val="18"/>
              </w:rPr>
              <w:t>+3.6 %</w:t>
            </w:r>
          </w:p>
        </w:tc>
      </w:tr>
      <w:tr>
        <w:tc>
          <w:tcPr>
            <w:tcW w:type="dxa" w:w="5953"/>
          </w:tcPr>
          <w:p>
            <w:pPr>
              <w:spacing w:after="20"/>
            </w:pPr>
            <w:r/>
            <w:r>
              <w:rPr>
                <w:sz w:val="18"/>
              </w:rPr>
              <w:t>After rebalancing to blocks and origin totals jointly</w:t>
            </w:r>
          </w:p>
        </w:tc>
        <w:tc>
          <w:tcPr>
            <w:tcW w:type="dxa" w:w="2835"/>
          </w:tcPr>
          <w:p>
            <w:pPr>
              <w:spacing w:after="20"/>
              <w:jc w:val="right"/>
            </w:pPr>
            <w:r/>
            <w:r>
              <w:rPr>
                <w:sz w:val="18"/>
              </w:rPr>
              <w:t>all pairs within 0.01 %; 1.0 % of trips moved</w:t>
            </w:r>
          </w:p>
        </w:tc>
      </w:tr>
    </w:tbl>
    <w:p>
      <w:pPr>
        <w:spacing w:after="40"/>
      </w:pPr>
    </w:p>
    <w:p>
      <w:r>
        <w:rPr>
          <w:i w:val="0"/>
        </w:rPr>
        <w:t>A rebalanced matrix (hybrid_taz_trips_balanced.csv) satisfies both sets of constraints; it is published for anyone who still needs a hybrid. The within-block detail of every hybrid still comes from a cellular mapping that copies each coarse flow onto every pair of child TAZs, which over-weights finely divided zones; repairing that needs the cellular file. The current base (Parts A, C, D) does not use the hybrid.</w:t>
      </w:r>
    </w:p>
    <w:p>
      <w:pPr>
        <w:jc w:val="center"/>
      </w:pPr>
      <w:r>
        <w:drawing>
          <wp:inline xmlns:a="http://schemas.openxmlformats.org/drawingml/2006/main" xmlns:pic="http://schemas.openxmlformats.org/drawingml/2006/picture">
            <wp:extent cx="5724000" cy="2241740"/>
            <wp:docPr id="4" name="Picture 4"/>
            <wp:cNvGraphicFramePr>
              <a:graphicFrameLocks noChangeAspect="1"/>
            </wp:cNvGraphicFramePr>
            <a:graphic>
              <a:graphicData uri="http://schemas.openxmlformats.org/drawingml/2006/picture">
                <pic:pic>
                  <pic:nvPicPr>
                    <pic:cNvPr id="0" name="hybrid_sz_conservation.png"/>
                    <pic:cNvPicPr/>
                  </pic:nvPicPr>
                  <pic:blipFill>
                    <a:blip r:embed="rId12"/>
                    <a:stretch>
                      <a:fillRect/>
                    </a:stretch>
                  </pic:blipFill>
                  <pic:spPr>
                    <a:xfrm>
                      <a:off x="0" y="0"/>
                      <a:ext cx="5724000" cy="2241740"/>
                    </a:xfrm>
                    <a:prstGeom prst="rect"/>
                  </pic:spPr>
                </pic:pic>
              </a:graphicData>
            </a:graphic>
          </wp:inline>
        </w:drawing>
      </w:r>
    </w:p>
    <w:p>
      <w:r>
        <w:rPr>
          <w:i/>
          <w:color w:val="52514E"/>
          <w:sz w:val="18"/>
        </w:rPr>
        <w:t>Figure 4. Superzone pairs: target (superzone hybrid) against the TAZ hybrid reaggregated, primary and historical versions. Dotted lines are ±10 %.</w:t>
      </w:r>
    </w:p>
    <w:p>
      <w:pPr>
        <w:pStyle w:val="Heading2"/>
      </w:pPr>
      <w:r>
        <w:t>4.6 What the tests mean together</w:t>
      </w:r>
    </w:p>
    <w:p>
      <w:pPr>
        <w:pStyle w:val="ListBullet"/>
      </w:pPr>
      <w:r>
        <w:rPr>
          <w:i w:val="0"/>
        </w:rPr>
        <w:t>The survey and the cellular product see the same broad geography but a different mix of trips. The cellular product misses short trips and spreads the rest thinly; the survey is concentrated and short. This is a difference in what each source records, not sampling noise; which one is closer to the truth needs the cellular trip definition and external counts, neither of which is in hand.</w:t>
      </w:r>
    </w:p>
    <w:p>
      <w:pPr>
        <w:pStyle w:val="ListBullet"/>
      </w:pPr>
      <w:r>
        <w:rPr>
          <w:i w:val="0"/>
        </w:rPr>
        <w:t>Survey rows are stable from day to day at superzone level, thin at TAZ level. Below the superzone, TAZ detail from any source in this study is an allocation, not an observation.</w:t>
      </w:r>
    </w:p>
    <w:p>
      <w:pPr>
        <w:pStyle w:val="ListBullet"/>
      </w:pPr>
      <w:r>
        <w:rPr>
          <w:i w:val="0"/>
        </w:rPr>
        <w:t>The hybrid does what its design intends at superzone level but not below it, and it is no longer the base of anything. The tests remain useful as a regression record.</w:t>
      </w:r>
    </w:p>
    <w:p>
      <w:pPr>
        <w:pStyle w:val="ListBullet"/>
      </w:pPr>
      <w:r>
        <w:rPr>
          <w:i w:val="0"/>
        </w:rPr>
        <w:t>Absolute volumes rest on the survey expansion only.</w:t>
      </w:r>
    </w:p>
    <w:p>
      <w:pPr>
        <w:pStyle w:val="Heading1"/>
      </w:pPr>
      <w:r>
        <w:t>5. Part C — calibrating the bus part with RavKav and the on-board survey</w:t>
      </w:r>
    </w:p>
    <w:p>
      <w:pPr>
        <w:pStyle w:val="Heading2"/>
      </w:pPr>
      <w:r>
        <w:t>5.1 Why calibrate, and what each source is good at</w:t>
      </w:r>
    </w:p>
    <w:p>
      <w:r>
        <w:rPr>
          <w:i w:val="0"/>
        </w:rPr>
        <w:t>The household survey observed about 820 bus trips a day across 36 superzones, so many superzones have only a handful of bus trips and their destination patterns are noisy. Two other sources describe the same bus travel:</w:t>
      </w:r>
    </w:p>
    <w:p>
      <w:pPr>
        <w:pStyle w:val="ListBullet"/>
      </w:pPr>
      <w:r>
        <w:rPr>
          <w:b/>
        </w:rPr>
        <w:t xml:space="preserve">RavKav ticketing </w:t>
      </w:r>
      <w:r>
        <w:rPr>
          <w:i w:val="0"/>
        </w:rPr>
        <w:t>is close to a census. It says how many people boarded where, on four Tuesdays in May 2022, with transfers linked so each journey is counted once. Its weak points are destinations, which are inferred, and its origins, which are boarding stops rather than homes and include non-residents.</w:t>
      </w:r>
    </w:p>
    <w:p>
      <w:pPr>
        <w:pStyle w:val="ListBullet"/>
      </w:pPr>
      <w:r>
        <w:rPr>
          <w:b/>
        </w:rPr>
        <w:t xml:space="preserve">The on-board survey </w:t>
      </w:r>
      <w:r>
        <w:rPr>
          <w:i w:val="0"/>
        </w:rPr>
        <w:t>asked passengers where they were going, so it gives a destination pattern per boarding zone, but no volumes. Whether each row describes one boarding or a whole journey has not been confirmed; the pattern is applied to journey totals.</w:t>
      </w:r>
    </w:p>
    <w:p>
      <w:r>
        <w:rPr>
          <w:i w:val="0"/>
        </w:rPr>
        <w:t>The repository combines the two into a "RavKav × on-board" matrix: ticketing volumes spread over on-board destinations. The calibration lets each source do what it is good at, at the scale where it is reliable.</w:t>
      </w:r>
    </w:p>
    <w:p>
      <w:pPr>
        <w:pStyle w:val="Heading2"/>
      </w:pPr>
      <w:r>
        <w:t>5.2 The three steps</w:t>
      </w:r>
    </w:p>
    <w:p>
      <w:pPr>
        <w:pStyle w:val="ListBullet"/>
      </w:pPr>
      <w:r>
        <w:rPr>
          <w:b/>
        </w:rPr>
        <w:t xml:space="preserve">Step 1 — destination pattern. </w:t>
      </w:r>
      <w:r>
        <w:rPr>
          <w:i w:val="0"/>
        </w:rPr>
        <w:t>At superzone level, each origin's survey destination pattern is blended with the RavKav × on-board pattern. The weight on the survey is n / (n + k), where n is the number of survey bus trips observed from that origin and k is chosen by validation (5.3).</w:t>
      </w:r>
    </w:p>
    <w:p>
      <w:pPr>
        <w:pStyle w:val="ListBullet"/>
      </w:pPr>
      <w:r>
        <w:rPr>
          <w:b/>
        </w:rPr>
        <w:t xml:space="preserve">Step 2 — volumes, per origin and segment. </w:t>
      </w:r>
      <w:r>
        <w:rPr>
          <w:i w:val="0"/>
        </w:rPr>
        <w:t>For each origin superzone, its bus trips are split into three destination segments: local, corridor-bound and other. In each segment with at least five observed survey trips, the ratio of RavKav journeys to survey trips decides: at 0.5 or above, the segment takes the ticketing volume; below 0.5, ticketing is treated as under-covering and the survey volume is kept. Thinner segments follow the decision for the origin as a whole. Within a segment the blended pattern of step 1 spreads the volume over destinations.</w:t>
      </w:r>
    </w:p>
    <w:p>
      <w:pPr>
        <w:pStyle w:val="ListBullet"/>
      </w:pPr>
      <w:r>
        <w:rPr>
          <w:b/>
        </w:rPr>
        <w:t xml:space="preserve">Step 3 — TAZ detail. </w:t>
      </w:r>
      <w:r>
        <w:rPr>
          <w:i w:val="0"/>
        </w:rPr>
        <w:t>Inside each origin superzone, the split among TAZs blends the survey's home-based shares with RavKav boarding shares; inside each destination superzone, the split blends survey arrival shares with on-board alighting shares.</w:t>
      </w:r>
    </w:p>
    <w:p>
      <w:r>
        <w:rPr>
          <w:i w:val="0"/>
        </w:rPr>
        <w:t>Revision 1 applied step 2 with one ratio per whole origin. That version is kept as a sensitivity ("binary guard"), with two others: ticketing volumes everywhere, and one regional factor.</w:t>
      </w:r>
    </w:p>
    <w:p>
      <w:pPr>
        <w:pStyle w:val="Heading2"/>
      </w:pPr>
      <w:r>
        <w:t>5.3 Choosing the shrinkage constant</w:t>
      </w:r>
    </w:p>
    <w:p>
      <w:r>
        <w:rPr>
          <w:i w:val="0"/>
        </w:rPr>
        <w:t>Cross-day validation (a blend built on day 1 has to predict day 2) gives k = 0, "never lean on ticketing". That answer is suspect: the two days are the same households, and bus commuters repeat the same trip. Instead the sampled households were split at random into two halves, forty times, and the blend built on one half had to predict the other half. That criterion has a clear best value at k = 5. With it, the survey weight is 0.86 on average (from 0.29 in the thinnest superzones to 0.97 in the best observed).</w:t>
      </w:r>
    </w:p>
    <w:p>
      <w:pPr>
        <w:jc w:val="center"/>
      </w:pPr>
      <w:r>
        <w:drawing>
          <wp:inline xmlns:a="http://schemas.openxmlformats.org/drawingml/2006/main" xmlns:pic="http://schemas.openxmlformats.org/drawingml/2006/picture">
            <wp:extent cx="4320000" cy="2569386"/>
            <wp:docPr id="5" name="Picture 5"/>
            <wp:cNvGraphicFramePr>
              <a:graphicFrameLocks noChangeAspect="1"/>
            </wp:cNvGraphicFramePr>
            <a:graphic>
              <a:graphicData uri="http://schemas.openxmlformats.org/drawingml/2006/picture">
                <pic:pic>
                  <pic:nvPicPr>
                    <pic:cNvPr id="0" name="two_mode_bus_cv.png"/>
                    <pic:cNvPicPr/>
                  </pic:nvPicPr>
                  <pic:blipFill>
                    <a:blip r:embed="rId13"/>
                    <a:stretch>
                      <a:fillRect/>
                    </a:stretch>
                  </pic:blipFill>
                  <pic:spPr>
                    <a:xfrm>
                      <a:off x="0" y="0"/>
                      <a:ext cx="4320000" cy="2569386"/>
                    </a:xfrm>
                    <a:prstGeom prst="rect"/>
                  </pic:spPr>
                </pic:pic>
              </a:graphicData>
            </a:graphic>
          </wp:inline>
        </w:drawing>
      </w:r>
    </w:p>
    <w:p>
      <w:r>
        <w:rPr>
          <w:i/>
          <w:color w:val="52514E"/>
          <w:sz w:val="18"/>
        </w:rPr>
        <w:t>Figure 5. Prediction error of the held-out household half (blue, used) and of the other survey day (grey, reference) against k.</w:t>
      </w:r>
    </w:p>
    <w:p>
      <w:pPr>
        <w:pStyle w:val="Heading2"/>
      </w:pPr>
      <w:r>
        <w:t>5.4 What the ticketing data covers</w:t>
      </w:r>
    </w:p>
    <w:p>
      <w:r>
        <w:rPr>
          <w:i w:val="0"/>
        </w:rPr>
        <w:t>Comparing RavKav journeys with survey bus trips per superzone gives a clear geographic pattern: across the Haifa metropolitan area the ratio is 0.9 to 1.5; in seven superzones (Nazareth / Kafr Kanna, Sakhnin, Ma'alot, Safed, Beit She'an, Shefa-'Amr / Tamra, Daliyat al-Karmel / Isfiya; 76 % Arab-sector population against 19 % elsewhere) it is 0.21 to 0.43. Splitting each origin's trips by destination shows where the shortfall sits:</w:t>
      </w:r>
    </w:p>
    <w:tbl>
      <w:tblPr>
        <w:tblStyle w:val="TableGrid"/>
        <w:tblW w:type="auto" w:w="0"/>
        <w:jc w:val="center"/>
        <w:tblLook w:firstColumn="1" w:firstRow="1" w:lastColumn="0" w:lastRow="0" w:noHBand="0" w:noVBand="1" w:val="04A0"/>
      </w:tblPr>
      <w:tblGrid>
        <w:gridCol w:w="1128"/>
        <w:gridCol w:w="1128"/>
        <w:gridCol w:w="1128"/>
        <w:gridCol w:w="1128"/>
        <w:gridCol w:w="1128"/>
        <w:gridCol w:w="1128"/>
        <w:gridCol w:w="1128"/>
        <w:gridCol w:w="1128"/>
      </w:tblGrid>
      <w:tr>
        <w:tc>
          <w:tcPr>
            <w:tcW w:type="dxa" w:w="2438"/>
            <w:shd w:val="clear" w:color="auto" w:fill="E8EEF6"/>
          </w:tcPr>
          <w:p>
            <w:pPr>
              <w:spacing w:after="20"/>
            </w:pPr>
            <w:r/>
            <w:r>
              <w:rPr>
                <w:b/>
                <w:sz w:val="16"/>
              </w:rPr>
              <w:t>Superzone</w:t>
            </w:r>
          </w:p>
        </w:tc>
        <w:tc>
          <w:tcPr>
            <w:tcW w:type="dxa" w:w="907"/>
            <w:shd w:val="clear" w:color="auto" w:fill="E8EEF6"/>
          </w:tcPr>
          <w:p>
            <w:pPr>
              <w:spacing w:after="20"/>
            </w:pPr>
            <w:r/>
            <w:r>
              <w:rPr>
                <w:b/>
                <w:sz w:val="16"/>
              </w:rPr>
              <w:t>Survey local</w:t>
            </w:r>
          </w:p>
        </w:tc>
        <w:tc>
          <w:tcPr>
            <w:tcW w:type="dxa" w:w="907"/>
            <w:shd w:val="clear" w:color="auto" w:fill="E8EEF6"/>
          </w:tcPr>
          <w:p>
            <w:pPr>
              <w:spacing w:after="20"/>
            </w:pPr>
            <w:r/>
            <w:r>
              <w:rPr>
                <w:b/>
                <w:sz w:val="16"/>
              </w:rPr>
              <w:t>RavKav local</w:t>
            </w:r>
          </w:p>
        </w:tc>
        <w:tc>
          <w:tcPr>
            <w:tcW w:type="dxa" w:w="794"/>
            <w:shd w:val="clear" w:color="auto" w:fill="E8EEF6"/>
          </w:tcPr>
          <w:p>
            <w:pPr>
              <w:spacing w:after="20"/>
            </w:pPr>
            <w:r/>
            <w:r>
              <w:rPr>
                <w:b/>
                <w:sz w:val="16"/>
              </w:rPr>
              <w:t>Ratio local</w:t>
            </w:r>
          </w:p>
        </w:tc>
        <w:tc>
          <w:tcPr>
            <w:tcW w:type="dxa" w:w="964"/>
            <w:shd w:val="clear" w:color="auto" w:fill="E8EEF6"/>
          </w:tcPr>
          <w:p>
            <w:pPr>
              <w:spacing w:after="20"/>
            </w:pPr>
            <w:r/>
            <w:r>
              <w:rPr>
                <w:b/>
                <w:sz w:val="16"/>
              </w:rPr>
              <w:t>Survey inter-SZ</w:t>
            </w:r>
          </w:p>
        </w:tc>
        <w:tc>
          <w:tcPr>
            <w:tcW w:type="dxa" w:w="964"/>
            <w:shd w:val="clear" w:color="auto" w:fill="E8EEF6"/>
          </w:tcPr>
          <w:p>
            <w:pPr>
              <w:spacing w:after="20"/>
            </w:pPr>
            <w:r/>
            <w:r>
              <w:rPr>
                <w:b/>
                <w:sz w:val="16"/>
              </w:rPr>
              <w:t>RavKav inter-SZ</w:t>
            </w:r>
          </w:p>
        </w:tc>
        <w:tc>
          <w:tcPr>
            <w:tcW w:type="dxa" w:w="907"/>
            <w:shd w:val="clear" w:color="auto" w:fill="E8EEF6"/>
          </w:tcPr>
          <w:p>
            <w:pPr>
              <w:spacing w:after="20"/>
            </w:pPr>
            <w:r/>
            <w:r>
              <w:rPr>
                <w:b/>
                <w:sz w:val="16"/>
              </w:rPr>
              <w:t>Ratio inter-SZ</w:t>
            </w:r>
          </w:p>
        </w:tc>
        <w:tc>
          <w:tcPr>
            <w:tcW w:type="dxa" w:w="907"/>
            <w:shd w:val="clear" w:color="auto" w:fill="E8EEF6"/>
          </w:tcPr>
          <w:p>
            <w:pPr>
              <w:spacing w:after="20"/>
            </w:pPr>
            <w:r/>
            <w:r>
              <w:rPr>
                <w:b/>
                <w:sz w:val="16"/>
              </w:rPr>
              <w:t>Ratio to Haifa</w:t>
            </w:r>
          </w:p>
        </w:tc>
      </w:tr>
      <w:tr>
        <w:tc>
          <w:tcPr>
            <w:tcW w:type="dxa" w:w="2438"/>
          </w:tcPr>
          <w:p>
            <w:pPr>
              <w:spacing w:after="20"/>
            </w:pPr>
            <w:r/>
            <w:r>
              <w:rPr>
                <w:sz w:val="16"/>
              </w:rPr>
              <w:t>19 Nazareth, Kafr Kanna</w:t>
            </w:r>
          </w:p>
        </w:tc>
        <w:tc>
          <w:tcPr>
            <w:tcW w:type="dxa" w:w="907"/>
          </w:tcPr>
          <w:p>
            <w:pPr>
              <w:spacing w:after="20"/>
              <w:jc w:val="right"/>
            </w:pPr>
            <w:r/>
            <w:r>
              <w:rPr>
                <w:sz w:val="16"/>
              </w:rPr>
              <w:t>6,164</w:t>
            </w:r>
          </w:p>
        </w:tc>
        <w:tc>
          <w:tcPr>
            <w:tcW w:type="dxa" w:w="907"/>
          </w:tcPr>
          <w:p>
            <w:pPr>
              <w:spacing w:after="20"/>
              <w:jc w:val="right"/>
            </w:pPr>
            <w:r/>
            <w:r>
              <w:rPr>
                <w:sz w:val="16"/>
              </w:rPr>
              <w:t>506</w:t>
            </w:r>
          </w:p>
        </w:tc>
        <w:tc>
          <w:tcPr>
            <w:tcW w:type="dxa" w:w="794"/>
          </w:tcPr>
          <w:p>
            <w:pPr>
              <w:spacing w:after="20"/>
              <w:jc w:val="right"/>
            </w:pPr>
            <w:r/>
            <w:r>
              <w:rPr>
                <w:sz w:val="16"/>
              </w:rPr>
              <w:t>0.08</w:t>
            </w:r>
          </w:p>
        </w:tc>
        <w:tc>
          <w:tcPr>
            <w:tcW w:type="dxa" w:w="964"/>
          </w:tcPr>
          <w:p>
            <w:pPr>
              <w:spacing w:after="20"/>
              <w:jc w:val="right"/>
            </w:pPr>
            <w:r/>
            <w:r>
              <w:rPr>
                <w:sz w:val="16"/>
              </w:rPr>
              <w:t>6,265</w:t>
            </w:r>
          </w:p>
        </w:tc>
        <w:tc>
          <w:tcPr>
            <w:tcW w:type="dxa" w:w="964"/>
          </w:tcPr>
          <w:p>
            <w:pPr>
              <w:spacing w:after="20"/>
              <w:jc w:val="right"/>
            </w:pPr>
            <w:r/>
            <w:r>
              <w:rPr>
                <w:sz w:val="16"/>
              </w:rPr>
              <w:t>2,137</w:t>
            </w:r>
          </w:p>
        </w:tc>
        <w:tc>
          <w:tcPr>
            <w:tcW w:type="dxa" w:w="907"/>
          </w:tcPr>
          <w:p>
            <w:pPr>
              <w:spacing w:after="20"/>
              <w:jc w:val="right"/>
            </w:pPr>
            <w:r/>
            <w:r>
              <w:rPr>
                <w:sz w:val="16"/>
              </w:rPr>
              <w:t>0.34</w:t>
            </w:r>
          </w:p>
        </w:tc>
        <w:tc>
          <w:tcPr>
            <w:tcW w:type="dxa" w:w="907"/>
          </w:tcPr>
          <w:p>
            <w:pPr>
              <w:spacing w:after="20"/>
              <w:jc w:val="right"/>
            </w:pPr>
            <w:r/>
            <w:r>
              <w:rPr>
                <w:sz w:val="16"/>
              </w:rPr>
              <w:t>0.74</w:t>
            </w:r>
          </w:p>
        </w:tc>
      </w:tr>
      <w:tr>
        <w:tc>
          <w:tcPr>
            <w:tcW w:type="dxa" w:w="2438"/>
          </w:tcPr>
          <w:p>
            <w:pPr>
              <w:spacing w:after="20"/>
            </w:pPr>
            <w:r/>
            <w:r>
              <w:rPr>
                <w:sz w:val="16"/>
              </w:rPr>
              <w:t>4 Shefa-'Amr, Tamra</w:t>
            </w:r>
          </w:p>
        </w:tc>
        <w:tc>
          <w:tcPr>
            <w:tcW w:type="dxa" w:w="907"/>
          </w:tcPr>
          <w:p>
            <w:pPr>
              <w:spacing w:after="20"/>
              <w:jc w:val="right"/>
            </w:pPr>
            <w:r/>
            <w:r>
              <w:rPr>
                <w:sz w:val="16"/>
              </w:rPr>
              <w:t>525</w:t>
            </w:r>
          </w:p>
        </w:tc>
        <w:tc>
          <w:tcPr>
            <w:tcW w:type="dxa" w:w="907"/>
          </w:tcPr>
          <w:p>
            <w:pPr>
              <w:spacing w:after="20"/>
              <w:jc w:val="right"/>
            </w:pPr>
            <w:r/>
            <w:r>
              <w:rPr>
                <w:sz w:val="16"/>
              </w:rPr>
              <w:t>396</w:t>
            </w:r>
          </w:p>
        </w:tc>
        <w:tc>
          <w:tcPr>
            <w:tcW w:type="dxa" w:w="794"/>
          </w:tcPr>
          <w:p>
            <w:pPr>
              <w:spacing w:after="20"/>
              <w:jc w:val="right"/>
            </w:pPr>
            <w:r/>
            <w:r>
              <w:rPr>
                <w:sz w:val="16"/>
              </w:rPr>
              <w:t>0.75</w:t>
            </w:r>
          </w:p>
        </w:tc>
        <w:tc>
          <w:tcPr>
            <w:tcW w:type="dxa" w:w="964"/>
          </w:tcPr>
          <w:p>
            <w:pPr>
              <w:spacing w:after="20"/>
              <w:jc w:val="right"/>
            </w:pPr>
            <w:r/>
            <w:r>
              <w:rPr>
                <w:sz w:val="16"/>
              </w:rPr>
              <w:t>1,548</w:t>
            </w:r>
          </w:p>
        </w:tc>
        <w:tc>
          <w:tcPr>
            <w:tcW w:type="dxa" w:w="964"/>
          </w:tcPr>
          <w:p>
            <w:pPr>
              <w:spacing w:after="20"/>
              <w:jc w:val="right"/>
            </w:pPr>
            <w:r/>
            <w:r>
              <w:rPr>
                <w:sz w:val="16"/>
              </w:rPr>
              <w:t>476</w:t>
            </w:r>
          </w:p>
        </w:tc>
        <w:tc>
          <w:tcPr>
            <w:tcW w:type="dxa" w:w="907"/>
          </w:tcPr>
          <w:p>
            <w:pPr>
              <w:spacing w:after="20"/>
              <w:jc w:val="right"/>
            </w:pPr>
            <w:r/>
            <w:r>
              <w:rPr>
                <w:sz w:val="16"/>
              </w:rPr>
              <w:t>0.31</w:t>
            </w:r>
          </w:p>
        </w:tc>
        <w:tc>
          <w:tcPr>
            <w:tcW w:type="dxa" w:w="907"/>
          </w:tcPr>
          <w:p>
            <w:pPr>
              <w:spacing w:after="20"/>
              <w:jc w:val="right"/>
            </w:pPr>
            <w:r/>
            <w:r>
              <w:rPr>
                <w:sz w:val="16"/>
              </w:rPr>
              <w:t>0.21</w:t>
            </w:r>
          </w:p>
        </w:tc>
      </w:tr>
      <w:tr>
        <w:tc>
          <w:tcPr>
            <w:tcW w:type="dxa" w:w="2438"/>
          </w:tcPr>
          <w:p>
            <w:pPr>
              <w:spacing w:after="20"/>
            </w:pPr>
            <w:r/>
            <w:r>
              <w:rPr>
                <w:sz w:val="16"/>
              </w:rPr>
              <w:t>23 Daliyat al-Karmel, Isfiya</w:t>
            </w:r>
          </w:p>
        </w:tc>
        <w:tc>
          <w:tcPr>
            <w:tcW w:type="dxa" w:w="907"/>
          </w:tcPr>
          <w:p>
            <w:pPr>
              <w:spacing w:after="20"/>
              <w:jc w:val="right"/>
            </w:pPr>
            <w:r/>
            <w:r>
              <w:rPr>
                <w:sz w:val="16"/>
              </w:rPr>
              <w:t>850</w:t>
            </w:r>
          </w:p>
        </w:tc>
        <w:tc>
          <w:tcPr>
            <w:tcW w:type="dxa" w:w="907"/>
          </w:tcPr>
          <w:p>
            <w:pPr>
              <w:spacing w:after="20"/>
              <w:jc w:val="right"/>
            </w:pPr>
            <w:r/>
            <w:r>
              <w:rPr>
                <w:sz w:val="16"/>
              </w:rPr>
              <w:t>146</w:t>
            </w:r>
          </w:p>
        </w:tc>
        <w:tc>
          <w:tcPr>
            <w:tcW w:type="dxa" w:w="794"/>
          </w:tcPr>
          <w:p>
            <w:pPr>
              <w:spacing w:after="20"/>
              <w:jc w:val="right"/>
            </w:pPr>
            <w:r/>
            <w:r>
              <w:rPr>
                <w:sz w:val="16"/>
              </w:rPr>
              <w:t>0.17</w:t>
            </w:r>
          </w:p>
        </w:tc>
        <w:tc>
          <w:tcPr>
            <w:tcW w:type="dxa" w:w="964"/>
          </w:tcPr>
          <w:p>
            <w:pPr>
              <w:spacing w:after="20"/>
              <w:jc w:val="right"/>
            </w:pPr>
            <w:r/>
            <w:r>
              <w:rPr>
                <w:sz w:val="16"/>
              </w:rPr>
              <w:t>978</w:t>
            </w:r>
          </w:p>
        </w:tc>
        <w:tc>
          <w:tcPr>
            <w:tcW w:type="dxa" w:w="964"/>
          </w:tcPr>
          <w:p>
            <w:pPr>
              <w:spacing w:after="20"/>
              <w:jc w:val="right"/>
            </w:pPr>
            <w:r/>
            <w:r>
              <w:rPr>
                <w:sz w:val="16"/>
              </w:rPr>
              <w:t>643</w:t>
            </w:r>
          </w:p>
        </w:tc>
        <w:tc>
          <w:tcPr>
            <w:tcW w:type="dxa" w:w="907"/>
          </w:tcPr>
          <w:p>
            <w:pPr>
              <w:spacing w:after="20"/>
              <w:jc w:val="right"/>
            </w:pPr>
            <w:r/>
            <w:r>
              <w:rPr>
                <w:sz w:val="16"/>
              </w:rPr>
              <w:t>0.66</w:t>
            </w:r>
          </w:p>
        </w:tc>
        <w:tc>
          <w:tcPr>
            <w:tcW w:type="dxa" w:w="907"/>
          </w:tcPr>
          <w:p>
            <w:pPr>
              <w:spacing w:after="20"/>
              <w:jc w:val="right"/>
            </w:pPr>
            <w:r/>
            <w:r>
              <w:rPr>
                <w:sz w:val="16"/>
              </w:rPr>
              <w:t>0.74</w:t>
            </w:r>
          </w:p>
        </w:tc>
      </w:tr>
      <w:tr>
        <w:tc>
          <w:tcPr>
            <w:tcW w:type="dxa" w:w="2438"/>
          </w:tcPr>
          <w:p>
            <w:pPr>
              <w:spacing w:after="20"/>
            </w:pPr>
            <w:r/>
            <w:r>
              <w:rPr>
                <w:sz w:val="16"/>
              </w:rPr>
              <w:t>30 Sakhnin, Arraba</w:t>
            </w:r>
          </w:p>
        </w:tc>
        <w:tc>
          <w:tcPr>
            <w:tcW w:type="dxa" w:w="907"/>
          </w:tcPr>
          <w:p>
            <w:pPr>
              <w:spacing w:after="20"/>
              <w:jc w:val="right"/>
            </w:pPr>
            <w:r/>
            <w:r>
              <w:rPr>
                <w:sz w:val="16"/>
              </w:rPr>
              <w:t>508</w:t>
            </w:r>
          </w:p>
        </w:tc>
        <w:tc>
          <w:tcPr>
            <w:tcW w:type="dxa" w:w="907"/>
          </w:tcPr>
          <w:p>
            <w:pPr>
              <w:spacing w:after="20"/>
              <w:jc w:val="right"/>
            </w:pPr>
            <w:r/>
            <w:r>
              <w:rPr>
                <w:sz w:val="16"/>
              </w:rPr>
              <w:t>122</w:t>
            </w:r>
          </w:p>
        </w:tc>
        <w:tc>
          <w:tcPr>
            <w:tcW w:type="dxa" w:w="794"/>
          </w:tcPr>
          <w:p>
            <w:pPr>
              <w:spacing w:after="20"/>
              <w:jc w:val="right"/>
            </w:pPr>
            <w:r/>
            <w:r>
              <w:rPr>
                <w:sz w:val="16"/>
              </w:rPr>
              <w:t>0.24</w:t>
            </w:r>
          </w:p>
        </w:tc>
        <w:tc>
          <w:tcPr>
            <w:tcW w:type="dxa" w:w="964"/>
          </w:tcPr>
          <w:p>
            <w:pPr>
              <w:spacing w:after="20"/>
              <w:jc w:val="right"/>
            </w:pPr>
            <w:r/>
            <w:r>
              <w:rPr>
                <w:sz w:val="16"/>
              </w:rPr>
              <w:t>508</w:t>
            </w:r>
          </w:p>
        </w:tc>
        <w:tc>
          <w:tcPr>
            <w:tcW w:type="dxa" w:w="964"/>
          </w:tcPr>
          <w:p>
            <w:pPr>
              <w:spacing w:after="20"/>
              <w:jc w:val="right"/>
            </w:pPr>
            <w:r/>
            <w:r>
              <w:rPr>
                <w:sz w:val="16"/>
              </w:rPr>
              <w:t>167</w:t>
            </w:r>
          </w:p>
        </w:tc>
        <w:tc>
          <w:tcPr>
            <w:tcW w:type="dxa" w:w="907"/>
          </w:tcPr>
          <w:p>
            <w:pPr>
              <w:spacing w:after="20"/>
              <w:jc w:val="right"/>
            </w:pPr>
            <w:r/>
            <w:r>
              <w:rPr>
                <w:sz w:val="16"/>
              </w:rPr>
              <w:t>0.33</w:t>
            </w:r>
          </w:p>
        </w:tc>
        <w:tc>
          <w:tcPr>
            <w:tcW w:type="dxa" w:w="907"/>
          </w:tcPr>
          <w:p>
            <w:pPr>
              <w:spacing w:after="20"/>
              <w:jc w:val="right"/>
            </w:pPr>
            <w:r/>
            <w:r>
              <w:rPr>
                <w:sz w:val="16"/>
              </w:rPr>
              <w:t>0.43</w:t>
            </w:r>
          </w:p>
        </w:tc>
      </w:tr>
      <w:tr>
        <w:tc>
          <w:tcPr>
            <w:tcW w:type="dxa" w:w="2438"/>
          </w:tcPr>
          <w:p>
            <w:pPr>
              <w:spacing w:after="20"/>
            </w:pPr>
            <w:r/>
            <w:r>
              <w:rPr>
                <w:sz w:val="16"/>
              </w:rPr>
              <w:t>34 Ma'alot, Beit Jann</w:t>
            </w:r>
          </w:p>
        </w:tc>
        <w:tc>
          <w:tcPr>
            <w:tcW w:type="dxa" w:w="907"/>
          </w:tcPr>
          <w:p>
            <w:pPr>
              <w:spacing w:after="20"/>
              <w:jc w:val="right"/>
            </w:pPr>
            <w:r/>
            <w:r>
              <w:rPr>
                <w:sz w:val="16"/>
              </w:rPr>
              <w:t>1,455</w:t>
            </w:r>
          </w:p>
        </w:tc>
        <w:tc>
          <w:tcPr>
            <w:tcW w:type="dxa" w:w="907"/>
          </w:tcPr>
          <w:p>
            <w:pPr>
              <w:spacing w:after="20"/>
              <w:jc w:val="right"/>
            </w:pPr>
            <w:r/>
            <w:r>
              <w:rPr>
                <w:sz w:val="16"/>
              </w:rPr>
              <w:t>152</w:t>
            </w:r>
          </w:p>
        </w:tc>
        <w:tc>
          <w:tcPr>
            <w:tcW w:type="dxa" w:w="794"/>
          </w:tcPr>
          <w:p>
            <w:pPr>
              <w:spacing w:after="20"/>
              <w:jc w:val="right"/>
            </w:pPr>
            <w:r/>
            <w:r>
              <w:rPr>
                <w:sz w:val="16"/>
              </w:rPr>
              <w:t>0.10</w:t>
            </w:r>
          </w:p>
        </w:tc>
        <w:tc>
          <w:tcPr>
            <w:tcW w:type="dxa" w:w="964"/>
          </w:tcPr>
          <w:p>
            <w:pPr>
              <w:spacing w:after="20"/>
              <w:jc w:val="right"/>
            </w:pPr>
            <w:r/>
            <w:r>
              <w:rPr>
                <w:sz w:val="16"/>
              </w:rPr>
              <w:t>1,329</w:t>
            </w:r>
          </w:p>
        </w:tc>
        <w:tc>
          <w:tcPr>
            <w:tcW w:type="dxa" w:w="964"/>
          </w:tcPr>
          <w:p>
            <w:pPr>
              <w:spacing w:after="20"/>
              <w:jc w:val="right"/>
            </w:pPr>
            <w:r/>
            <w:r>
              <w:rPr>
                <w:sz w:val="16"/>
              </w:rPr>
              <w:t>736</w:t>
            </w:r>
          </w:p>
        </w:tc>
        <w:tc>
          <w:tcPr>
            <w:tcW w:type="dxa" w:w="907"/>
          </w:tcPr>
          <w:p>
            <w:pPr>
              <w:spacing w:after="20"/>
              <w:jc w:val="right"/>
            </w:pPr>
            <w:r/>
            <w:r>
              <w:rPr>
                <w:sz w:val="16"/>
              </w:rPr>
              <w:t>0.55</w:t>
            </w:r>
          </w:p>
        </w:tc>
        <w:tc>
          <w:tcPr>
            <w:tcW w:type="dxa" w:w="907"/>
          </w:tcPr>
          <w:p>
            <w:pPr>
              <w:spacing w:after="20"/>
              <w:jc w:val="right"/>
            </w:pPr>
            <w:r/>
            <w:r>
              <w:rPr>
                <w:sz w:val="16"/>
              </w:rPr>
              <w:t>—</w:t>
            </w:r>
          </w:p>
        </w:tc>
      </w:tr>
      <w:tr>
        <w:tc>
          <w:tcPr>
            <w:tcW w:type="dxa" w:w="2438"/>
          </w:tcPr>
          <w:p>
            <w:pPr>
              <w:spacing w:after="20"/>
            </w:pPr>
            <w:r/>
            <w:r>
              <w:rPr>
                <w:sz w:val="16"/>
              </w:rPr>
              <w:t>33 Safed</w:t>
            </w:r>
          </w:p>
        </w:tc>
        <w:tc>
          <w:tcPr>
            <w:tcW w:type="dxa" w:w="907"/>
          </w:tcPr>
          <w:p>
            <w:pPr>
              <w:spacing w:after="20"/>
              <w:jc w:val="right"/>
            </w:pPr>
            <w:r/>
            <w:r>
              <w:rPr>
                <w:sz w:val="16"/>
              </w:rPr>
              <w:t>2,625</w:t>
            </w:r>
          </w:p>
        </w:tc>
        <w:tc>
          <w:tcPr>
            <w:tcW w:type="dxa" w:w="907"/>
          </w:tcPr>
          <w:p>
            <w:pPr>
              <w:spacing w:after="20"/>
              <w:jc w:val="right"/>
            </w:pPr>
            <w:r/>
            <w:r>
              <w:rPr>
                <w:sz w:val="16"/>
              </w:rPr>
              <w:t>411</w:t>
            </w:r>
          </w:p>
        </w:tc>
        <w:tc>
          <w:tcPr>
            <w:tcW w:type="dxa" w:w="794"/>
          </w:tcPr>
          <w:p>
            <w:pPr>
              <w:spacing w:after="20"/>
              <w:jc w:val="right"/>
            </w:pPr>
            <w:r/>
            <w:r>
              <w:rPr>
                <w:sz w:val="16"/>
              </w:rPr>
              <w:t>0.16</w:t>
            </w:r>
          </w:p>
        </w:tc>
        <w:tc>
          <w:tcPr>
            <w:tcW w:type="dxa" w:w="964"/>
          </w:tcPr>
          <w:p>
            <w:pPr>
              <w:spacing w:after="20"/>
              <w:jc w:val="right"/>
            </w:pPr>
            <w:r/>
            <w:r>
              <w:rPr>
                <w:sz w:val="16"/>
              </w:rPr>
              <w:t>531</w:t>
            </w:r>
          </w:p>
        </w:tc>
        <w:tc>
          <w:tcPr>
            <w:tcW w:type="dxa" w:w="964"/>
          </w:tcPr>
          <w:p>
            <w:pPr>
              <w:spacing w:after="20"/>
              <w:jc w:val="right"/>
            </w:pPr>
            <w:r/>
            <w:r>
              <w:rPr>
                <w:sz w:val="16"/>
              </w:rPr>
              <w:t>647</w:t>
            </w:r>
          </w:p>
        </w:tc>
        <w:tc>
          <w:tcPr>
            <w:tcW w:type="dxa" w:w="907"/>
          </w:tcPr>
          <w:p>
            <w:pPr>
              <w:spacing w:after="20"/>
              <w:jc w:val="right"/>
            </w:pPr>
            <w:r/>
            <w:r>
              <w:rPr>
                <w:sz w:val="16"/>
              </w:rPr>
              <w:t>1.22</w:t>
            </w:r>
          </w:p>
        </w:tc>
        <w:tc>
          <w:tcPr>
            <w:tcW w:type="dxa" w:w="907"/>
          </w:tcPr>
          <w:p>
            <w:pPr>
              <w:spacing w:after="20"/>
              <w:jc w:val="right"/>
            </w:pPr>
            <w:r/>
            <w:r>
              <w:rPr>
                <w:sz w:val="16"/>
              </w:rPr>
              <w:t>0.39</w:t>
            </w:r>
          </w:p>
        </w:tc>
      </w:tr>
      <w:tr>
        <w:tc>
          <w:tcPr>
            <w:tcW w:type="dxa" w:w="2438"/>
          </w:tcPr>
          <w:p>
            <w:pPr>
              <w:spacing w:after="20"/>
            </w:pPr>
            <w:r/>
            <w:r>
              <w:rPr>
                <w:sz w:val="16"/>
              </w:rPr>
              <w:t>37 Beit She'an</w:t>
            </w:r>
          </w:p>
        </w:tc>
        <w:tc>
          <w:tcPr>
            <w:tcW w:type="dxa" w:w="907"/>
          </w:tcPr>
          <w:p>
            <w:pPr>
              <w:spacing w:after="20"/>
              <w:jc w:val="right"/>
            </w:pPr>
            <w:r/>
            <w:r>
              <w:rPr>
                <w:sz w:val="16"/>
              </w:rPr>
              <w:t>665</w:t>
            </w:r>
          </w:p>
        </w:tc>
        <w:tc>
          <w:tcPr>
            <w:tcW w:type="dxa" w:w="907"/>
          </w:tcPr>
          <w:p>
            <w:pPr>
              <w:spacing w:after="20"/>
              <w:jc w:val="right"/>
            </w:pPr>
            <w:r/>
            <w:r>
              <w:rPr>
                <w:sz w:val="16"/>
              </w:rPr>
              <w:t>30</w:t>
            </w:r>
          </w:p>
        </w:tc>
        <w:tc>
          <w:tcPr>
            <w:tcW w:type="dxa" w:w="794"/>
          </w:tcPr>
          <w:p>
            <w:pPr>
              <w:spacing w:after="20"/>
              <w:jc w:val="right"/>
            </w:pPr>
            <w:r/>
            <w:r>
              <w:rPr>
                <w:sz w:val="16"/>
              </w:rPr>
              <w:t>0.05</w:t>
            </w:r>
          </w:p>
        </w:tc>
        <w:tc>
          <w:tcPr>
            <w:tcW w:type="dxa" w:w="964"/>
          </w:tcPr>
          <w:p>
            <w:pPr>
              <w:spacing w:after="20"/>
              <w:jc w:val="right"/>
            </w:pPr>
            <w:r/>
            <w:r>
              <w:rPr>
                <w:sz w:val="16"/>
              </w:rPr>
              <w:t>1,252</w:t>
            </w:r>
          </w:p>
        </w:tc>
        <w:tc>
          <w:tcPr>
            <w:tcW w:type="dxa" w:w="964"/>
          </w:tcPr>
          <w:p>
            <w:pPr>
              <w:spacing w:after="20"/>
              <w:jc w:val="right"/>
            </w:pPr>
            <w:r/>
            <w:r>
              <w:rPr>
                <w:sz w:val="16"/>
              </w:rPr>
              <w:t>692</w:t>
            </w:r>
          </w:p>
        </w:tc>
        <w:tc>
          <w:tcPr>
            <w:tcW w:type="dxa" w:w="907"/>
          </w:tcPr>
          <w:p>
            <w:pPr>
              <w:spacing w:after="20"/>
              <w:jc w:val="right"/>
            </w:pPr>
            <w:r/>
            <w:r>
              <w:rPr>
                <w:sz w:val="16"/>
              </w:rPr>
              <w:t>0.55</w:t>
            </w:r>
          </w:p>
        </w:tc>
        <w:tc>
          <w:tcPr>
            <w:tcW w:type="dxa" w:w="907"/>
          </w:tcPr>
          <w:p>
            <w:pPr>
              <w:spacing w:after="20"/>
              <w:jc w:val="right"/>
            </w:pPr>
            <w:r/>
            <w:r>
              <w:rPr>
                <w:sz w:val="16"/>
              </w:rPr>
              <w:t>—</w:t>
            </w:r>
          </w:p>
        </w:tc>
      </w:tr>
      <w:tr>
        <w:tc>
          <w:tcPr>
            <w:tcW w:type="dxa" w:w="2438"/>
          </w:tcPr>
          <w:p>
            <w:pPr>
              <w:spacing w:after="20"/>
            </w:pPr>
            <w:r/>
            <w:r>
              <w:rPr>
                <w:sz w:val="16"/>
              </w:rPr>
              <w:t>17 Haifa (Carmel)</w:t>
            </w:r>
          </w:p>
        </w:tc>
        <w:tc>
          <w:tcPr>
            <w:tcW w:type="dxa" w:w="907"/>
          </w:tcPr>
          <w:p>
            <w:pPr>
              <w:spacing w:after="20"/>
              <w:jc w:val="right"/>
            </w:pPr>
            <w:r/>
            <w:r>
              <w:rPr>
                <w:sz w:val="16"/>
              </w:rPr>
              <w:t>2,567</w:t>
            </w:r>
          </w:p>
        </w:tc>
        <w:tc>
          <w:tcPr>
            <w:tcW w:type="dxa" w:w="907"/>
          </w:tcPr>
          <w:p>
            <w:pPr>
              <w:spacing w:after="20"/>
              <w:jc w:val="right"/>
            </w:pPr>
            <w:r/>
            <w:r>
              <w:rPr>
                <w:sz w:val="16"/>
              </w:rPr>
              <w:t>1,905</w:t>
            </w:r>
          </w:p>
        </w:tc>
        <w:tc>
          <w:tcPr>
            <w:tcW w:type="dxa" w:w="794"/>
          </w:tcPr>
          <w:p>
            <w:pPr>
              <w:spacing w:after="20"/>
              <w:jc w:val="right"/>
            </w:pPr>
            <w:r/>
            <w:r>
              <w:rPr>
                <w:sz w:val="16"/>
              </w:rPr>
              <w:t>0.74</w:t>
            </w:r>
          </w:p>
        </w:tc>
        <w:tc>
          <w:tcPr>
            <w:tcW w:type="dxa" w:w="964"/>
          </w:tcPr>
          <w:p>
            <w:pPr>
              <w:spacing w:after="20"/>
              <w:jc w:val="right"/>
            </w:pPr>
            <w:r/>
            <w:r>
              <w:rPr>
                <w:sz w:val="16"/>
              </w:rPr>
              <w:t>4,768</w:t>
            </w:r>
          </w:p>
        </w:tc>
        <w:tc>
          <w:tcPr>
            <w:tcW w:type="dxa" w:w="964"/>
          </w:tcPr>
          <w:p>
            <w:pPr>
              <w:spacing w:after="20"/>
              <w:jc w:val="right"/>
            </w:pPr>
            <w:r/>
            <w:r>
              <w:rPr>
                <w:sz w:val="16"/>
              </w:rPr>
              <w:t>5,063</w:t>
            </w:r>
          </w:p>
        </w:tc>
        <w:tc>
          <w:tcPr>
            <w:tcW w:type="dxa" w:w="907"/>
          </w:tcPr>
          <w:p>
            <w:pPr>
              <w:spacing w:after="20"/>
              <w:jc w:val="right"/>
            </w:pPr>
            <w:r/>
            <w:r>
              <w:rPr>
                <w:sz w:val="16"/>
              </w:rPr>
              <w:t>1.06</w:t>
            </w:r>
          </w:p>
        </w:tc>
        <w:tc>
          <w:tcPr>
            <w:tcW w:type="dxa" w:w="907"/>
          </w:tcPr>
          <w:p>
            <w:pPr>
              <w:spacing w:after="20"/>
              <w:jc w:val="right"/>
            </w:pPr>
            <w:r/>
            <w:r>
              <w:rPr>
                <w:sz w:val="16"/>
              </w:rPr>
              <w:t>0.99</w:t>
            </w:r>
          </w:p>
        </w:tc>
      </w:tr>
      <w:tr>
        <w:tc>
          <w:tcPr>
            <w:tcW w:type="dxa" w:w="2438"/>
          </w:tcPr>
          <w:p>
            <w:pPr>
              <w:spacing w:after="20"/>
            </w:pPr>
            <w:r/>
            <w:r>
              <w:rPr>
                <w:sz w:val="16"/>
              </w:rPr>
              <w:t>16 Haifa (Hadar)</w:t>
            </w:r>
          </w:p>
        </w:tc>
        <w:tc>
          <w:tcPr>
            <w:tcW w:type="dxa" w:w="907"/>
          </w:tcPr>
          <w:p>
            <w:pPr>
              <w:spacing w:after="20"/>
              <w:jc w:val="right"/>
            </w:pPr>
            <w:r/>
            <w:r>
              <w:rPr>
                <w:sz w:val="16"/>
              </w:rPr>
              <w:t>4,390</w:t>
            </w:r>
          </w:p>
        </w:tc>
        <w:tc>
          <w:tcPr>
            <w:tcW w:type="dxa" w:w="907"/>
          </w:tcPr>
          <w:p>
            <w:pPr>
              <w:spacing w:after="20"/>
              <w:jc w:val="right"/>
            </w:pPr>
            <w:r/>
            <w:r>
              <w:rPr>
                <w:sz w:val="16"/>
              </w:rPr>
              <w:t>1,913</w:t>
            </w:r>
          </w:p>
        </w:tc>
        <w:tc>
          <w:tcPr>
            <w:tcW w:type="dxa" w:w="794"/>
          </w:tcPr>
          <w:p>
            <w:pPr>
              <w:spacing w:after="20"/>
              <w:jc w:val="right"/>
            </w:pPr>
            <w:r/>
            <w:r>
              <w:rPr>
                <w:sz w:val="16"/>
              </w:rPr>
              <w:t>0.44</w:t>
            </w:r>
          </w:p>
        </w:tc>
        <w:tc>
          <w:tcPr>
            <w:tcW w:type="dxa" w:w="964"/>
          </w:tcPr>
          <w:p>
            <w:pPr>
              <w:spacing w:after="20"/>
              <w:jc w:val="right"/>
            </w:pPr>
            <w:r/>
            <w:r>
              <w:rPr>
                <w:sz w:val="16"/>
              </w:rPr>
              <w:t>4,458</w:t>
            </w:r>
          </w:p>
        </w:tc>
        <w:tc>
          <w:tcPr>
            <w:tcW w:type="dxa" w:w="964"/>
          </w:tcPr>
          <w:p>
            <w:pPr>
              <w:spacing w:after="20"/>
              <w:jc w:val="right"/>
            </w:pPr>
            <w:r/>
            <w:r>
              <w:rPr>
                <w:sz w:val="16"/>
              </w:rPr>
              <w:t>3,420</w:t>
            </w:r>
          </w:p>
        </w:tc>
        <w:tc>
          <w:tcPr>
            <w:tcW w:type="dxa" w:w="907"/>
          </w:tcPr>
          <w:p>
            <w:pPr>
              <w:spacing w:after="20"/>
              <w:jc w:val="right"/>
            </w:pPr>
            <w:r/>
            <w:r>
              <w:rPr>
                <w:sz w:val="16"/>
              </w:rPr>
              <w:t>0.77</w:t>
            </w:r>
          </w:p>
        </w:tc>
        <w:tc>
          <w:tcPr>
            <w:tcW w:type="dxa" w:w="907"/>
          </w:tcPr>
          <w:p>
            <w:pPr>
              <w:spacing w:after="20"/>
              <w:jc w:val="right"/>
            </w:pPr>
            <w:r/>
            <w:r>
              <w:rPr>
                <w:sz w:val="16"/>
              </w:rPr>
              <w:t>0.58</w:t>
            </w:r>
          </w:p>
        </w:tc>
      </w:tr>
      <w:tr>
        <w:tc>
          <w:tcPr>
            <w:tcW w:type="dxa" w:w="2438"/>
          </w:tcPr>
          <w:p>
            <w:pPr>
              <w:spacing w:after="20"/>
            </w:pPr>
            <w:r/>
            <w:r>
              <w:rPr>
                <w:sz w:val="16"/>
              </w:rPr>
              <w:t>9 Kiryat Ata</w:t>
            </w:r>
          </w:p>
        </w:tc>
        <w:tc>
          <w:tcPr>
            <w:tcW w:type="dxa" w:w="907"/>
          </w:tcPr>
          <w:p>
            <w:pPr>
              <w:spacing w:after="20"/>
              <w:jc w:val="right"/>
            </w:pPr>
            <w:r/>
            <w:r>
              <w:rPr>
                <w:sz w:val="16"/>
              </w:rPr>
              <w:t>3,212</w:t>
            </w:r>
          </w:p>
        </w:tc>
        <w:tc>
          <w:tcPr>
            <w:tcW w:type="dxa" w:w="907"/>
          </w:tcPr>
          <w:p>
            <w:pPr>
              <w:spacing w:after="20"/>
              <w:jc w:val="right"/>
            </w:pPr>
            <w:r/>
            <w:r>
              <w:rPr>
                <w:sz w:val="16"/>
              </w:rPr>
              <w:t>1,888</w:t>
            </w:r>
          </w:p>
        </w:tc>
        <w:tc>
          <w:tcPr>
            <w:tcW w:type="dxa" w:w="794"/>
          </w:tcPr>
          <w:p>
            <w:pPr>
              <w:spacing w:after="20"/>
              <w:jc w:val="right"/>
            </w:pPr>
            <w:r/>
            <w:r>
              <w:rPr>
                <w:sz w:val="16"/>
              </w:rPr>
              <w:t>0.59</w:t>
            </w:r>
          </w:p>
        </w:tc>
        <w:tc>
          <w:tcPr>
            <w:tcW w:type="dxa" w:w="964"/>
          </w:tcPr>
          <w:p>
            <w:pPr>
              <w:spacing w:after="20"/>
              <w:jc w:val="right"/>
            </w:pPr>
            <w:r/>
            <w:r>
              <w:rPr>
                <w:sz w:val="16"/>
              </w:rPr>
              <w:t>1,734</w:t>
            </w:r>
          </w:p>
        </w:tc>
        <w:tc>
          <w:tcPr>
            <w:tcW w:type="dxa" w:w="964"/>
          </w:tcPr>
          <w:p>
            <w:pPr>
              <w:spacing w:after="20"/>
              <w:jc w:val="right"/>
            </w:pPr>
            <w:r/>
            <w:r>
              <w:rPr>
                <w:sz w:val="16"/>
              </w:rPr>
              <w:t>2,532</w:t>
            </w:r>
          </w:p>
        </w:tc>
        <w:tc>
          <w:tcPr>
            <w:tcW w:type="dxa" w:w="907"/>
          </w:tcPr>
          <w:p>
            <w:pPr>
              <w:spacing w:after="20"/>
              <w:jc w:val="right"/>
            </w:pPr>
            <w:r/>
            <w:r>
              <w:rPr>
                <w:sz w:val="16"/>
              </w:rPr>
              <w:t>1.46</w:t>
            </w:r>
          </w:p>
        </w:tc>
        <w:tc>
          <w:tcPr>
            <w:tcW w:type="dxa" w:w="907"/>
          </w:tcPr>
          <w:p>
            <w:pPr>
              <w:spacing w:after="20"/>
              <w:jc w:val="right"/>
            </w:pPr>
            <w:r/>
            <w:r>
              <w:rPr>
                <w:sz w:val="16"/>
              </w:rPr>
              <w:t>2.06</w:t>
            </w:r>
          </w:p>
        </w:tc>
      </w:tr>
    </w:tbl>
    <w:p>
      <w:pPr>
        <w:spacing w:after="40"/>
      </w:pPr>
    </w:p>
    <w:p>
      <w:r>
        <w:rPr>
          <w:i/>
          <w:color w:val="52514E"/>
          <w:sz w:val="18"/>
        </w:rPr>
        <w:t>Survey bus trips (2018, expanded) and RavKav journeys (2022) by origin superzone, local versus inter-superzone; "to Haifa" = ratio for destinations in the Haifa superzones.</w:t>
      </w:r>
    </w:p>
    <w:p>
      <w:r>
        <w:rPr>
          <w:i w:val="0"/>
        </w:rPr>
        <w:t>The shortfall is a local-trip shortfall. Nazareth's trips to Haifa are three quarters covered; its trips within Nazareth are covered at 8 %. That is why the coverage test is now applied per segment. Under it, 28 origin-by-segment cells keep survey volumes: 17 local segments (the seven superzones above plus Haifa 14 and 16 at 0.44–0.48, Tiberias at 0.05, Afula, Migdal HaEmek, Nof HaGalil, Karmiel and others), 5 corridor-bound and 6 other. Nazareth's corridor-bound segment is calibrated to ticketing.</w:t>
      </w:r>
    </w:p>
    <w:p>
      <w:r>
        <w:rPr>
          <w:i w:val="0"/>
        </w:rPr>
        <w:t>What a low ratio means is not settled. Ticketing may miss operators, cash fares or un-geocoded stops; the survey expansion may overstate short local bus trips; both may be true. The raw ticketing file records about 3,500 morning boarding legs in the Nazareth superzone against 12,400 survey-expanded bus trips, so the gap is in the ticketing volume itself, not in how journeys were placed on the map. The files carry route ids but no operator field. The question of which operators and fare types the extract covers is with the data provider; until it is answered the threshold of 0.5 is an assumption, and the sensitivity to it is reported below.</w:t>
      </w:r>
    </w:p>
    <w:p>
      <w:pPr>
        <w:pStyle w:val="Heading2"/>
      </w:pPr>
      <w:r>
        <w:t>5.5 Results and validation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3969"/>
            <w:shd w:val="clear" w:color="auto" w:fill="E8EEF6"/>
          </w:tcPr>
          <w:p>
            <w:pPr>
              <w:spacing w:after="20"/>
            </w:pPr>
            <w:r/>
            <w:r>
              <w:rPr>
                <w:b/>
                <w:sz w:val="18"/>
              </w:rPr>
              <w:t>Component</w:t>
            </w:r>
          </w:p>
        </w:tc>
        <w:tc>
          <w:tcPr>
            <w:tcW w:type="dxa" w:w="1587"/>
            <w:shd w:val="clear" w:color="auto" w:fill="E8EEF6"/>
          </w:tcPr>
          <w:p>
            <w:pPr>
              <w:spacing w:after="20"/>
            </w:pPr>
            <w:r/>
            <w:r>
              <w:rPr>
                <w:b/>
                <w:sz w:val="18"/>
              </w:rPr>
              <w:t>Survey 2018</w:t>
            </w:r>
          </w:p>
        </w:tc>
        <w:tc>
          <w:tcPr>
            <w:tcW w:type="dxa" w:w="1587"/>
            <w:shd w:val="clear" w:color="auto" w:fill="E8EEF6"/>
          </w:tcPr>
          <w:p>
            <w:pPr>
              <w:spacing w:after="20"/>
            </w:pPr>
            <w:r/>
            <w:r>
              <w:rPr>
                <w:b/>
                <w:sz w:val="18"/>
              </w:rPr>
              <w:t>Binary guard (rev. 1)</w:t>
            </w:r>
          </w:p>
        </w:tc>
        <w:tc>
          <w:tcPr>
            <w:tcW w:type="dxa" w:w="1701"/>
            <w:shd w:val="clear" w:color="auto" w:fill="E8EEF6"/>
          </w:tcPr>
          <w:p>
            <w:pPr>
              <w:spacing w:after="20"/>
            </w:pPr>
            <w:r/>
            <w:r>
              <w:rPr>
                <w:b/>
                <w:sz w:val="18"/>
              </w:rPr>
              <w:t>Segmented rule (rev. 2)</w:t>
            </w:r>
          </w:p>
        </w:tc>
      </w:tr>
      <w:tr>
        <w:tc>
          <w:tcPr>
            <w:tcW w:type="dxa" w:w="3969"/>
          </w:tcPr>
          <w:p>
            <w:pPr>
              <w:spacing w:after="20"/>
            </w:pPr>
            <w:r/>
            <w:r>
              <w:rPr>
                <w:sz w:val="18"/>
              </w:rPr>
              <w:t>Bus (public bus + Matronit)</w:t>
            </w:r>
          </w:p>
        </w:tc>
        <w:tc>
          <w:tcPr>
            <w:tcW w:type="dxa" w:w="1587"/>
          </w:tcPr>
          <w:p>
            <w:pPr>
              <w:spacing w:after="20"/>
              <w:jc w:val="right"/>
            </w:pPr>
            <w:r/>
            <w:r>
              <w:rPr>
                <w:sz w:val="18"/>
              </w:rPr>
              <w:t>116,083</w:t>
            </w:r>
          </w:p>
        </w:tc>
        <w:tc>
          <w:tcPr>
            <w:tcW w:type="dxa" w:w="1587"/>
          </w:tcPr>
          <w:p>
            <w:pPr>
              <w:spacing w:after="20"/>
              <w:jc w:val="right"/>
            </w:pPr>
            <w:r/>
            <w:r>
              <w:rPr>
                <w:sz w:val="18"/>
              </w:rPr>
              <w:t>110,654</w:t>
            </w:r>
          </w:p>
        </w:tc>
        <w:tc>
          <w:tcPr>
            <w:tcW w:type="dxa" w:w="1701"/>
          </w:tcPr>
          <w:p>
            <w:pPr>
              <w:spacing w:after="20"/>
              <w:jc w:val="right"/>
            </w:pPr>
            <w:r/>
            <w:r>
              <w:rPr>
                <w:sz w:val="18"/>
              </w:rPr>
              <w:t>126,117</w:t>
            </w:r>
          </w:p>
        </w:tc>
      </w:tr>
      <w:tr>
        <w:tc>
          <w:tcPr>
            <w:tcW w:type="dxa" w:w="3969"/>
          </w:tcPr>
          <w:p>
            <w:pPr>
              <w:spacing w:after="20"/>
            </w:pPr>
            <w:r/>
            <w:r>
              <w:rPr>
                <w:sz w:val="18"/>
              </w:rPr>
              <w:t>of which local (inside one superzone)</w:t>
            </w:r>
          </w:p>
        </w:tc>
        <w:tc>
          <w:tcPr>
            <w:tcW w:type="dxa" w:w="1587"/>
          </w:tcPr>
          <w:p>
            <w:pPr>
              <w:spacing w:after="20"/>
              <w:jc w:val="right"/>
            </w:pPr>
            <w:r/>
            <w:r>
              <w:rPr>
                <w:sz w:val="18"/>
              </w:rPr>
              <w:t>62,090</w:t>
            </w:r>
          </w:p>
        </w:tc>
        <w:tc>
          <w:tcPr>
            <w:tcW w:type="dxa" w:w="1587"/>
          </w:tcPr>
          <w:p>
            <w:pPr>
              <w:spacing w:after="20"/>
              <w:jc w:val="right"/>
            </w:pPr>
            <w:r/>
            <w:r>
              <w:rPr>
                <w:sz w:val="18"/>
              </w:rPr>
              <w:t>51,007</w:t>
            </w:r>
          </w:p>
        </w:tc>
        <w:tc>
          <w:tcPr>
            <w:tcW w:type="dxa" w:w="1701"/>
          </w:tcPr>
          <w:p>
            <w:pPr>
              <w:spacing w:after="20"/>
              <w:jc w:val="right"/>
            </w:pPr>
            <w:r/>
            <w:r>
              <w:rPr>
                <w:sz w:val="18"/>
              </w:rPr>
              <w:t>60,200</w:t>
            </w:r>
          </w:p>
        </w:tc>
      </w:tr>
      <w:tr>
        <w:tc>
          <w:tcPr>
            <w:tcW w:type="dxa" w:w="3969"/>
          </w:tcPr>
          <w:p>
            <w:pPr>
              <w:spacing w:after="20"/>
            </w:pPr>
            <w:r/>
            <w:r>
              <w:rPr>
                <w:sz w:val="18"/>
              </w:rPr>
              <w:t>of which between superzones</w:t>
            </w:r>
          </w:p>
        </w:tc>
        <w:tc>
          <w:tcPr>
            <w:tcW w:type="dxa" w:w="1587"/>
          </w:tcPr>
          <w:p>
            <w:pPr>
              <w:spacing w:after="20"/>
              <w:jc w:val="right"/>
            </w:pPr>
            <w:r/>
            <w:r>
              <w:rPr>
                <w:sz w:val="18"/>
              </w:rPr>
              <w:t>53,992</w:t>
            </w:r>
          </w:p>
        </w:tc>
        <w:tc>
          <w:tcPr>
            <w:tcW w:type="dxa" w:w="1587"/>
          </w:tcPr>
          <w:p>
            <w:pPr>
              <w:spacing w:after="20"/>
              <w:jc w:val="right"/>
            </w:pPr>
            <w:r/>
            <w:r>
              <w:rPr>
                <w:sz w:val="18"/>
              </w:rPr>
              <w:t>59,648</w:t>
            </w:r>
          </w:p>
        </w:tc>
        <w:tc>
          <w:tcPr>
            <w:tcW w:type="dxa" w:w="1701"/>
          </w:tcPr>
          <w:p>
            <w:pPr>
              <w:spacing w:after="20"/>
              <w:jc w:val="right"/>
            </w:pPr>
            <w:r/>
            <w:r>
              <w:rPr>
                <w:sz w:val="18"/>
              </w:rPr>
              <w:t>65,917</w:t>
            </w:r>
          </w:p>
        </w:tc>
      </w:tr>
      <w:tr>
        <w:tc>
          <w:tcPr>
            <w:tcW w:type="dxa" w:w="3969"/>
          </w:tcPr>
          <w:p>
            <w:pPr>
              <w:spacing w:after="20"/>
            </w:pPr>
            <w:r/>
            <w:r>
              <w:rPr>
                <w:sz w:val="18"/>
              </w:rPr>
              <w:t>Bus if ticketing volumes were used everywhere</w:t>
            </w:r>
          </w:p>
        </w:tc>
        <w:tc>
          <w:tcPr>
            <w:tcW w:type="dxa" w:w="1587"/>
          </w:tcPr>
          <w:p>
            <w:pPr>
              <w:spacing w:after="20"/>
              <w:jc w:val="right"/>
            </w:pPr>
            <w:r/>
            <w:r>
              <w:rPr>
                <w:sz w:val="18"/>
              </w:rPr>
            </w:r>
          </w:p>
        </w:tc>
        <w:tc>
          <w:tcPr>
            <w:tcW w:type="dxa" w:w="1587"/>
          </w:tcPr>
          <w:p>
            <w:pPr>
              <w:spacing w:after="20"/>
              <w:jc w:val="right"/>
            </w:pPr>
            <w:r/>
            <w:r>
              <w:rPr>
                <w:sz w:val="18"/>
              </w:rPr>
              <w:t>92,713</w:t>
            </w:r>
          </w:p>
        </w:tc>
        <w:tc>
          <w:tcPr>
            <w:tcW w:type="dxa" w:w="1701"/>
          </w:tcPr>
          <w:p>
            <w:pPr>
              <w:spacing w:after="20"/>
              <w:jc w:val="right"/>
            </w:pPr>
            <w:r/>
            <w:r>
              <w:rPr>
                <w:sz w:val="18"/>
              </w:rPr>
              <w:t>92,713</w:t>
            </w:r>
          </w:p>
        </w:tc>
      </w:tr>
      <w:tr>
        <w:tc>
          <w:tcPr>
            <w:tcW w:type="dxa" w:w="3969"/>
          </w:tcPr>
          <w:p>
            <w:pPr>
              <w:spacing w:after="20"/>
            </w:pPr>
            <w:r/>
            <w:r>
              <w:rPr>
                <w:sz w:val="18"/>
              </w:rPr>
              <w:t>Transit total (bus + taxi-type + rail)</w:t>
            </w:r>
          </w:p>
        </w:tc>
        <w:tc>
          <w:tcPr>
            <w:tcW w:type="dxa" w:w="1587"/>
          </w:tcPr>
          <w:p>
            <w:pPr>
              <w:spacing w:after="20"/>
              <w:jc w:val="right"/>
            </w:pPr>
            <w:r/>
            <w:r>
              <w:rPr>
                <w:sz w:val="18"/>
              </w:rPr>
              <w:t>139,458</w:t>
            </w:r>
          </w:p>
        </w:tc>
        <w:tc>
          <w:tcPr>
            <w:tcW w:type="dxa" w:w="1587"/>
          </w:tcPr>
          <w:p>
            <w:pPr>
              <w:spacing w:after="20"/>
              <w:jc w:val="right"/>
            </w:pPr>
            <w:r/>
            <w:r>
              <w:rPr>
                <w:sz w:val="18"/>
              </w:rPr>
              <w:t>134,029</w:t>
            </w:r>
          </w:p>
        </w:tc>
        <w:tc>
          <w:tcPr>
            <w:tcW w:type="dxa" w:w="1701"/>
          </w:tcPr>
          <w:p>
            <w:pPr>
              <w:spacing w:after="20"/>
              <w:jc w:val="right"/>
            </w:pPr>
            <w:r/>
            <w:r>
              <w:rPr>
                <w:sz w:val="18"/>
              </w:rPr>
              <w:t>149,492</w:t>
            </w:r>
          </w:p>
        </w:tc>
      </w:tr>
      <w:tr>
        <w:tc>
          <w:tcPr>
            <w:tcW w:type="dxa" w:w="3969"/>
          </w:tcPr>
          <w:p>
            <w:pPr>
              <w:spacing w:after="20"/>
            </w:pPr>
            <w:r/>
            <w:r>
              <w:rPr>
                <w:sz w:val="18"/>
              </w:rPr>
              <w:t>Transit share of car + transit</w:t>
            </w:r>
          </w:p>
        </w:tc>
        <w:tc>
          <w:tcPr>
            <w:tcW w:type="dxa" w:w="1587"/>
          </w:tcPr>
          <w:p>
            <w:pPr>
              <w:spacing w:after="20"/>
              <w:jc w:val="right"/>
            </w:pPr>
            <w:r/>
            <w:r>
              <w:rPr>
                <w:sz w:val="18"/>
              </w:rPr>
              <w:t>9.8 %</w:t>
            </w:r>
          </w:p>
        </w:tc>
        <w:tc>
          <w:tcPr>
            <w:tcW w:type="dxa" w:w="1587"/>
          </w:tcPr>
          <w:p>
            <w:pPr>
              <w:spacing w:after="20"/>
              <w:jc w:val="right"/>
            </w:pPr>
            <w:r/>
            <w:r>
              <w:rPr>
                <w:sz w:val="18"/>
              </w:rPr>
              <w:t>9.5 %</w:t>
            </w:r>
          </w:p>
        </w:tc>
        <w:tc>
          <w:tcPr>
            <w:tcW w:type="dxa" w:w="1701"/>
          </w:tcPr>
          <w:p>
            <w:pPr>
              <w:spacing w:after="20"/>
              <w:jc w:val="right"/>
            </w:pPr>
            <w:r/>
            <w:r>
              <w:rPr>
                <w:sz w:val="18"/>
              </w:rPr>
              <w:t>10.4 %</w:t>
            </w:r>
          </w:p>
        </w:tc>
      </w:tr>
    </w:tbl>
    <w:p>
      <w:pPr>
        <w:spacing w:after="40"/>
      </w:pPr>
    </w:p>
    <w:p>
      <w:r>
        <w:rPr>
          <w:i w:val="0"/>
        </w:rPr>
        <w:t>The segmented total is above both sources. The rule is asymmetric: where ticketing sees at least half of the survey's trips it usually sees more than the survey (up to three times at transfer hubs, because journeys are attributed to the boarding stop), and those cells take the ticketing figure; where it sees less than half, the survey figure stays. The local segments keep most of the survey (60,200 against 23,277 ticketed); the inter-superzone segments end close to ticketing (65,917 against 69,436).</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2835"/>
            <w:shd w:val="clear" w:color="auto" w:fill="E8EEF6"/>
          </w:tcPr>
          <w:p>
            <w:pPr>
              <w:spacing w:after="20"/>
            </w:pPr>
            <w:r/>
            <w:r>
              <w:rPr>
                <w:b/>
                <w:sz w:val="18"/>
              </w:rPr>
              <w:t>Coverage threshold</w:t>
            </w:r>
          </w:p>
        </w:tc>
        <w:tc>
          <w:tcPr>
            <w:tcW w:type="dxa" w:w="1191"/>
            <w:shd w:val="clear" w:color="auto" w:fill="E8EEF6"/>
          </w:tcPr>
          <w:p>
            <w:pPr>
              <w:spacing w:after="20"/>
            </w:pPr>
            <w:r/>
            <w:r>
              <w:rPr>
                <w:b/>
                <w:sz w:val="18"/>
              </w:rPr>
              <w:t>0.3</w:t>
            </w:r>
          </w:p>
        </w:tc>
        <w:tc>
          <w:tcPr>
            <w:tcW w:type="dxa" w:w="1191"/>
            <w:shd w:val="clear" w:color="auto" w:fill="E8EEF6"/>
          </w:tcPr>
          <w:p>
            <w:pPr>
              <w:spacing w:after="20"/>
            </w:pPr>
            <w:r/>
            <w:r>
              <w:rPr>
                <w:b/>
                <w:sz w:val="18"/>
              </w:rPr>
              <w:t>0.4</w:t>
            </w:r>
          </w:p>
        </w:tc>
        <w:tc>
          <w:tcPr>
            <w:tcW w:type="dxa" w:w="1304"/>
            <w:shd w:val="clear" w:color="auto" w:fill="E8EEF6"/>
          </w:tcPr>
          <w:p>
            <w:pPr>
              <w:spacing w:after="20"/>
            </w:pPr>
            <w:r/>
            <w:r>
              <w:rPr>
                <w:b/>
                <w:sz w:val="18"/>
              </w:rPr>
              <w:t>0.5 (used)</w:t>
            </w:r>
          </w:p>
        </w:tc>
        <w:tc>
          <w:tcPr>
            <w:tcW w:type="dxa" w:w="1191"/>
            <w:shd w:val="clear" w:color="auto" w:fill="E8EEF6"/>
          </w:tcPr>
          <w:p>
            <w:pPr>
              <w:spacing w:after="20"/>
            </w:pPr>
            <w:r/>
            <w:r>
              <w:rPr>
                <w:b/>
                <w:sz w:val="18"/>
              </w:rPr>
              <w:t>0.6</w:t>
            </w:r>
          </w:p>
        </w:tc>
        <w:tc>
          <w:tcPr>
            <w:tcW w:type="dxa" w:w="1191"/>
            <w:shd w:val="clear" w:color="auto" w:fill="E8EEF6"/>
          </w:tcPr>
          <w:p>
            <w:pPr>
              <w:spacing w:after="20"/>
            </w:pPr>
            <w:r/>
            <w:r>
              <w:rPr>
                <w:b/>
                <w:sz w:val="18"/>
              </w:rPr>
              <w:t>0.7</w:t>
            </w:r>
          </w:p>
        </w:tc>
      </w:tr>
      <w:tr>
        <w:tc>
          <w:tcPr>
            <w:tcW w:type="dxa" w:w="2835"/>
          </w:tcPr>
          <w:p>
            <w:pPr>
              <w:spacing w:after="20"/>
            </w:pPr>
            <w:r/>
            <w:r>
              <w:rPr>
                <w:sz w:val="18"/>
              </w:rPr>
              <w:t>Guarded origin × segment cells</w:t>
            </w:r>
          </w:p>
        </w:tc>
        <w:tc>
          <w:tcPr>
            <w:tcW w:type="dxa" w:w="1191"/>
          </w:tcPr>
          <w:p>
            <w:pPr>
              <w:spacing w:after="20"/>
              <w:jc w:val="right"/>
            </w:pPr>
            <w:r/>
            <w:r>
              <w:rPr>
                <w:sz w:val="18"/>
              </w:rPr>
              <w:t>19</w:t>
            </w:r>
          </w:p>
        </w:tc>
        <w:tc>
          <w:tcPr>
            <w:tcW w:type="dxa" w:w="1191"/>
          </w:tcPr>
          <w:p>
            <w:pPr>
              <w:spacing w:after="20"/>
              <w:jc w:val="right"/>
            </w:pPr>
            <w:r/>
            <w:r>
              <w:rPr>
                <w:sz w:val="18"/>
              </w:rPr>
              <w:t>24</w:t>
            </w:r>
          </w:p>
        </w:tc>
        <w:tc>
          <w:tcPr>
            <w:tcW w:type="dxa" w:w="1304"/>
          </w:tcPr>
          <w:p>
            <w:pPr>
              <w:spacing w:after="20"/>
              <w:jc w:val="right"/>
            </w:pPr>
            <w:r/>
            <w:r>
              <w:rPr>
                <w:sz w:val="18"/>
              </w:rPr>
              <w:t>28</w:t>
            </w:r>
          </w:p>
        </w:tc>
        <w:tc>
          <w:tcPr>
            <w:tcW w:type="dxa" w:w="1191"/>
          </w:tcPr>
          <w:p>
            <w:pPr>
              <w:spacing w:after="20"/>
              <w:jc w:val="right"/>
            </w:pPr>
            <w:r/>
            <w:r>
              <w:rPr>
                <w:sz w:val="18"/>
              </w:rPr>
              <w:t>38</w:t>
            </w:r>
          </w:p>
        </w:tc>
        <w:tc>
          <w:tcPr>
            <w:tcW w:type="dxa" w:w="1191"/>
          </w:tcPr>
          <w:p>
            <w:pPr>
              <w:spacing w:after="20"/>
              <w:jc w:val="right"/>
            </w:pPr>
            <w:r/>
            <w:r>
              <w:rPr>
                <w:sz w:val="18"/>
              </w:rPr>
              <w:t>44</w:t>
            </w:r>
          </w:p>
        </w:tc>
      </w:tr>
      <w:tr>
        <w:tc>
          <w:tcPr>
            <w:tcW w:type="dxa" w:w="2835"/>
          </w:tcPr>
          <w:p>
            <w:pPr>
              <w:spacing w:after="20"/>
            </w:pPr>
            <w:r/>
            <w:r>
              <w:rPr>
                <w:sz w:val="18"/>
              </w:rPr>
              <w:t>Bus total, 2018 base</w:t>
            </w:r>
          </w:p>
        </w:tc>
        <w:tc>
          <w:tcPr>
            <w:tcW w:type="dxa" w:w="1191"/>
          </w:tcPr>
          <w:p>
            <w:pPr>
              <w:spacing w:after="20"/>
              <w:jc w:val="right"/>
            </w:pPr>
            <w:r/>
            <w:r>
              <w:rPr>
                <w:sz w:val="18"/>
              </w:rPr>
              <w:t>117,515</w:t>
            </w:r>
          </w:p>
        </w:tc>
        <w:tc>
          <w:tcPr>
            <w:tcW w:type="dxa" w:w="1191"/>
          </w:tcPr>
          <w:p>
            <w:pPr>
              <w:spacing w:after="20"/>
              <w:jc w:val="right"/>
            </w:pPr>
            <w:r/>
            <w:r>
              <w:rPr>
                <w:sz w:val="18"/>
              </w:rPr>
              <w:t>122,160</w:t>
            </w:r>
          </w:p>
        </w:tc>
        <w:tc>
          <w:tcPr>
            <w:tcW w:type="dxa" w:w="1304"/>
          </w:tcPr>
          <w:p>
            <w:pPr>
              <w:spacing w:after="20"/>
              <w:jc w:val="right"/>
            </w:pPr>
            <w:r/>
            <w:r>
              <w:rPr>
                <w:sz w:val="18"/>
              </w:rPr>
              <w:t>126,117</w:t>
            </w:r>
          </w:p>
        </w:tc>
        <w:tc>
          <w:tcPr>
            <w:tcW w:type="dxa" w:w="1191"/>
          </w:tcPr>
          <w:p>
            <w:pPr>
              <w:spacing w:after="20"/>
              <w:jc w:val="right"/>
            </w:pPr>
            <w:r/>
            <w:r>
              <w:rPr>
                <w:sz w:val="18"/>
              </w:rPr>
              <w:t>130,639</w:t>
            </w:r>
          </w:p>
        </w:tc>
        <w:tc>
          <w:tcPr>
            <w:tcW w:type="dxa" w:w="1191"/>
          </w:tcPr>
          <w:p>
            <w:pPr>
              <w:spacing w:after="20"/>
              <w:jc w:val="right"/>
            </w:pPr>
            <w:r/>
            <w:r>
              <w:rPr>
                <w:sz w:val="18"/>
              </w:rPr>
              <w:t>131,650</w:t>
            </w:r>
          </w:p>
        </w:tc>
      </w:tr>
      <w:tr>
        <w:tc>
          <w:tcPr>
            <w:tcW w:type="dxa" w:w="2835"/>
          </w:tcPr>
          <w:p>
            <w:pPr>
              <w:spacing w:after="20"/>
            </w:pPr>
            <w:r/>
            <w:r>
              <w:rPr>
                <w:sz w:val="18"/>
              </w:rPr>
              <w:t>of which local</w:t>
            </w:r>
          </w:p>
        </w:tc>
        <w:tc>
          <w:tcPr>
            <w:tcW w:type="dxa" w:w="1191"/>
          </w:tcPr>
          <w:p>
            <w:pPr>
              <w:spacing w:after="20"/>
              <w:jc w:val="right"/>
            </w:pPr>
            <w:r/>
            <w:r>
              <w:rPr>
                <w:sz w:val="18"/>
              </w:rPr>
              <w:t>54,406</w:t>
            </w:r>
          </w:p>
        </w:tc>
        <w:tc>
          <w:tcPr>
            <w:tcW w:type="dxa" w:w="1191"/>
          </w:tcPr>
          <w:p>
            <w:pPr>
              <w:spacing w:after="20"/>
              <w:jc w:val="right"/>
            </w:pPr>
            <w:r/>
            <w:r>
              <w:rPr>
                <w:sz w:val="18"/>
              </w:rPr>
              <w:t>57,042</w:t>
            </w:r>
          </w:p>
        </w:tc>
        <w:tc>
          <w:tcPr>
            <w:tcW w:type="dxa" w:w="1304"/>
          </w:tcPr>
          <w:p>
            <w:pPr>
              <w:spacing w:after="20"/>
              <w:jc w:val="right"/>
            </w:pPr>
            <w:r/>
            <w:r>
              <w:rPr>
                <w:sz w:val="18"/>
              </w:rPr>
              <w:t>60,200</w:t>
            </w:r>
          </w:p>
        </w:tc>
        <w:tc>
          <w:tcPr>
            <w:tcW w:type="dxa" w:w="1191"/>
          </w:tcPr>
          <w:p>
            <w:pPr>
              <w:spacing w:after="20"/>
              <w:jc w:val="right"/>
            </w:pPr>
            <w:r/>
            <w:r>
              <w:rPr>
                <w:sz w:val="18"/>
              </w:rPr>
              <w:t>62,723</w:t>
            </w:r>
          </w:p>
        </w:tc>
        <w:tc>
          <w:tcPr>
            <w:tcW w:type="dxa" w:w="1191"/>
          </w:tcPr>
          <w:p>
            <w:pPr>
              <w:spacing w:after="20"/>
              <w:jc w:val="right"/>
            </w:pPr>
            <w:r/>
            <w:r>
              <w:rPr>
                <w:sz w:val="18"/>
              </w:rPr>
              <w:t>63,541</w:t>
            </w:r>
          </w:p>
        </w:tc>
      </w:tr>
    </w:tbl>
    <w:p>
      <w:pPr>
        <w:spacing w:after="40"/>
      </w:pPr>
    </w:p>
    <w:p>
      <w:r>
        <w:rPr>
          <w:i/>
          <w:color w:val="52514E"/>
          <w:sz w:val="18"/>
        </w:rPr>
        <w:t>Sensitivity of the segmented rule to the coverage threshold.</w:t>
      </w:r>
    </w:p>
    <w:p>
      <w:r>
        <w:rPr>
          <w:i w:val="0"/>
        </w:rPr>
        <w:t>Against the RavKav × on-board matrix, the calibrated bus matrix scores: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3685"/>
            <w:shd w:val="clear" w:color="auto" w:fill="E8EEF6"/>
          </w:tcPr>
          <w:p>
            <w:pPr>
              <w:spacing w:after="20"/>
            </w:pPr>
            <w:r/>
            <w:r>
              <w:rPr>
                <w:b/>
                <w:sz w:val="18"/>
              </w:rPr>
              <w:t>Comparison</w:t>
            </w:r>
          </w:p>
        </w:tc>
        <w:tc>
          <w:tcPr>
            <w:tcW w:type="dxa" w:w="1701"/>
            <w:shd w:val="clear" w:color="auto" w:fill="E8EEF6"/>
          </w:tcPr>
          <w:p>
            <w:pPr>
              <w:spacing w:after="20"/>
            </w:pPr>
            <w:r/>
            <w:r>
              <w:rPr>
                <w:b/>
                <w:sz w:val="18"/>
              </w:rPr>
              <w:t>Cosine, superzones</w:t>
            </w:r>
          </w:p>
        </w:tc>
        <w:tc>
          <w:tcPr>
            <w:tcW w:type="dxa" w:w="1701"/>
            <w:shd w:val="clear" w:color="auto" w:fill="E8EEF6"/>
          </w:tcPr>
          <w:p>
            <w:pPr>
              <w:spacing w:after="20"/>
            </w:pPr>
            <w:r/>
            <w:r>
              <w:rPr>
                <w:b/>
                <w:sz w:val="18"/>
              </w:rPr>
              <w:t>Cosine, sub-areas</w:t>
            </w:r>
          </w:p>
        </w:tc>
        <w:tc>
          <w:tcPr>
            <w:tcW w:type="dxa" w:w="1871"/>
            <w:shd w:val="clear" w:color="auto" w:fill="E8EEF6"/>
          </w:tcPr>
          <w:p>
            <w:pPr>
              <w:spacing w:after="20"/>
            </w:pPr>
            <w:r/>
            <w:r>
              <w:rPr>
                <w:b/>
                <w:sz w:val="18"/>
              </w:rPr>
              <w:t>Flow within GEH 5, sub-areas</w:t>
            </w:r>
          </w:p>
        </w:tc>
      </w:tr>
      <w:tr>
        <w:tc>
          <w:tcPr>
            <w:tcW w:type="dxa" w:w="3685"/>
          </w:tcPr>
          <w:p>
            <w:pPr>
              <w:spacing w:after="20"/>
            </w:pPr>
            <w:r/>
            <w:r>
              <w:rPr>
                <w:sz w:val="18"/>
              </w:rPr>
              <w:t>Raw survey bus vs ticketing matrix</w:t>
            </w:r>
          </w:p>
        </w:tc>
        <w:tc>
          <w:tcPr>
            <w:tcW w:type="dxa" w:w="1701"/>
          </w:tcPr>
          <w:p>
            <w:pPr>
              <w:spacing w:after="20"/>
              <w:jc w:val="right"/>
            </w:pPr>
            <w:r/>
            <w:r>
              <w:rPr>
                <w:sz w:val="18"/>
              </w:rPr>
              <w:t>0.589</w:t>
            </w:r>
          </w:p>
        </w:tc>
        <w:tc>
          <w:tcPr>
            <w:tcW w:type="dxa" w:w="1701"/>
          </w:tcPr>
          <w:p>
            <w:pPr>
              <w:spacing w:after="20"/>
              <w:jc w:val="right"/>
            </w:pPr>
            <w:r/>
            <w:r>
              <w:rPr>
                <w:sz w:val="18"/>
              </w:rPr>
              <w:t>0.745</w:t>
            </w:r>
          </w:p>
        </w:tc>
        <w:tc>
          <w:tcPr>
            <w:tcW w:type="dxa" w:w="1871"/>
          </w:tcPr>
          <w:p>
            <w:pPr>
              <w:spacing w:after="20"/>
              <w:jc w:val="right"/>
            </w:pPr>
            <w:r/>
            <w:r>
              <w:rPr>
                <w:sz w:val="18"/>
              </w:rPr>
              <w:t>30 %</w:t>
            </w:r>
          </w:p>
        </w:tc>
      </w:tr>
      <w:tr>
        <w:tc>
          <w:tcPr>
            <w:tcW w:type="dxa" w:w="3685"/>
          </w:tcPr>
          <w:p>
            <w:pPr>
              <w:spacing w:after="20"/>
            </w:pPr>
            <w:r/>
            <w:r>
              <w:rPr>
                <w:sz w:val="18"/>
              </w:rPr>
              <w:t>Segmented rule vs ticketing matrix</w:t>
            </w:r>
          </w:p>
        </w:tc>
        <w:tc>
          <w:tcPr>
            <w:tcW w:type="dxa" w:w="1701"/>
          </w:tcPr>
          <w:p>
            <w:pPr>
              <w:spacing w:after="20"/>
              <w:jc w:val="right"/>
            </w:pPr>
            <w:r/>
            <w:r>
              <w:rPr>
                <w:sz w:val="18"/>
              </w:rPr>
              <w:t>0.601</w:t>
            </w:r>
          </w:p>
        </w:tc>
        <w:tc>
          <w:tcPr>
            <w:tcW w:type="dxa" w:w="1701"/>
          </w:tcPr>
          <w:p>
            <w:pPr>
              <w:spacing w:after="20"/>
              <w:jc w:val="right"/>
            </w:pPr>
            <w:r/>
            <w:r>
              <w:rPr>
                <w:sz w:val="18"/>
              </w:rPr>
              <w:t>0.872</w:t>
            </w:r>
          </w:p>
        </w:tc>
        <w:tc>
          <w:tcPr>
            <w:tcW w:type="dxa" w:w="1871"/>
          </w:tcPr>
          <w:p>
            <w:pPr>
              <w:spacing w:after="20"/>
              <w:jc w:val="right"/>
            </w:pPr>
            <w:r/>
            <w:r>
              <w:rPr>
                <w:sz w:val="18"/>
              </w:rPr>
              <w:t>64 %</w:t>
            </w:r>
          </w:p>
        </w:tc>
      </w:tr>
      <w:tr>
        <w:tc>
          <w:tcPr>
            <w:tcW w:type="dxa" w:w="3685"/>
          </w:tcPr>
          <w:p>
            <w:pPr>
              <w:spacing w:after="20"/>
            </w:pPr>
            <w:r/>
            <w:r>
              <w:rPr>
                <w:sz w:val="18"/>
              </w:rPr>
              <w:t>Binary guard (rev. 1) vs ticketing matrix</w:t>
            </w:r>
          </w:p>
        </w:tc>
        <w:tc>
          <w:tcPr>
            <w:tcW w:type="dxa" w:w="1701"/>
          </w:tcPr>
          <w:p>
            <w:pPr>
              <w:spacing w:after="20"/>
              <w:jc w:val="right"/>
            </w:pPr>
            <w:r/>
            <w:r>
              <w:rPr>
                <w:sz w:val="18"/>
              </w:rPr>
              <w:t>0.658</w:t>
            </w:r>
          </w:p>
        </w:tc>
        <w:tc>
          <w:tcPr>
            <w:tcW w:type="dxa" w:w="1701"/>
          </w:tcPr>
          <w:p>
            <w:pPr>
              <w:spacing w:after="20"/>
              <w:jc w:val="right"/>
            </w:pPr>
            <w:r/>
            <w:r>
              <w:rPr>
                <w:sz w:val="18"/>
              </w:rPr>
              <w:t>0.882</w:t>
            </w:r>
          </w:p>
        </w:tc>
        <w:tc>
          <w:tcPr>
            <w:tcW w:type="dxa" w:w="1871"/>
          </w:tcPr>
          <w:p>
            <w:pPr>
              <w:spacing w:after="20"/>
              <w:jc w:val="right"/>
            </w:pPr>
            <w:r/>
            <w:r>
              <w:rPr>
                <w:sz w:val="18"/>
              </w:rPr>
              <w:t>67 %</w:t>
            </w:r>
          </w:p>
        </w:tc>
      </w:tr>
      <w:tr>
        <w:tc>
          <w:tcPr>
            <w:tcW w:type="dxa" w:w="3685"/>
          </w:tcPr>
          <w:p>
            <w:pPr>
              <w:spacing w:after="20"/>
            </w:pPr>
            <w:r/>
            <w:r>
              <w:rPr>
                <w:sz w:val="18"/>
              </w:rPr>
              <w:t>Segmented rule vs raw survey bus</w:t>
            </w:r>
          </w:p>
        </w:tc>
        <w:tc>
          <w:tcPr>
            <w:tcW w:type="dxa" w:w="1701"/>
          </w:tcPr>
          <w:p>
            <w:pPr>
              <w:spacing w:after="20"/>
              <w:jc w:val="right"/>
            </w:pPr>
            <w:r/>
            <w:r>
              <w:rPr>
                <w:sz w:val="18"/>
              </w:rPr>
              <w:t>0.978</w:t>
            </w:r>
          </w:p>
        </w:tc>
        <w:tc>
          <w:tcPr>
            <w:tcW w:type="dxa" w:w="1701"/>
          </w:tcPr>
          <w:p>
            <w:pPr>
              <w:spacing w:after="20"/>
              <w:jc w:val="right"/>
            </w:pPr>
            <w:r/>
            <w:r>
              <w:rPr>
                <w:sz w:val="18"/>
              </w:rPr>
              <w:t>0.853</w:t>
            </w:r>
          </w:p>
        </w:tc>
        <w:tc>
          <w:tcPr>
            <w:tcW w:type="dxa" w:w="1871"/>
          </w:tcPr>
          <w:p>
            <w:pPr>
              <w:spacing w:after="20"/>
              <w:jc w:val="right"/>
            </w:pPr>
            <w:r/>
            <w:r>
              <w:rPr>
                <w:sz w:val="18"/>
              </w:rPr>
              <w:t>51 %</w:t>
            </w:r>
          </w:p>
        </w:tc>
      </w:tr>
      <w:tr>
        <w:tc>
          <w:tcPr>
            <w:tcW w:type="dxa" w:w="3685"/>
          </w:tcPr>
          <w:p>
            <w:pPr>
              <w:spacing w:after="20"/>
            </w:pPr>
            <w:r/>
            <w:r>
              <w:rPr>
                <w:sz w:val="18"/>
              </w:rPr>
              <w:t>Survey bus, day 1 vs day 2 (repeatability)</w:t>
            </w:r>
          </w:p>
        </w:tc>
        <w:tc>
          <w:tcPr>
            <w:tcW w:type="dxa" w:w="1701"/>
          </w:tcPr>
          <w:p>
            <w:pPr>
              <w:spacing w:after="20"/>
              <w:jc w:val="right"/>
            </w:pPr>
            <w:r/>
            <w:r>
              <w:rPr>
                <w:sz w:val="18"/>
              </w:rPr>
              <w:t>0.880</w:t>
            </w:r>
          </w:p>
        </w:tc>
        <w:tc>
          <w:tcPr>
            <w:tcW w:type="dxa" w:w="1701"/>
          </w:tcPr>
          <w:p>
            <w:pPr>
              <w:spacing w:after="20"/>
              <w:jc w:val="right"/>
            </w:pPr>
            <w:r/>
            <w:r>
              <w:rPr>
                <w:sz w:val="18"/>
              </w:rPr>
              <w:t>0.911</w:t>
            </w:r>
          </w:p>
        </w:tc>
        <w:tc>
          <w:tcPr>
            <w:tcW w:type="dxa" w:w="1871"/>
          </w:tcPr>
          <w:p>
            <w:pPr>
              <w:spacing w:after="20"/>
              <w:jc w:val="right"/>
            </w:pPr>
            <w:r/>
            <w:r>
              <w:rPr>
                <w:sz w:val="18"/>
              </w:rPr>
              <w:t>67 %</w:t>
            </w:r>
          </w:p>
        </w:tc>
      </w:tr>
    </w:tbl>
    <w:p>
      <w:pPr>
        <w:spacing w:after="40"/>
      </w:pPr>
    </w:p>
    <w:p>
      <w:r>
        <w:rPr>
          <w:i/>
          <w:color w:val="52514E"/>
          <w:sz w:val="18"/>
        </w:rPr>
        <w:t>Agreement with the ticketing matrix before and after calibration. A closer fit to the source used for calibration is a check of direction, not an independent validation.</w:t>
      </w:r>
    </w:p>
    <w:p>
      <w:r>
        <w:rPr>
          <w:i w:val="0"/>
        </w:rPr>
        <w:t>The segmented rule scores slightly below the binary one on these measures, as expected: it keeps more survey volume in local cells where ticketing is thin. Destination totals were never forced, yet they moved closer to the on-board alightings (cosine 0.86, from 0.78). Inside the corridor the calibration moved the transit share from 12.7 % to 16.2 % of corridor-to-corridor trips (2018 base, transit including taxi-type and rail).</w:t>
      </w:r>
    </w:p>
    <w:p>
      <w:pPr>
        <w:jc w:val="center"/>
      </w:pPr>
      <w:r>
        <w:drawing>
          <wp:inline xmlns:a="http://schemas.openxmlformats.org/drawingml/2006/main" xmlns:pic="http://schemas.openxmlformats.org/drawingml/2006/picture">
            <wp:extent cx="5724000" cy="2483683"/>
            <wp:docPr id="6" name="Picture 6"/>
            <wp:cNvGraphicFramePr>
              <a:graphicFrameLocks noChangeAspect="1"/>
            </wp:cNvGraphicFramePr>
            <a:graphic>
              <a:graphicData uri="http://schemas.openxmlformats.org/drawingml/2006/picture">
                <pic:pic>
                  <pic:nvPicPr>
                    <pic:cNvPr id="0" name="two_mode_transit_share.png"/>
                    <pic:cNvPicPr/>
                  </pic:nvPicPr>
                  <pic:blipFill>
                    <a:blip r:embed="rId14"/>
                    <a:stretch>
                      <a:fillRect/>
                    </a:stretch>
                  </pic:blipFill>
                  <pic:spPr>
                    <a:xfrm>
                      <a:off x="0" y="0"/>
                      <a:ext cx="5724000" cy="2483683"/>
                    </a:xfrm>
                    <a:prstGeom prst="rect"/>
                  </pic:spPr>
                </pic:pic>
              </a:graphicData>
            </a:graphic>
          </wp:inline>
        </w:drawing>
      </w:r>
    </w:p>
    <w:p>
      <w:r>
        <w:rPr>
          <w:i/>
          <w:color w:val="52514E"/>
          <w:sz w:val="18"/>
        </w:rPr>
        <w:t>Figure 6. Left: transit share by origin superzone before and after calibration. Right: superzone bus cells against the ticketing matrix, survey (grey) and calibrated (green).</w:t>
      </w:r>
    </w:p>
    <w:p>
      <w:pPr>
        <w:pStyle w:val="Heading1"/>
      </w:pPr>
      <w:r>
        <w:t>6. Part D — moving to 2022 and splitting into car, bus, taxi-type and rail</w:t>
      </w:r>
    </w:p>
    <w:p>
      <w:pPr>
        <w:pStyle w:val="Heading2"/>
      </w:pPr>
      <w:r>
        <w:t>6.1 The idea</w:t>
      </w:r>
    </w:p>
    <w:p>
      <w:r>
        <w:rPr>
          <w:i w:val="0"/>
        </w:rPr>
        <w:t>The survey describes 2018. The ticketing data describes May 2022, which is also the base year the study uses. Rather than mix years, everything of survey vintage is moved to 2022 with the convention the repository already uses at area level, now applied at TAZ level.</w:t>
      </w:r>
    </w:p>
    <w:p>
      <w:r>
        <w:rPr>
          <w:i w:val="0"/>
        </w:rPr>
        <w:t>The convention holds trip rates constant: each TAZ keeps its 2018 trips per resident on the origin side and its 2018 trips per job on the destination side. Growth comes from the zonal files: the change from 2020 (observed) to 2025 (forecast, BU scenario), taken at four fifths of the five-year change to represent 2018 to 2022. This extrapolates a forecast trend; it does not measure 2018–2022 change. A TAZ uses its own factor only if its 2020 base is at least 500 people (origins) or jobs (destinations); smaller zones take their superzone's factor. The car matrix is then Furnessed to the grown row and column totals, with the overall total set by the origin side.</w:t>
      </w:r>
    </w:p>
    <w:tbl>
      <w:tblPr>
        <w:tblStyle w:val="TableGrid"/>
        <w:tblW w:type="auto" w:w="0"/>
        <w:jc w:val="center"/>
        <w:tblLook w:firstColumn="1" w:firstRow="1" w:lastColumn="0" w:lastRow="0" w:noHBand="0" w:noVBand="1" w:val="04A0"/>
      </w:tblPr>
      <w:tblGrid>
        <w:gridCol w:w="4513"/>
        <w:gridCol w:w="4513"/>
      </w:tblGrid>
      <w:tr>
        <w:tc>
          <w:tcPr>
            <w:tcW w:type="dxa" w:w="2835"/>
            <w:shd w:val="clear" w:color="auto" w:fill="E8EEF6"/>
          </w:tcPr>
          <w:p>
            <w:pPr>
              <w:spacing w:after="20"/>
            </w:pPr>
            <w:r/>
            <w:r>
              <w:rPr>
                <w:b/>
                <w:sz w:val="18"/>
              </w:rPr>
              <w:t>Layer</w:t>
            </w:r>
          </w:p>
        </w:tc>
        <w:tc>
          <w:tcPr>
            <w:tcW w:type="dxa" w:w="5953"/>
            <w:shd w:val="clear" w:color="auto" w:fill="E8EEF6"/>
          </w:tcPr>
          <w:p>
            <w:pPr>
              <w:spacing w:after="20"/>
            </w:pPr>
            <w:r/>
            <w:r>
              <w:rPr>
                <w:b/>
                <w:sz w:val="18"/>
              </w:rPr>
              <w:t>How it moves to 2022</w:t>
            </w:r>
          </w:p>
        </w:tc>
      </w:tr>
      <w:tr>
        <w:tc>
          <w:tcPr>
            <w:tcW w:type="dxa" w:w="2835"/>
          </w:tcPr>
          <w:p>
            <w:pPr>
              <w:spacing w:after="20"/>
            </w:pPr>
            <w:r/>
            <w:r>
              <w:rPr>
                <w:sz w:val="18"/>
              </w:rPr>
              <w:t>Car</w:t>
            </w:r>
          </w:p>
        </w:tc>
        <w:tc>
          <w:tcPr>
            <w:tcW w:type="dxa" w:w="5953"/>
          </w:tcPr>
          <w:p>
            <w:pPr>
              <w:spacing w:after="20"/>
            </w:pPr>
            <w:r/>
            <w:r>
              <w:rPr>
                <w:sz w:val="18"/>
              </w:rPr>
              <w:t>Furnessed to population-grown origins and employment-grown destinations: +5.5 %</w:t>
            </w:r>
          </w:p>
        </w:tc>
      </w:tr>
      <w:tr>
        <w:tc>
          <w:tcPr>
            <w:tcW w:type="dxa" w:w="2835"/>
          </w:tcPr>
          <w:p>
            <w:pPr>
              <w:spacing w:after="20"/>
            </w:pPr>
            <w:r/>
            <w:r>
              <w:rPr>
                <w:sz w:val="18"/>
              </w:rPr>
              <w:t>Bus, cells that took ticketing volumes</w:t>
            </w:r>
          </w:p>
        </w:tc>
        <w:tc>
          <w:tcPr>
            <w:tcW w:type="dxa" w:w="5953"/>
          </w:tcPr>
          <w:p>
            <w:pPr>
              <w:spacing w:after="20"/>
            </w:pPr>
            <w:r/>
            <w:r>
              <w:rPr>
                <w:sz w:val="18"/>
              </w:rPr>
              <w:t>Already May 2022 counts; untouched (69,066 trips)</w:t>
            </w:r>
          </w:p>
        </w:tc>
      </w:tr>
      <w:tr>
        <w:tc>
          <w:tcPr>
            <w:tcW w:type="dxa" w:w="2835"/>
          </w:tcPr>
          <w:p>
            <w:pPr>
              <w:spacing w:after="20"/>
            </w:pPr>
            <w:r/>
            <w:r>
              <w:rPr>
                <w:sz w:val="18"/>
              </w:rPr>
              <w:t>Bus, coverage-guarded cells</w:t>
            </w:r>
          </w:p>
        </w:tc>
        <w:tc>
          <w:tcPr>
            <w:tcW w:type="dxa" w:w="5953"/>
          </w:tcPr>
          <w:p>
            <w:pPr>
              <w:spacing w:after="20"/>
            </w:pPr>
            <w:r/>
            <w:r>
              <w:rPr>
                <w:sz w:val="18"/>
              </w:rPr>
              <w:t>Grown by their TAZ's population factor: 57,051 → 60,587</w:t>
            </w:r>
          </w:p>
        </w:tc>
      </w:tr>
      <w:tr>
        <w:tc>
          <w:tcPr>
            <w:tcW w:type="dxa" w:w="2835"/>
          </w:tcPr>
          <w:p>
            <w:pPr>
              <w:spacing w:after="20"/>
            </w:pPr>
            <w:r/>
            <w:r>
              <w:rPr>
                <w:sz w:val="18"/>
              </w:rPr>
              <w:t>Taxi-type (own layer)</w:t>
            </w:r>
          </w:p>
        </w:tc>
        <w:tc>
          <w:tcPr>
            <w:tcW w:type="dxa" w:w="5953"/>
          </w:tcPr>
          <w:p>
            <w:pPr>
              <w:spacing w:after="20"/>
            </w:pPr>
            <w:r/>
            <w:r>
              <w:rPr>
                <w:sz w:val="18"/>
              </w:rPr>
              <w:t>Furnessed like car: 18,266 → 19,359</w:t>
            </w:r>
          </w:p>
        </w:tc>
      </w:tr>
      <w:tr>
        <w:tc>
          <w:tcPr>
            <w:tcW w:type="dxa" w:w="2835"/>
          </w:tcPr>
          <w:p>
            <w:pPr>
              <w:spacing w:after="20"/>
            </w:pPr>
            <w:r/>
            <w:r>
              <w:rPr>
                <w:sz w:val="18"/>
              </w:rPr>
              <w:t>Rail (survey, door-to-door)</w:t>
            </w:r>
          </w:p>
        </w:tc>
        <w:tc>
          <w:tcPr>
            <w:tcW w:type="dxa" w:w="5953"/>
          </w:tcPr>
          <w:p>
            <w:pPr>
              <w:spacing w:after="20"/>
            </w:pPr>
            <w:r/>
            <w:r>
              <w:rPr>
                <w:sz w:val="18"/>
              </w:rPr>
              <w:t>Scaled by the national rail ridership change 2019 → 2022 (× 0.793): 5,109 → 4,050; the 2019 station-to-station smartcard matrix scaled the same way is saved beside it</w:t>
            </w:r>
          </w:p>
        </w:tc>
      </w:tr>
    </w:tbl>
    <w:p>
      <w:pPr>
        <w:spacing w:after="40"/>
      </w:pPr>
    </w:p>
    <w:p>
      <w:pPr>
        <w:pStyle w:val="Heading2"/>
      </w:pPr>
      <w:r>
        <w:t>6.2 Results</w:t>
      </w:r>
    </w:p>
    <w:tbl>
      <w:tblPr>
        <w:tblStyle w:val="TableGrid"/>
        <w:tblW w:type="auto" w:w="0"/>
        <w:jc w:val="center"/>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871"/>
            <w:shd w:val="clear" w:color="auto" w:fill="E8EEF6"/>
          </w:tcPr>
          <w:p>
            <w:pPr>
              <w:spacing w:after="20"/>
            </w:pPr>
            <w:r/>
            <w:r>
              <w:rPr>
                <w:b/>
                <w:sz w:val="16"/>
              </w:rPr>
              <w:t>Trips by corridor class</w:t>
            </w:r>
          </w:p>
        </w:tc>
        <w:tc>
          <w:tcPr>
            <w:tcW w:type="dxa" w:w="964"/>
            <w:shd w:val="clear" w:color="auto" w:fill="E8EEF6"/>
          </w:tcPr>
          <w:p>
            <w:pPr>
              <w:spacing w:after="20"/>
            </w:pPr>
            <w:r/>
            <w:r>
              <w:rPr>
                <w:b/>
                <w:sz w:val="16"/>
              </w:rPr>
              <w:t>Car 2018</w:t>
            </w:r>
          </w:p>
        </w:tc>
        <w:tc>
          <w:tcPr>
            <w:tcW w:type="dxa" w:w="964"/>
            <w:shd w:val="clear" w:color="auto" w:fill="E8EEF6"/>
          </w:tcPr>
          <w:p>
            <w:pPr>
              <w:spacing w:after="20"/>
            </w:pPr>
            <w:r/>
            <w:r>
              <w:rPr>
                <w:b/>
                <w:sz w:val="16"/>
              </w:rPr>
              <w:t>Car 2022</w:t>
            </w:r>
          </w:p>
        </w:tc>
        <w:tc>
          <w:tcPr>
            <w:tcW w:type="dxa" w:w="850"/>
            <w:shd w:val="clear" w:color="auto" w:fill="E8EEF6"/>
          </w:tcPr>
          <w:p>
            <w:pPr>
              <w:spacing w:after="20"/>
            </w:pPr>
            <w:r/>
            <w:r>
              <w:rPr>
                <w:b/>
                <w:sz w:val="16"/>
              </w:rPr>
              <w:t>Bus 2018</w:t>
            </w:r>
          </w:p>
        </w:tc>
        <w:tc>
          <w:tcPr>
            <w:tcW w:type="dxa" w:w="850"/>
            <w:shd w:val="clear" w:color="auto" w:fill="E8EEF6"/>
          </w:tcPr>
          <w:p>
            <w:pPr>
              <w:spacing w:after="20"/>
            </w:pPr>
            <w:r/>
            <w:r>
              <w:rPr>
                <w:b/>
                <w:sz w:val="16"/>
              </w:rPr>
              <w:t>Bus 2022</w:t>
            </w:r>
          </w:p>
        </w:tc>
        <w:tc>
          <w:tcPr>
            <w:tcW w:type="dxa" w:w="794"/>
            <w:shd w:val="clear" w:color="auto" w:fill="E8EEF6"/>
          </w:tcPr>
          <w:p>
            <w:pPr>
              <w:spacing w:after="20"/>
            </w:pPr>
            <w:r/>
            <w:r>
              <w:rPr>
                <w:b/>
                <w:sz w:val="16"/>
              </w:rPr>
              <w:t>Taxi 2018</w:t>
            </w:r>
          </w:p>
        </w:tc>
        <w:tc>
          <w:tcPr>
            <w:tcW w:type="dxa" w:w="794"/>
            <w:shd w:val="clear" w:color="auto" w:fill="E8EEF6"/>
          </w:tcPr>
          <w:p>
            <w:pPr>
              <w:spacing w:after="20"/>
            </w:pPr>
            <w:r/>
            <w:r>
              <w:rPr>
                <w:b/>
                <w:sz w:val="16"/>
              </w:rPr>
              <w:t>Taxi 2022</w:t>
            </w:r>
          </w:p>
        </w:tc>
        <w:tc>
          <w:tcPr>
            <w:tcW w:type="dxa" w:w="794"/>
            <w:shd w:val="clear" w:color="auto" w:fill="E8EEF6"/>
          </w:tcPr>
          <w:p>
            <w:pPr>
              <w:spacing w:after="20"/>
            </w:pPr>
            <w:r/>
            <w:r>
              <w:rPr>
                <w:b/>
                <w:sz w:val="16"/>
              </w:rPr>
              <w:t>Rail 2018</w:t>
            </w:r>
          </w:p>
        </w:tc>
        <w:tc>
          <w:tcPr>
            <w:tcW w:type="dxa" w:w="794"/>
            <w:shd w:val="clear" w:color="auto" w:fill="E8EEF6"/>
          </w:tcPr>
          <w:p>
            <w:pPr>
              <w:spacing w:after="20"/>
            </w:pPr>
            <w:r/>
            <w:r>
              <w:rPr>
                <w:b/>
                <w:sz w:val="16"/>
              </w:rPr>
              <w:t>Rail 2022</w:t>
            </w:r>
          </w:p>
        </w:tc>
      </w:tr>
      <w:tr>
        <w:tc>
          <w:tcPr>
            <w:tcW w:type="dxa" w:w="1871"/>
          </w:tcPr>
          <w:p>
            <w:pPr>
              <w:spacing w:after="20"/>
            </w:pPr>
            <w:r/>
            <w:r>
              <w:rPr>
                <w:sz w:val="16"/>
              </w:rPr>
              <w:t>Corridor → corridor</w:t>
            </w:r>
          </w:p>
        </w:tc>
        <w:tc>
          <w:tcPr>
            <w:tcW w:type="dxa" w:w="964"/>
          </w:tcPr>
          <w:p>
            <w:pPr>
              <w:spacing w:after="20"/>
              <w:jc w:val="right"/>
            </w:pPr>
            <w:r/>
            <w:r>
              <w:rPr>
                <w:sz w:val="16"/>
              </w:rPr>
              <w:t>66,610</w:t>
            </w:r>
          </w:p>
        </w:tc>
        <w:tc>
          <w:tcPr>
            <w:tcW w:type="dxa" w:w="964"/>
          </w:tcPr>
          <w:p>
            <w:pPr>
              <w:spacing w:after="20"/>
              <w:jc w:val="right"/>
            </w:pPr>
            <w:r/>
            <w:r>
              <w:rPr>
                <w:sz w:val="16"/>
              </w:rPr>
              <w:t>72,331</w:t>
            </w:r>
          </w:p>
        </w:tc>
        <w:tc>
          <w:tcPr>
            <w:tcW w:type="dxa" w:w="850"/>
          </w:tcPr>
          <w:p>
            <w:pPr>
              <w:spacing w:after="20"/>
              <w:jc w:val="right"/>
            </w:pPr>
            <w:r/>
            <w:r>
              <w:rPr>
                <w:sz w:val="16"/>
              </w:rPr>
              <w:t>9,282</w:t>
            </w:r>
          </w:p>
        </w:tc>
        <w:tc>
          <w:tcPr>
            <w:tcW w:type="dxa" w:w="850"/>
          </w:tcPr>
          <w:p>
            <w:pPr>
              <w:spacing w:after="20"/>
              <w:jc w:val="right"/>
            </w:pPr>
            <w:r/>
            <w:r>
              <w:rPr>
                <w:sz w:val="16"/>
              </w:rPr>
              <w:t>9,366</w:t>
            </w:r>
          </w:p>
        </w:tc>
        <w:tc>
          <w:tcPr>
            <w:tcW w:type="dxa" w:w="794"/>
          </w:tcPr>
          <w:p>
            <w:pPr>
              <w:spacing w:after="20"/>
              <w:jc w:val="right"/>
            </w:pPr>
            <w:r/>
            <w:r>
              <w:rPr>
                <w:sz w:val="16"/>
              </w:rPr>
              <w:t>3,603</w:t>
            </w:r>
          </w:p>
        </w:tc>
        <w:tc>
          <w:tcPr>
            <w:tcW w:type="dxa" w:w="794"/>
          </w:tcPr>
          <w:p>
            <w:pPr>
              <w:spacing w:after="20"/>
              <w:jc w:val="right"/>
            </w:pPr>
            <w:r/>
            <w:r>
              <w:rPr>
                <w:sz w:val="16"/>
              </w:rPr>
              <w:t>3,812</w:t>
            </w:r>
          </w:p>
        </w:tc>
        <w:tc>
          <w:tcPr>
            <w:tcW w:type="dxa" w:w="794"/>
          </w:tcPr>
          <w:p>
            <w:pPr>
              <w:spacing w:after="20"/>
              <w:jc w:val="right"/>
            </w:pPr>
            <w:r/>
            <w:r>
              <w:rPr>
                <w:sz w:val="16"/>
              </w:rPr>
              <w:t>0</w:t>
            </w:r>
          </w:p>
        </w:tc>
        <w:tc>
          <w:tcPr>
            <w:tcW w:type="dxa" w:w="794"/>
          </w:tcPr>
          <w:p>
            <w:pPr>
              <w:spacing w:after="20"/>
              <w:jc w:val="right"/>
            </w:pPr>
            <w:r/>
            <w:r>
              <w:rPr>
                <w:sz w:val="16"/>
              </w:rPr>
              <w:t>0</w:t>
            </w:r>
          </w:p>
        </w:tc>
      </w:tr>
      <w:tr>
        <w:tc>
          <w:tcPr>
            <w:tcW w:type="dxa" w:w="1871"/>
          </w:tcPr>
          <w:p>
            <w:pPr>
              <w:spacing w:after="20"/>
            </w:pPr>
            <w:r/>
            <w:r>
              <w:rPr>
                <w:sz w:val="16"/>
              </w:rPr>
              <w:t>Corridor → outside</w:t>
            </w:r>
          </w:p>
        </w:tc>
        <w:tc>
          <w:tcPr>
            <w:tcW w:type="dxa" w:w="964"/>
          </w:tcPr>
          <w:p>
            <w:pPr>
              <w:spacing w:after="20"/>
              <w:jc w:val="right"/>
            </w:pPr>
            <w:r/>
            <w:r>
              <w:rPr>
                <w:sz w:val="16"/>
              </w:rPr>
              <w:t>44,039</w:t>
            </w:r>
          </w:p>
        </w:tc>
        <w:tc>
          <w:tcPr>
            <w:tcW w:type="dxa" w:w="964"/>
          </w:tcPr>
          <w:p>
            <w:pPr>
              <w:spacing w:after="20"/>
              <w:jc w:val="right"/>
            </w:pPr>
            <w:r/>
            <w:r>
              <w:rPr>
                <w:sz w:val="16"/>
              </w:rPr>
              <w:t>47,011</w:t>
            </w:r>
          </w:p>
        </w:tc>
        <w:tc>
          <w:tcPr>
            <w:tcW w:type="dxa" w:w="850"/>
          </w:tcPr>
          <w:p>
            <w:pPr>
              <w:spacing w:after="20"/>
              <w:jc w:val="right"/>
            </w:pPr>
            <w:r/>
            <w:r>
              <w:rPr>
                <w:sz w:val="16"/>
              </w:rPr>
              <w:t>9,786</w:t>
            </w:r>
          </w:p>
        </w:tc>
        <w:tc>
          <w:tcPr>
            <w:tcW w:type="dxa" w:w="850"/>
          </w:tcPr>
          <w:p>
            <w:pPr>
              <w:spacing w:after="20"/>
              <w:jc w:val="right"/>
            </w:pPr>
            <w:r/>
            <w:r>
              <w:rPr>
                <w:sz w:val="16"/>
              </w:rPr>
              <w:t>9,812</w:t>
            </w:r>
          </w:p>
        </w:tc>
        <w:tc>
          <w:tcPr>
            <w:tcW w:type="dxa" w:w="794"/>
          </w:tcPr>
          <w:p>
            <w:pPr>
              <w:spacing w:after="20"/>
              <w:jc w:val="right"/>
            </w:pPr>
            <w:r/>
            <w:r>
              <w:rPr>
                <w:sz w:val="16"/>
              </w:rPr>
              <w:t>1,264</w:t>
            </w:r>
          </w:p>
        </w:tc>
        <w:tc>
          <w:tcPr>
            <w:tcW w:type="dxa" w:w="794"/>
          </w:tcPr>
          <w:p>
            <w:pPr>
              <w:spacing w:after="20"/>
              <w:jc w:val="right"/>
            </w:pPr>
            <w:r/>
            <w:r>
              <w:rPr>
                <w:sz w:val="16"/>
              </w:rPr>
              <w:t>1,359</w:t>
            </w:r>
          </w:p>
        </w:tc>
        <w:tc>
          <w:tcPr>
            <w:tcW w:type="dxa" w:w="794"/>
          </w:tcPr>
          <w:p>
            <w:pPr>
              <w:spacing w:after="20"/>
              <w:jc w:val="right"/>
            </w:pPr>
            <w:r/>
            <w:r>
              <w:rPr>
                <w:sz w:val="16"/>
              </w:rPr>
              <w:t>368</w:t>
            </w:r>
          </w:p>
        </w:tc>
        <w:tc>
          <w:tcPr>
            <w:tcW w:type="dxa" w:w="794"/>
          </w:tcPr>
          <w:p>
            <w:pPr>
              <w:spacing w:after="20"/>
              <w:jc w:val="right"/>
            </w:pPr>
            <w:r/>
            <w:r>
              <w:rPr>
                <w:sz w:val="16"/>
              </w:rPr>
              <w:t>292</w:t>
            </w:r>
          </w:p>
        </w:tc>
      </w:tr>
      <w:tr>
        <w:tc>
          <w:tcPr>
            <w:tcW w:type="dxa" w:w="1871"/>
          </w:tcPr>
          <w:p>
            <w:pPr>
              <w:spacing w:after="20"/>
            </w:pPr>
            <w:r/>
            <w:r>
              <w:rPr>
                <w:sz w:val="16"/>
              </w:rPr>
              <w:t>Outside → corridor</w:t>
            </w:r>
          </w:p>
        </w:tc>
        <w:tc>
          <w:tcPr>
            <w:tcW w:type="dxa" w:w="964"/>
          </w:tcPr>
          <w:p>
            <w:pPr>
              <w:spacing w:after="20"/>
              <w:jc w:val="right"/>
            </w:pPr>
            <w:r/>
            <w:r>
              <w:rPr>
                <w:sz w:val="16"/>
              </w:rPr>
              <w:t>94,672</w:t>
            </w:r>
          </w:p>
        </w:tc>
        <w:tc>
          <w:tcPr>
            <w:tcW w:type="dxa" w:w="964"/>
          </w:tcPr>
          <w:p>
            <w:pPr>
              <w:spacing w:after="20"/>
              <w:jc w:val="right"/>
            </w:pPr>
            <w:r/>
            <w:r>
              <w:rPr>
                <w:sz w:val="16"/>
              </w:rPr>
              <w:t>89,181</w:t>
            </w:r>
          </w:p>
        </w:tc>
        <w:tc>
          <w:tcPr>
            <w:tcW w:type="dxa" w:w="850"/>
          </w:tcPr>
          <w:p>
            <w:pPr>
              <w:spacing w:after="20"/>
              <w:jc w:val="right"/>
            </w:pPr>
            <w:r/>
            <w:r>
              <w:rPr>
                <w:sz w:val="16"/>
              </w:rPr>
              <w:t>16,057</w:t>
            </w:r>
          </w:p>
        </w:tc>
        <w:tc>
          <w:tcPr>
            <w:tcW w:type="dxa" w:w="850"/>
          </w:tcPr>
          <w:p>
            <w:pPr>
              <w:spacing w:after="20"/>
              <w:jc w:val="right"/>
            </w:pPr>
            <w:r/>
            <w:r>
              <w:rPr>
                <w:sz w:val="16"/>
              </w:rPr>
              <w:t>16,181</w:t>
            </w:r>
          </w:p>
        </w:tc>
        <w:tc>
          <w:tcPr>
            <w:tcW w:type="dxa" w:w="794"/>
          </w:tcPr>
          <w:p>
            <w:pPr>
              <w:spacing w:after="20"/>
              <w:jc w:val="right"/>
            </w:pPr>
            <w:r/>
            <w:r>
              <w:rPr>
                <w:sz w:val="16"/>
              </w:rPr>
              <w:t>5,416</w:t>
            </w:r>
          </w:p>
        </w:tc>
        <w:tc>
          <w:tcPr>
            <w:tcW w:type="dxa" w:w="794"/>
          </w:tcPr>
          <w:p>
            <w:pPr>
              <w:spacing w:after="20"/>
              <w:jc w:val="right"/>
            </w:pPr>
            <w:r/>
            <w:r>
              <w:rPr>
                <w:sz w:val="16"/>
              </w:rPr>
              <w:t>5,479</w:t>
            </w:r>
          </w:p>
        </w:tc>
        <w:tc>
          <w:tcPr>
            <w:tcW w:type="dxa" w:w="794"/>
          </w:tcPr>
          <w:p>
            <w:pPr>
              <w:spacing w:after="20"/>
              <w:jc w:val="right"/>
            </w:pPr>
            <w:r/>
            <w:r>
              <w:rPr>
                <w:sz w:val="16"/>
              </w:rPr>
              <w:t>3,302</w:t>
            </w:r>
          </w:p>
        </w:tc>
        <w:tc>
          <w:tcPr>
            <w:tcW w:type="dxa" w:w="794"/>
          </w:tcPr>
          <w:p>
            <w:pPr>
              <w:spacing w:after="20"/>
              <w:jc w:val="right"/>
            </w:pPr>
            <w:r/>
            <w:r>
              <w:rPr>
                <w:sz w:val="16"/>
              </w:rPr>
              <w:t>2,618</w:t>
            </w:r>
          </w:p>
        </w:tc>
      </w:tr>
      <w:tr>
        <w:tc>
          <w:tcPr>
            <w:tcW w:type="dxa" w:w="1871"/>
          </w:tcPr>
          <w:p>
            <w:pPr>
              <w:spacing w:after="20"/>
            </w:pPr>
            <w:r/>
            <w:r>
              <w:rPr>
                <w:sz w:val="16"/>
              </w:rPr>
              <w:t>Outside → outside</w:t>
            </w:r>
          </w:p>
        </w:tc>
        <w:tc>
          <w:tcPr>
            <w:tcW w:type="dxa" w:w="964"/>
          </w:tcPr>
          <w:p>
            <w:pPr>
              <w:spacing w:after="20"/>
              <w:jc w:val="right"/>
            </w:pPr>
            <w:r/>
            <w:r>
              <w:rPr>
                <w:sz w:val="16"/>
              </w:rPr>
              <w:t>1,078,268</w:t>
            </w:r>
          </w:p>
        </w:tc>
        <w:tc>
          <w:tcPr>
            <w:tcW w:type="dxa" w:w="964"/>
          </w:tcPr>
          <w:p>
            <w:pPr>
              <w:spacing w:after="20"/>
              <w:jc w:val="right"/>
            </w:pPr>
            <w:r/>
            <w:r>
              <w:rPr>
                <w:sz w:val="16"/>
              </w:rPr>
              <w:t>1,145,275</w:t>
            </w:r>
          </w:p>
        </w:tc>
        <w:tc>
          <w:tcPr>
            <w:tcW w:type="dxa" w:w="850"/>
          </w:tcPr>
          <w:p>
            <w:pPr>
              <w:spacing w:after="20"/>
              <w:jc w:val="right"/>
            </w:pPr>
            <w:r/>
            <w:r>
              <w:rPr>
                <w:sz w:val="16"/>
              </w:rPr>
              <w:t>90,992</w:t>
            </w:r>
          </w:p>
        </w:tc>
        <w:tc>
          <w:tcPr>
            <w:tcW w:type="dxa" w:w="850"/>
          </w:tcPr>
          <w:p>
            <w:pPr>
              <w:spacing w:after="20"/>
              <w:jc w:val="right"/>
            </w:pPr>
            <w:r/>
            <w:r>
              <w:rPr>
                <w:sz w:val="16"/>
              </w:rPr>
              <w:t>94,293</w:t>
            </w:r>
          </w:p>
        </w:tc>
        <w:tc>
          <w:tcPr>
            <w:tcW w:type="dxa" w:w="794"/>
          </w:tcPr>
          <w:p>
            <w:pPr>
              <w:spacing w:after="20"/>
              <w:jc w:val="right"/>
            </w:pPr>
            <w:r/>
            <w:r>
              <w:rPr>
                <w:sz w:val="16"/>
              </w:rPr>
              <w:t>7,983</w:t>
            </w:r>
          </w:p>
        </w:tc>
        <w:tc>
          <w:tcPr>
            <w:tcW w:type="dxa" w:w="794"/>
          </w:tcPr>
          <w:p>
            <w:pPr>
              <w:spacing w:after="20"/>
              <w:jc w:val="right"/>
            </w:pPr>
            <w:r/>
            <w:r>
              <w:rPr>
                <w:sz w:val="16"/>
              </w:rPr>
              <w:t>8,709</w:t>
            </w:r>
          </w:p>
        </w:tc>
        <w:tc>
          <w:tcPr>
            <w:tcW w:type="dxa" w:w="794"/>
          </w:tcPr>
          <w:p>
            <w:pPr>
              <w:spacing w:after="20"/>
              <w:jc w:val="right"/>
            </w:pPr>
            <w:r/>
            <w:r>
              <w:rPr>
                <w:sz w:val="16"/>
              </w:rPr>
              <w:t>1,439</w:t>
            </w:r>
          </w:p>
        </w:tc>
        <w:tc>
          <w:tcPr>
            <w:tcW w:type="dxa" w:w="794"/>
          </w:tcPr>
          <w:p>
            <w:pPr>
              <w:spacing w:after="20"/>
              <w:jc w:val="right"/>
            </w:pPr>
            <w:r/>
            <w:r>
              <w:rPr>
                <w:sz w:val="16"/>
              </w:rPr>
              <w:t>1,141</w:t>
            </w:r>
          </w:p>
        </w:tc>
      </w:tr>
      <w:tr>
        <w:tc>
          <w:tcPr>
            <w:tcW w:type="dxa" w:w="1871"/>
          </w:tcPr>
          <w:p>
            <w:pPr>
              <w:spacing w:after="20"/>
            </w:pPr>
            <w:r/>
            <w:r>
              <w:rPr>
                <w:sz w:val="16"/>
              </w:rPr>
              <w:t>All</w:t>
            </w:r>
          </w:p>
        </w:tc>
        <w:tc>
          <w:tcPr>
            <w:tcW w:type="dxa" w:w="964"/>
          </w:tcPr>
          <w:p>
            <w:pPr>
              <w:spacing w:after="20"/>
              <w:jc w:val="right"/>
            </w:pPr>
            <w:r/>
            <w:r>
              <w:rPr>
                <w:sz w:val="16"/>
              </w:rPr>
              <w:t>1,283,589</w:t>
            </w:r>
          </w:p>
        </w:tc>
        <w:tc>
          <w:tcPr>
            <w:tcW w:type="dxa" w:w="964"/>
          </w:tcPr>
          <w:p>
            <w:pPr>
              <w:spacing w:after="20"/>
              <w:jc w:val="right"/>
            </w:pPr>
            <w:r/>
            <w:r>
              <w:rPr>
                <w:sz w:val="16"/>
              </w:rPr>
              <w:t>1,353,798</w:t>
            </w:r>
          </w:p>
        </w:tc>
        <w:tc>
          <w:tcPr>
            <w:tcW w:type="dxa" w:w="850"/>
          </w:tcPr>
          <w:p>
            <w:pPr>
              <w:spacing w:after="20"/>
              <w:jc w:val="right"/>
            </w:pPr>
            <w:r/>
            <w:r>
              <w:rPr>
                <w:sz w:val="16"/>
              </w:rPr>
              <w:t>126,117</w:t>
            </w:r>
          </w:p>
        </w:tc>
        <w:tc>
          <w:tcPr>
            <w:tcW w:type="dxa" w:w="850"/>
          </w:tcPr>
          <w:p>
            <w:pPr>
              <w:spacing w:after="20"/>
              <w:jc w:val="right"/>
            </w:pPr>
            <w:r/>
            <w:r>
              <w:rPr>
                <w:sz w:val="16"/>
              </w:rPr>
              <w:t>129,653</w:t>
            </w:r>
          </w:p>
        </w:tc>
        <w:tc>
          <w:tcPr>
            <w:tcW w:type="dxa" w:w="794"/>
          </w:tcPr>
          <w:p>
            <w:pPr>
              <w:spacing w:after="20"/>
              <w:jc w:val="right"/>
            </w:pPr>
            <w:r/>
            <w:r>
              <w:rPr>
                <w:sz w:val="16"/>
              </w:rPr>
              <w:t>18,266</w:t>
            </w:r>
          </w:p>
        </w:tc>
        <w:tc>
          <w:tcPr>
            <w:tcW w:type="dxa" w:w="794"/>
          </w:tcPr>
          <w:p>
            <w:pPr>
              <w:spacing w:after="20"/>
              <w:jc w:val="right"/>
            </w:pPr>
            <w:r/>
            <w:r>
              <w:rPr>
                <w:sz w:val="16"/>
              </w:rPr>
              <w:t>19,359</w:t>
            </w:r>
          </w:p>
        </w:tc>
        <w:tc>
          <w:tcPr>
            <w:tcW w:type="dxa" w:w="794"/>
          </w:tcPr>
          <w:p>
            <w:pPr>
              <w:spacing w:after="20"/>
              <w:jc w:val="right"/>
            </w:pPr>
            <w:r/>
            <w:r>
              <w:rPr>
                <w:sz w:val="16"/>
              </w:rPr>
              <w:t>5,109</w:t>
            </w:r>
          </w:p>
        </w:tc>
        <w:tc>
          <w:tcPr>
            <w:tcW w:type="dxa" w:w="794"/>
          </w:tcPr>
          <w:p>
            <w:pPr>
              <w:spacing w:after="20"/>
              <w:jc w:val="right"/>
            </w:pPr>
            <w:r/>
            <w:r>
              <w:rPr>
                <w:sz w:val="16"/>
              </w:rPr>
              <w:t>4,050</w:t>
            </w:r>
          </w:p>
        </w:tc>
      </w:tr>
    </w:tbl>
    <w:p>
      <w:pPr>
        <w:spacing w:after="40"/>
      </w:pPr>
    </w:p>
    <w:p>
      <w:r>
        <w:rPr>
          <w:i/>
          <w:color w:val="52514E"/>
          <w:sz w:val="18"/>
        </w:rPr>
        <w:t>The four 2022 layers by corridor class.</w:t>
      </w:r>
    </w:p>
    <w:p>
      <w:r>
        <w:rPr>
          <w:i w:val="0"/>
        </w:rPr>
        <w:t>Two things stand out. Car trips from outside into the corridor fall by 6 % while every other class grows, because the BU-2025 forecast puts employment growth in the corridor TAZs below the regional average; it is a property of the demographic scenario, not of the survey. And the survey rail matrix has no trips with both ends in the corridor at all: rail trips are few in the survey (54 observed over two days) and mostly cross the study boundary. The station-based smartcard matrix, scaled to 2022, carries 763 trips with both stations in the sub-area.</w:t>
      </w:r>
    </w:p>
    <w:p>
      <w:pPr>
        <w:jc w:val="center"/>
      </w:pPr>
      <w:r>
        <w:drawing>
          <wp:inline xmlns:a="http://schemas.openxmlformats.org/drawingml/2006/main" xmlns:pic="http://schemas.openxmlformats.org/drawingml/2006/picture">
            <wp:extent cx="5724000" cy="1961927"/>
            <wp:docPr id="7" name="Picture 7"/>
            <wp:cNvGraphicFramePr>
              <a:graphicFrameLocks noChangeAspect="1"/>
            </wp:cNvGraphicFramePr>
            <a:graphic>
              <a:graphicData uri="http://schemas.openxmlformats.org/drawingml/2006/picture">
                <pic:pic>
                  <pic:nvPicPr>
                    <pic:cNvPr id="0" name="three_mode_2022.png"/>
                    <pic:cNvPicPr/>
                  </pic:nvPicPr>
                  <pic:blipFill>
                    <a:blip r:embed="rId15"/>
                    <a:stretch>
                      <a:fillRect/>
                    </a:stretch>
                  </pic:blipFill>
                  <pic:spPr>
                    <a:xfrm>
                      <a:off x="0" y="0"/>
                      <a:ext cx="5724000" cy="1961927"/>
                    </a:xfrm>
                    <a:prstGeom prst="rect"/>
                  </pic:spPr>
                </pic:pic>
              </a:graphicData>
            </a:graphic>
          </wp:inline>
        </w:drawing>
      </w:r>
    </w:p>
    <w:p>
      <w:r>
        <w:rPr>
          <w:i/>
          <w:color w:val="52514E"/>
          <w:sz w:val="18"/>
        </w:rPr>
        <w:t>Figure 7. Left: bus, taxi-type and rail shares by corridor class, 2018 and 2022 bases. Right: growth factors 2018 → 2022 by superzone.</w:t>
      </w:r>
    </w:p>
    <w:p>
      <w:pPr>
        <w:pStyle w:val="Heading1"/>
      </w:pPr>
      <w:r>
        <w:t>7. Part E — the 2022 layers along the LRT line</w:t>
      </w:r>
    </w:p>
    <w:p>
      <w:pPr>
        <w:pStyle w:val="Heading2"/>
      </w:pPr>
      <w:r>
        <w:t>7.1 What a corridor profile is here</w:t>
      </w:r>
    </w:p>
    <w:p>
      <w:r>
        <w:rPr>
          <w:i w:val="0"/>
        </w:rPr>
        <w:t>The 18 sub-areas that the line passes through are put in order from Tirat Carmel to the Nazareth area. Every trip between two of them is counted on every link between them, in its direction of travel. The result is a profile of potential movements: how many morning trips between line areas could use each link if all of them did. It is a three-hour total. It is not a passenger load, because it says nothing about whether those travellers can reach a station, would choose the LRT over a parallel bus, or travel in the busiest hour; and it is not an upper bound on LRT demand, because trips with one end off the line are not in it.</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2438"/>
            <w:shd w:val="clear" w:color="auto" w:fill="E8EEF6"/>
          </w:tcPr>
          <w:p>
            <w:pPr>
              <w:spacing w:after="20"/>
            </w:pPr>
            <w:r/>
            <w:r>
              <w:rPr>
                <w:b/>
                <w:sz w:val="18"/>
              </w:rPr>
              <w:t>Profile (2022, survey-based layers)</w:t>
            </w:r>
          </w:p>
        </w:tc>
        <w:tc>
          <w:tcPr>
            <w:tcW w:type="dxa" w:w="1474"/>
            <w:shd w:val="clear" w:color="auto" w:fill="E8EEF6"/>
          </w:tcPr>
          <w:p>
            <w:pPr>
              <w:spacing w:after="20"/>
            </w:pPr>
            <w:r/>
            <w:r>
              <w:rPr>
                <w:b/>
                <w:sz w:val="18"/>
              </w:rPr>
              <w:t>Trips between line areas</w:t>
            </w:r>
          </w:p>
        </w:tc>
        <w:tc>
          <w:tcPr>
            <w:tcW w:type="dxa" w:w="2494"/>
            <w:shd w:val="clear" w:color="auto" w:fill="E8EEF6"/>
          </w:tcPr>
          <w:p>
            <w:pPr>
              <w:spacing w:after="20"/>
            </w:pPr>
            <w:r/>
            <w:r>
              <w:rPr>
                <w:b/>
                <w:sz w:val="18"/>
              </w:rPr>
              <w:t>Peak link</w:t>
            </w:r>
          </w:p>
        </w:tc>
        <w:tc>
          <w:tcPr>
            <w:tcW w:type="dxa" w:w="1191"/>
            <w:shd w:val="clear" w:color="auto" w:fill="E8EEF6"/>
          </w:tcPr>
          <w:p>
            <w:pPr>
              <w:spacing w:after="20"/>
            </w:pPr>
            <w:r/>
            <w:r>
              <w:rPr>
                <w:b/>
                <w:sz w:val="18"/>
              </w:rPr>
              <w:t>Peak, towards Nazareth</w:t>
            </w:r>
          </w:p>
        </w:tc>
        <w:tc>
          <w:tcPr>
            <w:tcW w:type="dxa" w:w="1191"/>
            <w:shd w:val="clear" w:color="auto" w:fill="E8EEF6"/>
          </w:tcPr>
          <w:p>
            <w:pPr>
              <w:spacing w:after="20"/>
            </w:pPr>
            <w:r/>
            <w:r>
              <w:rPr>
                <w:b/>
                <w:sz w:val="18"/>
              </w:rPr>
              <w:t>Peak, towards Tirat Carmel</w:t>
            </w:r>
          </w:p>
        </w:tc>
      </w:tr>
      <w:tr>
        <w:tc>
          <w:tcPr>
            <w:tcW w:type="dxa" w:w="2438"/>
          </w:tcPr>
          <w:p>
            <w:pPr>
              <w:spacing w:after="20"/>
            </w:pPr>
            <w:r/>
            <w:r>
              <w:rPr>
                <w:sz w:val="18"/>
              </w:rPr>
              <w:t>Total (car + bus + taxi + rail)</w:t>
            </w:r>
          </w:p>
        </w:tc>
        <w:tc>
          <w:tcPr>
            <w:tcW w:type="dxa" w:w="1474"/>
          </w:tcPr>
          <w:p>
            <w:pPr>
              <w:spacing w:after="20"/>
              <w:jc w:val="right"/>
            </w:pPr>
            <w:r/>
            <w:r>
              <w:rPr>
                <w:sz w:val="18"/>
              </w:rPr>
              <w:t>71,113</w:t>
            </w:r>
          </w:p>
        </w:tc>
        <w:tc>
          <w:tcPr>
            <w:tcW w:type="dxa" w:w="2494"/>
          </w:tcPr>
          <w:p>
            <w:pPr>
              <w:spacing w:after="20"/>
              <w:jc w:val="right"/>
            </w:pPr>
            <w:r/>
            <w:r>
              <w:rPr>
                <w:sz w:val="18"/>
              </w:rPr>
              <w:t>Bat Galim – Kiryat Eliezer</w:t>
            </w:r>
          </w:p>
        </w:tc>
        <w:tc>
          <w:tcPr>
            <w:tcW w:type="dxa" w:w="1191"/>
          </w:tcPr>
          <w:p>
            <w:pPr>
              <w:spacing w:after="20"/>
              <w:jc w:val="right"/>
            </w:pPr>
            <w:r/>
            <w:r>
              <w:rPr>
                <w:sz w:val="18"/>
              </w:rPr>
              <w:t>6,852</w:t>
            </w:r>
          </w:p>
        </w:tc>
        <w:tc>
          <w:tcPr>
            <w:tcW w:type="dxa" w:w="1191"/>
          </w:tcPr>
          <w:p>
            <w:pPr>
              <w:spacing w:after="20"/>
              <w:jc w:val="right"/>
            </w:pPr>
            <w:r/>
            <w:r>
              <w:rPr>
                <w:sz w:val="18"/>
              </w:rPr>
              <w:t>6,847</w:t>
            </w:r>
          </w:p>
        </w:tc>
      </w:tr>
      <w:tr>
        <w:tc>
          <w:tcPr>
            <w:tcW w:type="dxa" w:w="2438"/>
          </w:tcPr>
          <w:p>
            <w:pPr>
              <w:spacing w:after="20"/>
            </w:pPr>
            <w:r/>
            <w:r>
              <w:rPr>
                <w:sz w:val="18"/>
              </w:rPr>
              <w:t>Transit (bus + rail)</w:t>
            </w:r>
          </w:p>
        </w:tc>
        <w:tc>
          <w:tcPr>
            <w:tcW w:type="dxa" w:w="1474"/>
          </w:tcPr>
          <w:p>
            <w:pPr>
              <w:spacing w:after="20"/>
              <w:jc w:val="right"/>
            </w:pPr>
            <w:r/>
            <w:r>
              <w:rPr>
                <w:sz w:val="18"/>
              </w:rPr>
              <w:t>8,622</w:t>
            </w:r>
          </w:p>
        </w:tc>
        <w:tc>
          <w:tcPr>
            <w:tcW w:type="dxa" w:w="2494"/>
          </w:tcPr>
          <w:p>
            <w:pPr>
              <w:spacing w:after="20"/>
              <w:jc w:val="right"/>
            </w:pPr>
            <w:r/>
            <w:r>
              <w:rPr>
                <w:sz w:val="18"/>
              </w:rPr>
              <w:t>Ein Hayam – Bat Galim / Neot Peres – Neve David</w:t>
            </w:r>
          </w:p>
        </w:tc>
        <w:tc>
          <w:tcPr>
            <w:tcW w:type="dxa" w:w="1191"/>
          </w:tcPr>
          <w:p>
            <w:pPr>
              <w:spacing w:after="20"/>
              <w:jc w:val="right"/>
            </w:pPr>
            <w:r/>
            <w:r>
              <w:rPr>
                <w:sz w:val="18"/>
              </w:rPr>
              <w:t>1,661</w:t>
            </w:r>
          </w:p>
        </w:tc>
        <w:tc>
          <w:tcPr>
            <w:tcW w:type="dxa" w:w="1191"/>
          </w:tcPr>
          <w:p>
            <w:pPr>
              <w:spacing w:after="20"/>
              <w:jc w:val="right"/>
            </w:pPr>
            <w:r/>
            <w:r>
              <w:rPr>
                <w:sz w:val="18"/>
              </w:rPr>
              <w:t>1,650</w:t>
            </w:r>
          </w:p>
        </w:tc>
      </w:tr>
      <w:tr>
        <w:tc>
          <w:tcPr>
            <w:tcW w:type="dxa" w:w="2438"/>
          </w:tcPr>
          <w:p>
            <w:pPr>
              <w:spacing w:after="20"/>
            </w:pPr>
            <w:r/>
            <w:r>
              <w:rPr>
                <w:sz w:val="18"/>
              </w:rPr>
              <w:t>Taxi-type (separate)</w:t>
            </w:r>
          </w:p>
        </w:tc>
        <w:tc>
          <w:tcPr>
            <w:tcW w:type="dxa" w:w="1474"/>
          </w:tcPr>
          <w:p>
            <w:pPr>
              <w:spacing w:after="20"/>
              <w:jc w:val="right"/>
            </w:pPr>
            <w:r/>
            <w:r>
              <w:rPr>
                <w:sz w:val="18"/>
              </w:rPr>
              <w:t>3,606</w:t>
            </w:r>
          </w:p>
        </w:tc>
        <w:tc>
          <w:tcPr>
            <w:tcW w:type="dxa" w:w="2494"/>
          </w:tcPr>
          <w:p>
            <w:pPr>
              <w:spacing w:after="20"/>
              <w:jc w:val="right"/>
            </w:pPr>
            <w:r/>
            <w:r>
              <w:rPr>
                <w:sz w:val="18"/>
              </w:rPr>
              <w:t>Ein Hayam – Bat Galim</w:t>
            </w:r>
          </w:p>
        </w:tc>
        <w:tc>
          <w:tcPr>
            <w:tcW w:type="dxa" w:w="1191"/>
          </w:tcPr>
          <w:p>
            <w:pPr>
              <w:spacing w:after="20"/>
              <w:jc w:val="right"/>
            </w:pPr>
            <w:r/>
            <w:r>
              <w:rPr>
                <w:sz w:val="18"/>
              </w:rPr>
              <w:t>1,415</w:t>
            </w:r>
          </w:p>
        </w:tc>
        <w:tc>
          <w:tcPr>
            <w:tcW w:type="dxa" w:w="1191"/>
          </w:tcPr>
          <w:p>
            <w:pPr>
              <w:spacing w:after="20"/>
              <w:jc w:val="right"/>
            </w:pPr>
            <w:r/>
            <w:r>
              <w:rPr>
                <w:sz w:val="18"/>
              </w:rPr>
              <w:t>608</w:t>
            </w:r>
          </w:p>
        </w:tc>
      </w:tr>
    </w:tbl>
    <w:p>
      <w:pPr>
        <w:spacing w:after="40"/>
      </w:pPr>
    </w:p>
    <w:p>
      <w:pPr>
        <w:jc w:val="center"/>
      </w:pPr>
      <w:r>
        <w:drawing>
          <wp:inline xmlns:a="http://schemas.openxmlformats.org/drawingml/2006/main" xmlns:pic="http://schemas.openxmlformats.org/drawingml/2006/picture">
            <wp:extent cx="5724000" cy="1977285"/>
            <wp:docPr id="8" name="Picture 8"/>
            <wp:cNvGraphicFramePr>
              <a:graphicFrameLocks noChangeAspect="1"/>
            </wp:cNvGraphicFramePr>
            <a:graphic>
              <a:graphicData uri="http://schemas.openxmlformats.org/drawingml/2006/picture">
                <pic:pic>
                  <pic:nvPicPr>
                    <pic:cNvPr id="0" name="corridor_flow_profile_transit_survey2022.png"/>
                    <pic:cNvPicPr/>
                  </pic:nvPicPr>
                  <pic:blipFill>
                    <a:blip r:embed="rId16"/>
                    <a:stretch>
                      <a:fillRect/>
                    </a:stretch>
                  </pic:blipFill>
                  <pic:spPr>
                    <a:xfrm>
                      <a:off x="0" y="0"/>
                      <a:ext cx="5724000" cy="1977285"/>
                    </a:xfrm>
                    <a:prstGeom prst="rect"/>
                  </pic:spPr>
                </pic:pic>
              </a:graphicData>
            </a:graphic>
          </wp:inline>
        </w:drawing>
      </w:r>
    </w:p>
    <w:p>
      <w:r>
        <w:rPr>
          <w:i/>
          <w:color w:val="52514E"/>
          <w:sz w:val="18"/>
        </w:rPr>
        <w:t>Figure 8. Transit potential movements (bus + rail) along the line, both directions, three-hour totals; taxi-type dotted; the earlier ticketing-based profile dashed.</w:t>
      </w:r>
    </w:p>
    <w:p>
      <w:pPr>
        <w:pStyle w:val="Heading2"/>
      </w:pPr>
      <w:r>
        <w:t>7.2 Compared with the ticketing-based profile</w:t>
      </w:r>
    </w:p>
    <w:p>
      <w:r>
        <w:rPr>
          <w:i w:val="0"/>
        </w:rPr>
        <w:t>The repository also has a transit profile built from the ticketing matrix (RavKav journeys × on-board destinations, plus the station train matrix). Comparing the two, like for like (bus + rail in both), gives one agreement and one disagreement.</w:t>
      </w:r>
    </w:p>
    <w:p>
      <w:r>
        <w:rPr>
          <w:i w:val="0"/>
        </w:rPr>
        <w:t>Towards Nazareth the profiles agree: the calibrated survey sits at 0.63 to 1.05 times the ticketing profile along the Haifa segment. Revision 1 reported the survey-based profile as 1.5 times the ticketing one in this direction; the entire excess was the taxi-type layer, which is now shown on its own.</w:t>
      </w:r>
    </w:p>
    <w:p>
      <w:r>
        <w:rPr>
          <w:i w:val="0"/>
        </w:rPr>
        <w:t>Towards Tirat Carmel the ticketing profile is about twice the survey-based one from Bat Galim to Kiryat Bialik South and about three times at the Nazareth end. Revision 1 attributed this to the coverage guard keeping survey volumes in Nazareth, and expected the segmented rule to close it. It did not, and on inspection it could not. At superzone level Nazareth's corridor-bound trips are three quarters covered and are calibrated to the ticketing volume. The difference is in where those trips land: the survey spreads Nazareth's Haifa-bound trips over Haifa TAZs by employment, ticketing places them at alighting stops on the trunk routes through the line areas; and at Hamifrats and Neve Yosef ticketing attributes journeys to the transfer point. These are two frames, a person-journey frame and a boarding frame. They should be kept as separate products until an access and transfer model links them, which is the review's recommendation and the task list's.</w:t>
      </w:r>
    </w:p>
    <w:p>
      <w:pPr>
        <w:jc w:val="center"/>
      </w:pPr>
      <w:r>
        <w:drawing>
          <wp:inline xmlns:a="http://schemas.openxmlformats.org/drawingml/2006/main" xmlns:pic="http://schemas.openxmlformats.org/drawingml/2006/picture">
            <wp:extent cx="5724000" cy="4207692"/>
            <wp:docPr id="9" name="Picture 9"/>
            <wp:cNvGraphicFramePr>
              <a:graphicFrameLocks noChangeAspect="1"/>
            </wp:cNvGraphicFramePr>
            <a:graphic>
              <a:graphicData uri="http://schemas.openxmlformats.org/drawingml/2006/picture">
                <pic:pic>
                  <pic:nvPicPr>
                    <pic:cNvPr id="0" name="corridor_profile_hybrid_vs_ticketing.png"/>
                    <pic:cNvPicPr/>
                  </pic:nvPicPr>
                  <pic:blipFill>
                    <a:blip r:embed="rId17"/>
                    <a:stretch>
                      <a:fillRect/>
                    </a:stretch>
                  </pic:blipFill>
                  <pic:spPr>
                    <a:xfrm>
                      <a:off x="0" y="0"/>
                      <a:ext cx="5724000" cy="4207692"/>
                    </a:xfrm>
                    <a:prstGeom prst="rect"/>
                  </pic:spPr>
                </pic:pic>
              </a:graphicData>
            </a:graphic>
          </wp:inline>
        </w:drawing>
      </w:r>
    </w:p>
    <w:p>
      <w:r>
        <w:rPr>
          <w:i/>
          <w:color w:val="52514E"/>
          <w:sz w:val="18"/>
        </w:rPr>
        <w:t>Figure 9. Bus and transit potential movements by direction: raw 2018 survey, ticketing volumes everywhere, the calibrated survey and the ticketing-based profile.</w:t>
      </w:r>
    </w:p>
    <w:p>
      <w:pPr>
        <w:pStyle w:val="Heading1"/>
      </w:pPr>
      <w:r>
        <w:t>8. What to keep in mind</w:t>
      </w:r>
    </w:p>
    <w:p>
      <w:pPr>
        <w:pStyle w:val="ListBullet"/>
      </w:pPr>
      <w:r>
        <w:rPr>
          <w:b/>
        </w:rPr>
        <w:t xml:space="preserve">Two frames. </w:t>
      </w:r>
      <w:r>
        <w:rPr>
          <w:i w:val="0"/>
        </w:rPr>
        <w:t>Ticketing journeys start at the boarding stop and include non-residents; survey trips start at the front door and cover residents. The calibrated volumes lean towards boardings at transfer hubs and towards doorsteps elsewhere. The units of the on-board survey rows and the overlap between bus journeys ending at a station and the station rail matrix are still to be checked.</w:t>
      </w:r>
    </w:p>
    <w:p>
      <w:pPr>
        <w:pStyle w:val="ListBullet"/>
      </w:pPr>
      <w:r>
        <w:rPr>
          <w:b/>
        </w:rPr>
        <w:t xml:space="preserve">Ticketing coverage. </w:t>
      </w:r>
      <w:r>
        <w:rPr>
          <w:i w:val="0"/>
        </w:rPr>
        <w:t>The extract under-records local bus travel in many superzones, most of all in the Arab-sector and peripheral ones. The segmented rule protects that market while taking ticketing volumes on the intercity market. Its threshold is an assumption, its total is above both sources, and the cause of the gap is with the data provider. Four variants are published.</w:t>
      </w:r>
    </w:p>
    <w:p>
      <w:pPr>
        <w:pStyle w:val="ListBullet"/>
      </w:pPr>
      <w:r>
        <w:rPr>
          <w:b/>
        </w:rPr>
        <w:t xml:space="preserve">Taxi-type. </w:t>
      </w:r>
      <w:r>
        <w:rPr>
          <w:i w:val="0"/>
        </w:rPr>
        <w:t>Codes 5 and 8 are a separate layer until the codebook confirms what they are. Do not add them to an LRT market by default.</w:t>
      </w:r>
    </w:p>
    <w:p>
      <w:pPr>
        <w:pStyle w:val="ListBullet"/>
      </w:pPr>
      <w:r>
        <w:rPr>
          <w:b/>
        </w:rPr>
        <w:t xml:space="preserve">Trip rates are frozen. </w:t>
      </w:r>
      <w:r>
        <w:rPr>
          <w:i w:val="0"/>
        </w:rPr>
        <w:t>Growth to 2022 keeps 2018 trip rates and uses a forecast trend, not observed 2022 data. Changes in age structure, car ownership or working from home are not represented.</w:t>
      </w:r>
    </w:p>
    <w:p>
      <w:pPr>
        <w:pStyle w:val="ListBullet"/>
      </w:pPr>
      <w:r>
        <w:rPr>
          <w:b/>
        </w:rPr>
        <w:t xml:space="preserve">TAZ detail is synthetic and purpose-blind. </w:t>
      </w:r>
      <w:r>
        <w:rPr>
          <w:i w:val="0"/>
        </w:rPr>
        <w:t>Below the 1,250-zone level the survey's TAZ detail is a population / employment split. Superzones and sub-areas are the fair level. A purpose split (work, education, other) is on the task list.</w:t>
      </w:r>
    </w:p>
    <w:p>
      <w:pPr>
        <w:pStyle w:val="ListBullet"/>
      </w:pPr>
      <w:r>
        <w:rPr>
          <w:b/>
        </w:rPr>
        <w:t xml:space="preserve">Corridor profiles are potential movements. </w:t>
      </w:r>
      <w:r>
        <w:rPr>
          <w:i w:val="0"/>
        </w:rPr>
        <w:t>Three-hour totals between line areas, without station access, route choice, peaking or off-line trips. Peak loads and capacity need a service-response model.</w:t>
      </w:r>
    </w:p>
    <w:p>
      <w:pPr>
        <w:pStyle w:val="ListBullet"/>
      </w:pPr>
      <w:r>
        <w:rPr>
          <w:b/>
        </w:rPr>
        <w:t xml:space="preserve">The hybrid is historical. </w:t>
      </w:r>
      <w:r>
        <w:rPr>
          <w:i w:val="0"/>
        </w:rPr>
        <w:t>It does not reproduce its superzone totals and its TAZ detail rests on a replicated cellular mapping. The rebalanced version exists for reference only.</w:t>
      </w:r>
    </w:p>
    <w:p>
      <w:pPr>
        <w:pStyle w:val="ListBullet"/>
      </w:pPr>
      <w:r>
        <w:rPr>
          <w:b/>
        </w:rPr>
        <w:t xml:space="preserve">External checks are missing. </w:t>
      </w:r>
      <w:r>
        <w:rPr>
          <w:i w:val="0"/>
        </w:rPr>
        <w:t>No road counts, bus loads or station boardings have been used. The most valuable ones would be directional bus loads on the Haifa segment, Nazareth local versus Haifa-bound services counted separately, and transfers at Hamifrats.</w:t>
      </w:r>
    </w:p>
    <w:p>
      <w:pPr>
        <w:pStyle w:val="ListBullet"/>
      </w:pPr>
      <w:r>
        <w:rPr>
          <w:b/>
        </w:rPr>
        <w:t xml:space="preserve">The forecasts do not yet rest on this base. </w:t>
      </w:r>
      <w:r>
        <w:rPr>
          <w:i w:val="0"/>
        </w:rPr>
        <w:t>The 2040 / 2050 matrices and LRT-market tables in the repository were built on an earlier 25-area composite. They are a demographic reference until rebuilt from the layers described here.</w:t>
      </w:r>
    </w:p>
    <w:p>
      <w:pPr>
        <w:pStyle w:val="Heading1"/>
      </w:pPr>
      <w:r>
        <w:t>9. Files</w:t>
      </w:r>
    </w:p>
    <w:tbl>
      <w:tblPr>
        <w:tblStyle w:val="TableGrid"/>
        <w:tblW w:type="auto" w:w="0"/>
        <w:jc w:val="center"/>
        <w:tblLook w:firstColumn="1" w:firstRow="1" w:lastColumn="0" w:lastRow="0" w:noHBand="0" w:noVBand="1" w:val="04A0"/>
      </w:tblPr>
      <w:tblGrid>
        <w:gridCol w:w="3009"/>
        <w:gridCol w:w="3009"/>
        <w:gridCol w:w="3009"/>
      </w:tblGrid>
      <w:tr>
        <w:tc>
          <w:tcPr>
            <w:tcW w:type="dxa" w:w="2608"/>
            <w:shd w:val="clear" w:color="auto" w:fill="E8EEF6"/>
          </w:tcPr>
          <w:p>
            <w:pPr>
              <w:spacing w:after="20"/>
            </w:pPr>
            <w:r/>
            <w:r>
              <w:rPr>
                <w:b/>
                <w:sz w:val="17"/>
              </w:rPr>
              <w:t>Notebook</w:t>
            </w:r>
          </w:p>
        </w:tc>
        <w:tc>
          <w:tcPr>
            <w:tcW w:type="dxa" w:w="2948"/>
            <w:shd w:val="clear" w:color="auto" w:fill="E8EEF6"/>
          </w:tcPr>
          <w:p>
            <w:pPr>
              <w:spacing w:after="20"/>
            </w:pPr>
            <w:r/>
            <w:r>
              <w:rPr>
                <w:b/>
                <w:sz w:val="17"/>
              </w:rPr>
              <w:t>What it does</w:t>
            </w:r>
          </w:p>
        </w:tc>
        <w:tc>
          <w:tcPr>
            <w:tcW w:type="dxa" w:w="3458"/>
            <w:shd w:val="clear" w:color="auto" w:fill="E8EEF6"/>
          </w:tcPr>
          <w:p>
            <w:pPr>
              <w:spacing w:after="20"/>
            </w:pPr>
            <w:r/>
            <w:r>
              <w:rPr>
                <w:b/>
                <w:sz w:val="17"/>
              </w:rPr>
              <w:t>Main outputs</w:t>
            </w:r>
          </w:p>
        </w:tc>
      </w:tr>
      <w:tr>
        <w:tc>
          <w:tcPr>
            <w:tcW w:type="dxa" w:w="2608"/>
          </w:tcPr>
          <w:p>
            <w:pPr>
              <w:spacing w:after="20"/>
            </w:pPr>
            <w:r/>
            <w:r>
              <w:rPr>
                <w:sz w:val="17"/>
              </w:rPr>
              <w:t>THS_2017_cosine_GEH_tests.ipynb</w:t>
            </w:r>
          </w:p>
        </w:tc>
        <w:tc>
          <w:tcPr>
            <w:tcW w:type="dxa" w:w="2948"/>
          </w:tcPr>
          <w:p>
            <w:pPr>
              <w:spacing w:after="20"/>
            </w:pPr>
            <w:r/>
            <w:r>
              <w:rPr>
                <w:sz w:val="17"/>
              </w:rPr>
              <w:t>Cosine and GEH tests, scale audit, corridor classes</w:t>
            </w:r>
          </w:p>
        </w:tc>
        <w:tc>
          <w:tcPr>
            <w:tcW w:type="dxa" w:w="3458"/>
          </w:tcPr>
          <w:p>
            <w:pPr>
              <w:spacing w:after="20"/>
            </w:pPr>
            <w:r/>
            <w:r>
              <w:rPr>
                <w:sz w:val="17"/>
              </w:rPr>
              <w:t>Output/ths2017/tests/cosine_geh_summary.csv and detail tables</w:t>
            </w:r>
          </w:p>
        </w:tc>
      </w:tr>
      <w:tr>
        <w:tc>
          <w:tcPr>
            <w:tcW w:type="dxa" w:w="2608"/>
          </w:tcPr>
          <w:p>
            <w:pPr>
              <w:spacing w:after="20"/>
            </w:pPr>
            <w:r/>
            <w:r>
              <w:rPr>
                <w:sz w:val="17"/>
              </w:rPr>
              <w:t>THS_2017_KS_tests.ipynb</w:t>
            </w:r>
          </w:p>
        </w:tc>
        <w:tc>
          <w:tcPr>
            <w:tcW w:type="dxa" w:w="2948"/>
          </w:tcPr>
          <w:p>
            <w:pPr>
              <w:spacing w:after="20"/>
            </w:pPr>
            <w:r/>
            <w:r>
              <w:rPr>
                <w:sz w:val="17"/>
              </w:rPr>
              <w:t>Trip-length and concentration KS tests with bootstrap</w:t>
            </w:r>
          </w:p>
        </w:tc>
        <w:tc>
          <w:tcPr>
            <w:tcW w:type="dxa" w:w="3458"/>
          </w:tcPr>
          <w:p>
            <w:pPr>
              <w:spacing w:after="20"/>
            </w:pPr>
            <w:r/>
            <w:r>
              <w:rPr>
                <w:sz w:val="17"/>
              </w:rPr>
              <w:t>Output/ths2017/tests/ks_summary.csv and detail tables</w:t>
            </w:r>
          </w:p>
        </w:tc>
      </w:tr>
      <w:tr>
        <w:tc>
          <w:tcPr>
            <w:tcW w:type="dxa" w:w="2608"/>
          </w:tcPr>
          <w:p>
            <w:pPr>
              <w:spacing w:after="20"/>
            </w:pPr>
            <w:r/>
            <w:r>
              <w:rPr>
                <w:sz w:val="17"/>
              </w:rPr>
              <w:t>THS_2017_MSSIM_tests.ipynb</w:t>
            </w:r>
          </w:p>
        </w:tc>
        <w:tc>
          <w:tcPr>
            <w:tcW w:type="dxa" w:w="2948"/>
          </w:tcPr>
          <w:p>
            <w:pPr>
              <w:spacing w:after="20"/>
            </w:pPr>
            <w:r/>
            <w:r>
              <w:rPr>
                <w:sz w:val="17"/>
              </w:rPr>
              <w:t>Structural similarity by window, scale and ordering</w:t>
            </w:r>
          </w:p>
        </w:tc>
        <w:tc>
          <w:tcPr>
            <w:tcW w:type="dxa" w:w="3458"/>
          </w:tcPr>
          <w:p>
            <w:pPr>
              <w:spacing w:after="20"/>
            </w:pPr>
            <w:r/>
            <w:r>
              <w:rPr>
                <w:sz w:val="17"/>
              </w:rPr>
              <w:t>Output/ths2017/tests/mssim_headline.csv, mssim_summary.csv</w:t>
            </w:r>
          </w:p>
        </w:tc>
      </w:tr>
      <w:tr>
        <w:tc>
          <w:tcPr>
            <w:tcW w:type="dxa" w:w="2608"/>
          </w:tcPr>
          <w:p>
            <w:pPr>
              <w:spacing w:after="20"/>
            </w:pPr>
            <w:r/>
            <w:r>
              <w:rPr>
                <w:sz w:val="17"/>
              </w:rPr>
              <w:t>Hybrid_superzone_conservation_test.ipynb</w:t>
            </w:r>
          </w:p>
        </w:tc>
        <w:tc>
          <w:tcPr>
            <w:tcW w:type="dxa" w:w="2948"/>
          </w:tcPr>
          <w:p>
            <w:pPr>
              <w:spacing w:after="20"/>
            </w:pPr>
            <w:r/>
            <w:r>
              <w:rPr>
                <w:sz w:val="17"/>
              </w:rPr>
              <w:t>Superzone conservation test of the TAZ hybrids; rebalanced hybrid</w:t>
            </w:r>
          </w:p>
        </w:tc>
        <w:tc>
          <w:tcPr>
            <w:tcW w:type="dxa" w:w="3458"/>
          </w:tcPr>
          <w:p>
            <w:pPr>
              <w:spacing w:after="20"/>
            </w:pPr>
            <w:r/>
            <w:r>
              <w:rPr>
                <w:sz w:val="17"/>
              </w:rPr>
              <w:t>Output/ths2017/tests/hybrid_sz_conservation_*.csv; study_taz/hybrid_taz_trips_balanced.csv</w:t>
            </w:r>
          </w:p>
        </w:tc>
      </w:tr>
      <w:tr>
        <w:tc>
          <w:tcPr>
            <w:tcW w:type="dxa" w:w="2608"/>
          </w:tcPr>
          <w:p>
            <w:pPr>
              <w:spacing w:after="20"/>
            </w:pPr>
            <w:r/>
            <w:r>
              <w:rPr>
                <w:sz w:val="17"/>
              </w:rPr>
              <w:t>THS_2017_two_mode_matrix.ipynb</w:t>
            </w:r>
          </w:p>
        </w:tc>
        <w:tc>
          <w:tcPr>
            <w:tcW w:type="dxa" w:w="2948"/>
          </w:tcPr>
          <w:p>
            <w:pPr>
              <w:spacing w:after="20"/>
            </w:pPr>
            <w:r/>
            <w:r>
              <w:rPr>
                <w:sz w:val="17"/>
              </w:rPr>
              <w:t>Survey-only car / transit matrix; bus calibrated per origin × segment; variants and threshold sweep</w:t>
            </w:r>
          </w:p>
        </w:tc>
        <w:tc>
          <w:tcPr>
            <w:tcW w:type="dxa" w:w="3458"/>
          </w:tcPr>
          <w:p>
            <w:pPr>
              <w:spacing w:after="20"/>
            </w:pPr>
            <w:r/>
            <w:r>
              <w:rPr>
                <w:sz w:val="17"/>
              </w:rPr>
              <w:t>Output/ths2017/two_mode/: car_taz.csv, transit_taz.csv, bus_calibrated_taz.csv, bus_calibration_factors_segments.csv, …</w:t>
            </w:r>
          </w:p>
        </w:tc>
      </w:tr>
      <w:tr>
        <w:tc>
          <w:tcPr>
            <w:tcW w:type="dxa" w:w="2608"/>
          </w:tcPr>
          <w:p>
            <w:pPr>
              <w:spacing w:after="20"/>
            </w:pPr>
            <w:r/>
            <w:r>
              <w:rPr>
                <w:sz w:val="17"/>
              </w:rPr>
              <w:t>THS_2017_three_mode_2022.ipynb</w:t>
            </w:r>
          </w:p>
        </w:tc>
        <w:tc>
          <w:tcPr>
            <w:tcW w:type="dxa" w:w="2948"/>
          </w:tcPr>
          <w:p>
            <w:pPr>
              <w:spacing w:after="20"/>
            </w:pPr>
            <w:r/>
            <w:r>
              <w:rPr>
                <w:sz w:val="17"/>
              </w:rPr>
              <w:t>Move to 2022; split into car, bus, taxi-type, rail</w:t>
            </w:r>
          </w:p>
        </w:tc>
        <w:tc>
          <w:tcPr>
            <w:tcW w:type="dxa" w:w="3458"/>
          </w:tcPr>
          <w:p>
            <w:pPr>
              <w:spacing w:after="20"/>
            </w:pPr>
            <w:r/>
            <w:r>
              <w:rPr>
                <w:sz w:val="17"/>
              </w:rPr>
              <w:t>Output/ths2017/three_mode_2022/: {car,bus,taxi,rail}_2022_{taz,sz,area}.csv, all_modes_2022_taz.csv</w:t>
            </w:r>
          </w:p>
        </w:tc>
      </w:tr>
      <w:tr>
        <w:tc>
          <w:tcPr>
            <w:tcW w:type="dxa" w:w="2608"/>
          </w:tcPr>
          <w:p>
            <w:pPr>
              <w:spacing w:after="20"/>
            </w:pPr>
            <w:r/>
            <w:r>
              <w:rPr>
                <w:sz w:val="17"/>
              </w:rPr>
              <w:t>Corridor_flow_profile_survey_2022.ipynb</w:t>
            </w:r>
          </w:p>
        </w:tc>
        <w:tc>
          <w:tcPr>
            <w:tcW w:type="dxa" w:w="2948"/>
          </w:tcPr>
          <w:p>
            <w:pPr>
              <w:spacing w:after="20"/>
            </w:pPr>
            <w:r/>
            <w:r>
              <w:rPr>
                <w:sz w:val="17"/>
              </w:rPr>
              <w:t>Potential movements along the line: total, transit, taxi-type</w:t>
            </w:r>
          </w:p>
        </w:tc>
        <w:tc>
          <w:tcPr>
            <w:tcW w:type="dxa" w:w="3458"/>
          </w:tcPr>
          <w:p>
            <w:pPr>
              <w:spacing w:after="20"/>
            </w:pPr>
            <w:r/>
            <w:r>
              <w:rPr>
                <w:sz w:val="17"/>
              </w:rPr>
              <w:t>corridor_link_flows_{total,transit,taxi}_2022.csv</w:t>
            </w:r>
          </w:p>
        </w:tc>
      </w:tr>
      <w:tr>
        <w:tc>
          <w:tcPr>
            <w:tcW w:type="dxa" w:w="2608"/>
          </w:tcPr>
          <w:p>
            <w:pPr>
              <w:spacing w:after="20"/>
            </w:pPr>
            <w:r/>
            <w:r>
              <w:rPr>
                <w:sz w:val="17"/>
              </w:rPr>
              <w:t>Corridor_profile_hybrid_vs_ticketing.ipynb</w:t>
            </w:r>
          </w:p>
        </w:tc>
        <w:tc>
          <w:tcPr>
            <w:tcW w:type="dxa" w:w="2948"/>
          </w:tcPr>
          <w:p>
            <w:pPr>
              <w:spacing w:after="20"/>
            </w:pPr>
            <w:r/>
            <w:r>
              <w:rPr>
                <w:sz w:val="17"/>
              </w:rPr>
              <w:t>Calibrated survey vs ticketing profile, components, pair contributions, coverage split</w:t>
            </w:r>
          </w:p>
        </w:tc>
        <w:tc>
          <w:tcPr>
            <w:tcW w:type="dxa" w:w="3458"/>
          </w:tcPr>
          <w:p>
            <w:pPr>
              <w:spacing w:after="20"/>
            </w:pPr>
            <w:r/>
            <w:r>
              <w:rPr>
                <w:sz w:val="17"/>
              </w:rPr>
              <w:t>corridor_profile_hybrid_vs_ticketing.csv, corridor_profile_coverage_local_vs_intercity.csv</w:t>
            </w:r>
          </w:p>
        </w:tc>
      </w:tr>
    </w:tbl>
    <w:p>
      <w:pPr>
        <w:spacing w:after="40"/>
      </w:pPr>
    </w:p>
    <w:p>
      <w:r>
        <w:rPr>
          <w:i w:val="0"/>
        </w:rPr>
        <w:t>Full method details, with every number, are in METHODOLOGY.md sections 6j to 6q of the repository; section 0 there lists every published file with its base, geography, modes, vintage and status.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0B0B0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cs="Calibri"/>
      <w:b/>
      <w:bCs/>
      <w:color w:val="0B0B0B"/>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cs="Calibri"/>
      <w:b/>
      <w:bCs/>
      <w:color w:val="0B0B0B"/>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cs="Calibri"/>
      <w:b/>
      <w:bCs/>
      <w:color w:val="0B0B0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the Car, Bus, Taxi-type and Rail Demand Matrices from the Travel Habits Survey — revision 2</dc:title>
  <dc:subject/>
  <dc:creator>Nofit LRT Extension study</dc:creator>
  <cp:keywords/>
  <dc:description>generated by python-docx</dc:description>
  <cp:lastModifiedBy/>
  <cp:revision>1</cp:revision>
  <dcterms:created xsi:type="dcterms:W3CDTF">2013-12-23T23:15:00Z</dcterms:created>
  <dcterms:modified xsi:type="dcterms:W3CDTF">2013-12-23T23:15:00Z</dcterms:modified>
  <cp:category/>
</cp:coreProperties>
</file>