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pStyle w:val="Heading1"/>
        <w:spacing w:before="120" w:after="160"/>
      </w:pPr>
      <w:r>
        <w:rPr>
          <w:rFonts w:ascii="Arial" w:eastAsia="Arial" w:hAnsi="Arial" w:cs="Arial"/>
          <w:b/>
          <w:color w:val="004B9C"/>
          <w:sz w:val="32"/>
        </w:rPr>
        <w:t xml:space="preserve">Comprehensive Equipment Schedule Risk Analysis</w:t>
      </w:r>
    </w:p>
    <w:p>
      <w:pPr>
        <w:pStyle w:val="Heading2"/>
        <w:spacing w:after="120"/>
      </w:pPr>
      <w:r>
        <w:rPr>
          <w:rFonts w:ascii="Arial" w:eastAsia="Arial" w:hAnsi="Arial" w:cs="Arial"/>
        </w:rPr>
        <w:t xml:space="preserve">1. Executive Summary</w:t>
      </w:r>
    </w:p>
    <w:p>
      <w:pPr>
        <w:numPr>
          <w:ilvl w:val="0"/>
          <w:numId w:val="3"/>
        </w:numPr>
        <w:spacing w:after="120"/>
      </w:pPr>
      <w:r>
        <w:rPr>
          <w:rFonts w:ascii="Arial" w:eastAsia="Arial" w:hAnsi="Arial" w:cs="Arial"/>
          <w:b/>
        </w:rPr>
        <w:t xml:space="preserve">Overall Risk Levels:</w:t>
      </w:r>
    </w:p>
    <w:p>
      <w:pPr>
        <w:numPr>
          <w:ilvl w:val="1"/>
          <w:numId w:val="4"/>
        </w:numPr>
        <w:spacing w:after="120"/>
      </w:pPr>
      <w:r>
        <w:rPr>
          <w:rFonts w:ascii="Arial" w:eastAsia="Arial" w:hAnsi="Arial" w:cs="Arial"/>
        </w:rPr>
        <w:t xml:space="preserve">Medium Risk: 1 item</w:t>
      </w:r>
    </w:p>
    <w:p>
      <w:pPr>
        <w:numPr>
          <w:ilvl w:val="1"/>
          <w:numId w:val="4"/>
        </w:numPr>
        <w:spacing w:after="120"/>
      </w:pPr>
      <w:r>
        <w:rPr>
          <w:rFonts w:ascii="Arial" w:eastAsia="Arial" w:hAnsi="Arial" w:cs="Arial"/>
        </w:rPr>
        <w:t xml:space="preserve">Low Risk: 2 items</w:t>
      </w:r>
    </w:p>
    <w:p>
      <w:pPr>
        <w:numPr>
          <w:ilvl w:val="1"/>
          <w:numId w:val="4"/>
        </w:numPr>
        <w:spacing w:after="120"/>
      </w:pPr>
      <w:r>
        <w:rPr>
          <w:rFonts w:ascii="Arial" w:eastAsia="Arial" w:hAnsi="Arial" w:cs="Arial"/>
        </w:rPr>
        <w:t xml:space="preserve">High Risk: None</w:t>
      </w:r>
    </w:p>
    <w:p>
      <w:pPr>
        <w:numPr>
          <w:ilvl w:val="1"/>
          <w:numId w:val="4"/>
        </w:numPr>
        <w:spacing w:after="120"/>
      </w:pPr>
      <w:r>
        <w:rPr>
          <w:rFonts w:ascii="Arial" w:eastAsia="Arial" w:hAnsi="Arial" w:cs="Arial"/>
        </w:rPr>
        <w:t xml:space="preserve">On-Track: None</w:t>
      </w:r>
    </w:p>
    <w:p>
      <w:pPr>
        <w:numPr>
          <w:ilvl w:val="0"/>
          <w:numId w:val="3"/>
        </w:numPr>
        <w:spacing w:after="120"/>
      </w:pPr>
      <w:r>
        <w:rPr>
          <w:rFonts w:ascii="Arial" w:eastAsia="Arial" w:hAnsi="Arial" w:cs="Arial"/>
          <w:b/>
        </w:rPr>
        <w:t xml:space="preserve">Key Findings:</w:t>
      </w:r>
    </w:p>
    <w:p>
      <w:pPr>
        <w:numPr>
          <w:ilvl w:val="1"/>
          <w:numId w:val="5"/>
        </w:numPr>
        <w:spacing w:after="120"/>
      </w:pPr>
      <w:r>
        <w:rPr>
          <w:rFonts w:ascii="Arial" w:eastAsia="Arial" w:hAnsi="Arial" w:cs="Arial"/>
        </w:rPr>
        <w:t xml:space="preserve">Medium-risk item identified with early delivery requiring mitigation actions.</w:t>
      </w:r>
    </w:p>
    <w:p>
      <w:pPr>
        <w:numPr>
          <w:ilvl w:val="1"/>
          <w:numId w:val="5"/>
        </w:numPr>
        <w:spacing w:after="120"/>
      </w:pPr>
      <w:r>
        <w:rPr>
          <w:rFonts w:ascii="Arial" w:eastAsia="Arial" w:hAnsi="Arial" w:cs="Arial"/>
        </w:rPr>
        <w:t xml:space="preserve">Low-risk items have minor variances with minimal impact.</w:t>
      </w:r>
    </w:p>
    <w:p>
      <w:pPr>
        <w:numPr>
          <w:ilvl w:val="0"/>
          <w:numId w:val="3"/>
        </w:numPr>
        <w:spacing w:after="120"/>
      </w:pPr>
      <w:r>
        <w:rPr>
          <w:rFonts w:ascii="Arial" w:eastAsia="Arial" w:hAnsi="Arial" w:cs="Arial"/>
          <w:b/>
        </w:rPr>
        <w:t xml:space="preserve">Total Equipment Analyzed:</w:t>
      </w:r>
      <w:r>
        <w:rPr>
          <w:rFonts w:ascii="Arial" w:eastAsia="Arial" w:hAnsi="Arial" w:cs="Arial"/>
        </w:rPr>
        <w:t xml:space="preserve"> 3</w:t>
      </w:r>
    </w:p>
    <w:p>
      <w:pPr>
        <w:pStyle w:val="Heading2"/>
        <w:spacing w:after="120"/>
      </w:pPr>
      <w:r>
        <w:rPr>
          <w:rFonts w:ascii="Arial" w:eastAsia="Arial" w:hAnsi="Arial" w:cs="Arial"/>
        </w:rPr>
        <w:t xml:space="preserve">2. Comprehensive Risk Summary Table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a. Executive Summary</w:t>
      </w:r>
    </w:p>
    <w:p>
      <w:pPr>
        <w:numPr>
          <w:ilvl w:val="0"/>
          <w:numId w:val="6"/>
        </w:numPr>
        <w:spacing w:after="120"/>
      </w:pPr>
      <w:r>
        <w:rPr>
          <w:rFonts w:ascii="Arial" w:eastAsia="Arial" w:hAnsi="Arial" w:cs="Arial"/>
          <w:b/>
        </w:rPr>
        <w:t xml:space="preserve">Total Items Analyzed:</w:t>
      </w:r>
      <w:r>
        <w:rPr>
          <w:rFonts w:ascii="Arial" w:eastAsia="Arial" w:hAnsi="Arial" w:cs="Arial"/>
        </w:rPr>
        <w:t xml:space="preserve"> 3</w:t>
      </w:r>
    </w:p>
    <w:p>
      <w:pPr>
        <w:numPr>
          <w:ilvl w:val="0"/>
          <w:numId w:val="6"/>
        </w:numPr>
        <w:spacing w:after="120"/>
      </w:pPr>
      <w:r>
        <w:rPr>
          <w:rFonts w:ascii="Arial" w:eastAsia="Arial" w:hAnsi="Arial" w:cs="Arial"/>
          <w:b/>
        </w:rPr>
        <w:t xml:space="preserve">Risk Breakdown:</w:t>
      </w:r>
    </w:p>
    <w:p>
      <w:pPr>
        <w:numPr>
          <w:ilvl w:val="1"/>
          <w:numId w:val="7"/>
        </w:numPr>
        <w:spacing w:after="120"/>
      </w:pPr>
      <w:r>
        <w:rPr>
          <w:rFonts w:ascii="Arial" w:eastAsia="Arial" w:hAnsi="Arial" w:cs="Arial"/>
        </w:rPr>
        <w:t xml:space="preserve">Medium Risk: 1 item</w:t>
      </w:r>
    </w:p>
    <w:p>
      <w:pPr>
        <w:numPr>
          <w:ilvl w:val="1"/>
          <w:numId w:val="7"/>
        </w:numPr>
        <w:spacing w:after="120"/>
      </w:pPr>
      <w:r>
        <w:rPr>
          <w:rFonts w:ascii="Arial" w:eastAsia="Arial" w:hAnsi="Arial" w:cs="Arial"/>
        </w:rPr>
        <w:t xml:space="preserve">Low Risk: 2 items</w:t>
      </w:r>
    </w:p>
    <w:p>
      <w:pPr>
        <w:numPr>
          <w:ilvl w:val="1"/>
          <w:numId w:val="7"/>
        </w:numPr>
        <w:spacing w:after="120"/>
      </w:pPr>
      <w:r>
        <w:rPr>
          <w:rFonts w:ascii="Arial" w:eastAsia="Arial" w:hAnsi="Arial" w:cs="Arial"/>
        </w:rPr>
        <w:t xml:space="preserve">High Risk: None</w:t>
      </w:r>
    </w:p>
    <w:p>
      <w:pPr>
        <w:numPr>
          <w:ilvl w:val="1"/>
          <w:numId w:val="7"/>
        </w:numPr>
        <w:spacing w:after="120"/>
      </w:pPr>
      <w:r>
        <w:rPr>
          <w:rFonts w:ascii="Arial" w:eastAsia="Arial" w:hAnsi="Arial" w:cs="Arial"/>
        </w:rPr>
        <w:t xml:space="preserve">On-Track: None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b. Equipment Comparison Table</w:t>
      </w:r>
    </w:p>
    <w:tbl>
      <w:tblPr/>
      <w:tblGrid>
        <w:gridCol w:w="1199"/>
        <w:gridCol w:w="1199"/>
        <w:gridCol w:w="662"/>
        <w:gridCol w:w="971"/>
        <w:gridCol w:w="1021"/>
        <w:gridCol w:w="672"/>
        <w:gridCol w:w="840"/>
        <w:gridCol w:w="1508"/>
        <w:gridCol w:w="960"/>
      </w:tblGrid>
      <w:tr>
        <w:trPr>
          <w:trHeight w:val="400"/>
          <w:tblHeader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Equipment Code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Equipment Name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P6 Due Date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Delivery Date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Variance (days)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Risk %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Risk Level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Manufacturing Country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0F0F0"/>
            <w:vAlign w:val="center"/>
          </w:tcPr>
          <w:p>
            <w:pPr>
              <w:spacing w:before="100" w:after="80" w:line="240" w:lineRule="atLeast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Project Country</w:t>
            </w:r>
          </w:p>
        </w:tc>
      </w:tr>
      <w:tr>
        <w:trPr>
          <w:trHeight w:hRule="auto" w:val="0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123456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LV Switchgear - 400V/5000A Switchboard-1 (3-Sections)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2026-02-21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2026-01-21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-31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10.44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Medium Risk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USA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Germany</w:t>
            </w:r>
          </w:p>
        </w:tc>
      </w:tr>
      <w:tr>
        <w:trPr>
          <w:trHeight w:val="360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123457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LV Switchgear - 400V/5000A Switchboard-2 (3-Sections)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2026-02-25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2026-02-20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-5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1.66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Low Risk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China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shd w:val="clear" w:color="auto" w:fill="F5F5FA"/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Germany</w:t>
            </w:r>
          </w:p>
        </w:tc>
      </w:tr>
      <w:tr>
        <w:trPr>
          <w:trHeight w:hRule="auto" w:val="0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123458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LV Switchgear - 400V/5000A Switchboard-3 (3-Sections)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2026-02-27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2026-03-07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8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2.64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Low Risk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Philippines</w:t>
            </w:r>
          </w:p>
        </w:tc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  <w:vAlign w:val="center"/>
          </w:tcPr>
          <w:p>
            <w:pPr>
              <w:spacing w:before="100" w:after="100" w:line="240" w:lineRule="atLeast"/>
            </w:pPr>
            <w:r>
              <w:rPr>
                <w:rFonts w:ascii="Arial" w:eastAsia="Arial" w:hAnsi="Arial" w:cs="Arial"/>
                <w:sz w:val="16"/>
              </w:rPr>
              <w:t xml:space="preserve">Germany</w:t>
            </w:r>
          </w:p>
        </w:tc>
      </w:tr>
    </w:tbl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c. High Risk Items</w:t>
      </w:r>
    </w:p>
    <w:p>
      <w:pPr>
        <w:numPr>
          <w:ilvl w:val="0"/>
          <w:numId w:val="8"/>
        </w:numPr>
        <w:spacing w:after="120"/>
      </w:pPr>
      <w:r>
        <w:rPr>
          <w:rFonts w:ascii="Arial" w:eastAsia="Arial" w:hAnsi="Arial" w:cs="Arial"/>
          <w:b/>
        </w:rPr>
        <w:t xml:space="preserve">None identified.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d. Medium Risk Items</w:t>
      </w:r>
    </w:p>
    <w:p>
      <w:pPr>
        <w:pStyle w:val="Heading4"/>
        <w:spacing w:before="120" w:after="160"/>
      </w:pPr>
      <w:r>
        <w:rPr>
          <w:rFonts w:ascii="Arial" w:eastAsia="Arial" w:hAnsi="Arial" w:cs="Arial"/>
          <w:b/>
          <w:color w:val="000000"/>
          <w:sz w:val="24"/>
        </w:rPr>
        <w:t xml:space="preserve">Equipment Code: 123456</w:t>
      </w:r>
    </w:p>
    <w:p>
      <w:pPr>
        <w:numPr>
          <w:ilvl w:val="0"/>
          <w:numId w:val="9"/>
        </w:numPr>
        <w:spacing w:after="120"/>
      </w:pPr>
      <w:r>
        <w:rPr>
          <w:rFonts w:ascii="Arial" w:eastAsia="Arial" w:hAnsi="Arial" w:cs="Arial"/>
          <w:b/>
        </w:rPr>
        <w:t xml:space="preserve">Equipment Name:</w:t>
      </w:r>
      <w:r>
        <w:rPr>
          <w:rFonts w:ascii="Arial" w:eastAsia="Arial" w:hAnsi="Arial" w:cs="Arial"/>
        </w:rPr>
        <w:t xml:space="preserve"> LV Switchgear - 400V/5000A Switchboard-1 (3-Sections)</w:t>
      </w:r>
    </w:p>
    <w:p>
      <w:pPr>
        <w:numPr>
          <w:ilvl w:val="0"/>
          <w:numId w:val="9"/>
        </w:numPr>
        <w:spacing w:after="120"/>
      </w:pPr>
      <w:r>
        <w:rPr>
          <w:rFonts w:ascii="Arial" w:eastAsia="Arial" w:hAnsi="Arial" w:cs="Arial"/>
          <w:b/>
        </w:rPr>
        <w:t xml:space="preserve">Variance:</w:t>
      </w:r>
      <w:r>
        <w:rPr>
          <w:rFonts w:ascii="Arial" w:eastAsia="Arial" w:hAnsi="Arial" w:cs="Arial"/>
        </w:rPr>
        <w:t xml:space="preserve"> -31 days (EARLY)</w:t>
      </w:r>
    </w:p>
    <w:p>
      <w:pPr>
        <w:numPr>
          <w:ilvl w:val="0"/>
          <w:numId w:val="9"/>
        </w:numPr>
        <w:spacing w:after="120"/>
      </w:pPr>
      <w:r>
        <w:rPr>
          <w:rFonts w:ascii="Arial" w:eastAsia="Arial" w:hAnsi="Arial" w:cs="Arial"/>
          <w:b/>
        </w:rPr>
        <w:t xml:space="preserve">Risk %:</w:t>
      </w:r>
      <w:r>
        <w:rPr>
          <w:rFonts w:ascii="Arial" w:eastAsia="Arial" w:hAnsi="Arial" w:cs="Arial"/>
        </w:rPr>
        <w:t xml:space="preserve"> 10.44%</w:t>
      </w:r>
    </w:p>
    <w:p>
      <w:pPr>
        <w:numPr>
          <w:ilvl w:val="0"/>
          <w:numId w:val="9"/>
        </w:numPr>
        <w:spacing w:after="120"/>
      </w:pPr>
      <w:r>
        <w:rPr>
          <w:rFonts w:ascii="Arial" w:eastAsia="Arial" w:hAnsi="Arial" w:cs="Arial"/>
          <w:b/>
        </w:rPr>
        <w:t xml:space="preserve">Impact:</w:t>
      </w:r>
      <w:r>
        <w:rPr>
          <w:rFonts w:ascii="Arial" w:eastAsia="Arial" w:hAnsi="Arial" w:cs="Arial"/>
        </w:rPr>
        <w:t xml:space="preserve"> Early delivery may require storage arrangements and additional costs. Coordination with site readiness is critical.</w:t>
      </w:r>
    </w:p>
    <w:p>
      <w:pPr>
        <w:numPr>
          <w:ilvl w:val="0"/>
          <w:numId w:val="9"/>
        </w:numPr>
        <w:spacing w:after="120"/>
      </w:pPr>
      <w:r>
        <w:rPr>
          <w:rFonts w:ascii="Arial" w:eastAsia="Arial" w:hAnsi="Arial" w:cs="Arial"/>
          <w:b/>
        </w:rPr>
        <w:t xml:space="preserve">Factors Contributing to Variance:</w:t>
      </w:r>
      <w:r>
        <w:rPr>
          <w:rFonts w:ascii="Arial" w:eastAsia="Arial" w:hAnsi="Arial" w:cs="Arial"/>
        </w:rPr>
        <w:t xml:space="preserve"> Supplier lead time optimization and expedited logistics.</w:t>
      </w:r>
    </w:p>
    <w:p>
      <w:pPr>
        <w:numPr>
          <w:ilvl w:val="0"/>
          <w:numId w:val="9"/>
        </w:numPr>
        <w:spacing w:after="120"/>
      </w:pPr>
      <w:r>
        <w:rPr>
          <w:rFonts w:ascii="Arial" w:eastAsia="Arial" w:hAnsi="Arial" w:cs="Arial"/>
          <w:b/>
        </w:rPr>
        <w:t xml:space="preserve">Potential Downstream Effects:</w:t>
      </w:r>
      <w:r>
        <w:rPr>
          <w:rFonts w:ascii="Arial" w:eastAsia="Arial" w:hAnsi="Arial" w:cs="Arial"/>
        </w:rPr>
        <w:t xml:space="preserve"> Increased storage costs and potential misalignment with project readiness.</w:t>
      </w:r>
    </w:p>
    <w:p>
      <w:pPr>
        <w:numPr>
          <w:ilvl w:val="0"/>
          <w:numId w:val="9"/>
        </w:numPr>
        <w:spacing w:after="120"/>
      </w:pPr>
      <w:r>
        <w:rPr>
          <w:rFonts w:ascii="Arial" w:eastAsia="Arial" w:hAnsi="Arial" w:cs="Arial"/>
          <w:b/>
        </w:rPr>
        <w:t xml:space="preserve">Recommended Mitigation Actions:</w:t>
      </w:r>
    </w:p>
    <w:p>
      <w:pPr>
        <w:numPr>
          <w:ilvl w:val="1"/>
          <w:numId w:val="10"/>
        </w:numPr>
        <w:spacing w:after="120"/>
      </w:pPr>
      <w:r>
        <w:rPr>
          <w:rFonts w:ascii="Arial" w:eastAsia="Arial" w:hAnsi="Arial" w:cs="Arial"/>
        </w:rPr>
        <w:t xml:space="preserve">Confirm site readiness for early delivery.</w:t>
      </w:r>
    </w:p>
    <w:p>
      <w:pPr>
        <w:numPr>
          <w:ilvl w:val="1"/>
          <w:numId w:val="10"/>
        </w:numPr>
        <w:spacing w:after="120"/>
      </w:pPr>
      <w:r>
        <w:rPr>
          <w:rFonts w:ascii="Arial" w:eastAsia="Arial" w:hAnsi="Arial" w:cs="Arial"/>
        </w:rPr>
        <w:t xml:space="preserve">Coordinate with supplier and logistics teams to adjust delivery timing if necessary.</w:t>
      </w:r>
    </w:p>
    <w:p>
      <w:pPr>
        <w:numPr>
          <w:ilvl w:val="1"/>
          <w:numId w:val="10"/>
        </w:numPr>
        <w:spacing w:after="120"/>
      </w:pPr>
      <w:r>
        <w:rPr>
          <w:rFonts w:ascii="Arial" w:eastAsia="Arial" w:hAnsi="Arial" w:cs="Arial"/>
        </w:rPr>
        <w:t xml:space="preserve">Monitor storage costs and ensure proper handling.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e. Low Risk Items</w:t>
      </w:r>
    </w:p>
    <w:p>
      <w:pPr>
        <w:pStyle w:val="Heading4"/>
        <w:spacing w:before="120" w:after="160"/>
      </w:pPr>
      <w:r>
        <w:rPr>
          <w:rFonts w:ascii="Arial" w:eastAsia="Arial" w:hAnsi="Arial" w:cs="Arial"/>
          <w:b/>
          <w:color w:val="000000"/>
          <w:sz w:val="24"/>
        </w:rPr>
        <w:t xml:space="preserve">Equipment Code: 123457</w:t>
      </w:r>
    </w:p>
    <w:p>
      <w:pPr>
        <w:numPr>
          <w:ilvl w:val="0"/>
          <w:numId w:val="11"/>
        </w:numPr>
        <w:spacing w:after="120"/>
      </w:pPr>
      <w:r>
        <w:rPr>
          <w:rFonts w:ascii="Arial" w:eastAsia="Arial" w:hAnsi="Arial" w:cs="Arial"/>
          <w:b/>
        </w:rPr>
        <w:t xml:space="preserve">Equipment Name:</w:t>
      </w:r>
      <w:r>
        <w:rPr>
          <w:rFonts w:ascii="Arial" w:eastAsia="Arial" w:hAnsi="Arial" w:cs="Arial"/>
        </w:rPr>
        <w:t xml:space="preserve"> LV Switchgear - 400V/5000A Switchboard-2 (3-Sections)</w:t>
      </w:r>
    </w:p>
    <w:p>
      <w:pPr>
        <w:numPr>
          <w:ilvl w:val="0"/>
          <w:numId w:val="11"/>
        </w:numPr>
        <w:spacing w:after="120"/>
      </w:pPr>
      <w:r>
        <w:rPr>
          <w:rFonts w:ascii="Arial" w:eastAsia="Arial" w:hAnsi="Arial" w:cs="Arial"/>
          <w:b/>
        </w:rPr>
        <w:t xml:space="preserve">Variance:</w:t>
      </w:r>
      <w:r>
        <w:rPr>
          <w:rFonts w:ascii="Arial" w:eastAsia="Arial" w:hAnsi="Arial" w:cs="Arial"/>
        </w:rPr>
        <w:t xml:space="preserve"> -5 days (EARLY)</w:t>
      </w:r>
    </w:p>
    <w:p>
      <w:pPr>
        <w:numPr>
          <w:ilvl w:val="0"/>
          <w:numId w:val="11"/>
        </w:numPr>
        <w:spacing w:after="120"/>
      </w:pPr>
      <w:r>
        <w:rPr>
          <w:rFonts w:ascii="Arial" w:eastAsia="Arial" w:hAnsi="Arial" w:cs="Arial"/>
          <w:b/>
        </w:rPr>
        <w:t xml:space="preserve">Risk %:</w:t>
      </w:r>
      <w:r>
        <w:rPr>
          <w:rFonts w:ascii="Arial" w:eastAsia="Arial" w:hAnsi="Arial" w:cs="Arial"/>
        </w:rPr>
        <w:t xml:space="preserve"> 1.66%</w:t>
      </w:r>
    </w:p>
    <w:p>
      <w:pPr>
        <w:numPr>
          <w:ilvl w:val="0"/>
          <w:numId w:val="11"/>
        </w:numPr>
        <w:spacing w:after="120"/>
      </w:pPr>
      <w:r>
        <w:rPr>
          <w:rFonts w:ascii="Arial" w:eastAsia="Arial" w:hAnsi="Arial" w:cs="Arial"/>
          <w:b/>
        </w:rPr>
        <w:t xml:space="preserve">Impact:</w:t>
      </w:r>
      <w:r>
        <w:rPr>
          <w:rFonts w:ascii="Arial" w:eastAsia="Arial" w:hAnsi="Arial" w:cs="Arial"/>
        </w:rPr>
        <w:t xml:space="preserve"> Minimal impact due to slight early delivery.</w:t>
      </w:r>
    </w:p>
    <w:p>
      <w:pPr>
        <w:numPr>
          <w:ilvl w:val="0"/>
          <w:numId w:val="11"/>
        </w:numPr>
        <w:spacing w:after="120"/>
      </w:pPr>
      <w:r>
        <w:rPr>
          <w:rFonts w:ascii="Arial" w:eastAsia="Arial" w:hAnsi="Arial" w:cs="Arial"/>
          <w:b/>
        </w:rPr>
        <w:t xml:space="preserve">Factors Contributing to Variance:</w:t>
      </w:r>
      <w:r>
        <w:rPr>
          <w:rFonts w:ascii="Arial" w:eastAsia="Arial" w:hAnsi="Arial" w:cs="Arial"/>
        </w:rPr>
        <w:t xml:space="preserve"> Efficient logistics and supplier adherence to schedule.</w:t>
      </w:r>
    </w:p>
    <w:p>
      <w:pPr>
        <w:numPr>
          <w:ilvl w:val="0"/>
          <w:numId w:val="11"/>
        </w:numPr>
        <w:spacing w:after="120"/>
      </w:pPr>
      <w:r>
        <w:rPr>
          <w:rFonts w:ascii="Arial" w:eastAsia="Arial" w:hAnsi="Arial" w:cs="Arial"/>
          <w:b/>
        </w:rPr>
        <w:t xml:space="preserve">Recommended Mitigation Actions:</w:t>
      </w:r>
    </w:p>
    <w:p>
      <w:pPr>
        <w:numPr>
          <w:ilvl w:val="1"/>
          <w:numId w:val="12"/>
        </w:numPr>
        <w:spacing w:after="120"/>
      </w:pPr>
      <w:r>
        <w:rPr>
          <w:rFonts w:ascii="Arial" w:eastAsia="Arial" w:hAnsi="Arial" w:cs="Arial"/>
        </w:rPr>
        <w:t xml:space="preserve">Maintain regular updates with supplier.</w:t>
      </w:r>
    </w:p>
    <w:p>
      <w:pPr>
        <w:numPr>
          <w:ilvl w:val="1"/>
          <w:numId w:val="12"/>
        </w:numPr>
        <w:spacing w:after="120"/>
      </w:pPr>
      <w:r>
        <w:rPr>
          <w:rFonts w:ascii="Arial" w:eastAsia="Arial" w:hAnsi="Arial" w:cs="Arial"/>
        </w:rPr>
        <w:t xml:space="preserve">Ensure site readiness for early delivery.</w:t>
      </w:r>
    </w:p>
    <w:p>
      <w:pPr>
        <w:pStyle w:val="Heading4"/>
        <w:spacing w:before="120" w:after="160"/>
      </w:pPr>
      <w:r>
        <w:rPr>
          <w:rFonts w:ascii="Arial" w:eastAsia="Arial" w:hAnsi="Arial" w:cs="Arial"/>
          <w:b/>
          <w:color w:val="000000"/>
          <w:sz w:val="24"/>
        </w:rPr>
        <w:t xml:space="preserve">Equipment Code: 123458</w:t>
      </w:r>
    </w:p>
    <w:p>
      <w:pPr>
        <w:numPr>
          <w:ilvl w:val="0"/>
          <w:numId w:val="13"/>
        </w:numPr>
        <w:spacing w:after="120"/>
      </w:pPr>
      <w:r>
        <w:rPr>
          <w:rFonts w:ascii="Arial" w:eastAsia="Arial" w:hAnsi="Arial" w:cs="Arial"/>
          <w:b/>
        </w:rPr>
        <w:t xml:space="preserve">Equipment Name:</w:t>
      </w:r>
      <w:r>
        <w:rPr>
          <w:rFonts w:ascii="Arial" w:eastAsia="Arial" w:hAnsi="Arial" w:cs="Arial"/>
        </w:rPr>
        <w:t xml:space="preserve"> LV Switchgear - 400V/5000A Switchboard-3 (3-Sections)</w:t>
      </w:r>
    </w:p>
    <w:p>
      <w:pPr>
        <w:numPr>
          <w:ilvl w:val="0"/>
          <w:numId w:val="13"/>
        </w:numPr>
        <w:spacing w:after="120"/>
      </w:pPr>
      <w:r>
        <w:rPr>
          <w:rFonts w:ascii="Arial" w:eastAsia="Arial" w:hAnsi="Arial" w:cs="Arial"/>
          <w:b/>
        </w:rPr>
        <w:t xml:space="preserve">Variance:</w:t>
      </w:r>
      <w:r>
        <w:rPr>
          <w:rFonts w:ascii="Arial" w:eastAsia="Arial" w:hAnsi="Arial" w:cs="Arial"/>
        </w:rPr>
        <w:t xml:space="preserve"> 8 days (LATE)</w:t>
      </w:r>
    </w:p>
    <w:p>
      <w:pPr>
        <w:numPr>
          <w:ilvl w:val="0"/>
          <w:numId w:val="13"/>
        </w:numPr>
        <w:spacing w:after="120"/>
      </w:pPr>
      <w:r>
        <w:rPr>
          <w:rFonts w:ascii="Arial" w:eastAsia="Arial" w:hAnsi="Arial" w:cs="Arial"/>
          <w:b/>
        </w:rPr>
        <w:t xml:space="preserve">Risk %:</w:t>
      </w:r>
      <w:r>
        <w:rPr>
          <w:rFonts w:ascii="Arial" w:eastAsia="Arial" w:hAnsi="Arial" w:cs="Arial"/>
        </w:rPr>
        <w:t xml:space="preserve"> 2.64%</w:t>
      </w:r>
    </w:p>
    <w:p>
      <w:pPr>
        <w:numPr>
          <w:ilvl w:val="0"/>
          <w:numId w:val="13"/>
        </w:numPr>
        <w:spacing w:after="120"/>
      </w:pPr>
      <w:r>
        <w:rPr>
          <w:rFonts w:ascii="Arial" w:eastAsia="Arial" w:hAnsi="Arial" w:cs="Arial"/>
          <w:b/>
        </w:rPr>
        <w:t xml:space="preserve">Impact:</w:t>
      </w:r>
      <w:r>
        <w:rPr>
          <w:rFonts w:ascii="Arial" w:eastAsia="Arial" w:hAnsi="Arial" w:cs="Arial"/>
        </w:rPr>
        <w:t xml:space="preserve"> Slight delay unlikely to affect overall project timeline.</w:t>
      </w:r>
    </w:p>
    <w:p>
      <w:pPr>
        <w:numPr>
          <w:ilvl w:val="0"/>
          <w:numId w:val="13"/>
        </w:numPr>
        <w:spacing w:after="120"/>
      </w:pPr>
      <w:r>
        <w:rPr>
          <w:rFonts w:ascii="Arial" w:eastAsia="Arial" w:hAnsi="Arial" w:cs="Arial"/>
          <w:b/>
        </w:rPr>
        <w:t xml:space="preserve">Factors Contributing to Variance:</w:t>
      </w:r>
      <w:r>
        <w:rPr>
          <w:rFonts w:ascii="Arial" w:eastAsia="Arial" w:hAnsi="Arial" w:cs="Arial"/>
        </w:rPr>
        <w:t xml:space="preserve"> Minor logistics delays.</w:t>
      </w:r>
    </w:p>
    <w:p>
      <w:pPr>
        <w:numPr>
          <w:ilvl w:val="0"/>
          <w:numId w:val="13"/>
        </w:numPr>
        <w:spacing w:after="120"/>
      </w:pPr>
      <w:r>
        <w:rPr>
          <w:rFonts w:ascii="Arial" w:eastAsia="Arial" w:hAnsi="Arial" w:cs="Arial"/>
          <w:b/>
        </w:rPr>
        <w:t xml:space="preserve">Recommended Mitigation Actions:</w:t>
      </w:r>
    </w:p>
    <w:p>
      <w:pPr>
        <w:numPr>
          <w:ilvl w:val="1"/>
          <w:numId w:val="14"/>
        </w:numPr>
        <w:spacing w:after="120"/>
      </w:pPr>
      <w:r>
        <w:rPr>
          <w:rFonts w:ascii="Arial" w:eastAsia="Arial" w:hAnsi="Arial" w:cs="Arial"/>
        </w:rPr>
        <w:t xml:space="preserve">Monitor logistics closely to avoid further delays.</w:t>
      </w:r>
    </w:p>
    <w:p>
      <w:pPr>
        <w:numPr>
          <w:ilvl w:val="1"/>
          <w:numId w:val="14"/>
        </w:numPr>
        <w:spacing w:after="120"/>
      </w:pPr>
      <w:r>
        <w:rPr>
          <w:rFonts w:ascii="Arial" w:eastAsia="Arial" w:hAnsi="Arial" w:cs="Arial"/>
        </w:rPr>
        <w:t xml:space="preserve">Ensure no cascading effects on subsequent project milestones.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f. On-Track Items</w:t>
      </w:r>
    </w:p>
    <w:p>
      <w:pPr>
        <w:numPr>
          <w:ilvl w:val="0"/>
          <w:numId w:val="15"/>
        </w:numPr>
        <w:spacing w:after="120"/>
      </w:pPr>
      <w:r>
        <w:rPr>
          <w:rFonts w:ascii="Arial" w:eastAsia="Arial" w:hAnsi="Arial" w:cs="Arial"/>
          <w:b/>
        </w:rPr>
        <w:t xml:space="preserve">None identified.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g. Recommendations</w:t>
      </w:r>
    </w:p>
    <w:p>
      <w:pPr>
        <w:numPr>
          <w:ilvl w:val="0"/>
          <w:numId w:val="16"/>
        </w:numPr>
        <w:spacing w:after="120"/>
      </w:pPr>
      <w:r>
        <w:rPr>
          <w:rFonts w:ascii="Arial" w:eastAsia="Arial" w:hAnsi="Arial" w:cs="Arial"/>
          <w:b/>
        </w:rPr>
        <w:t xml:space="preserve">Medium Risk (Equipment 123456):</w:t>
      </w:r>
    </w:p>
    <w:p>
      <w:pPr>
        <w:numPr>
          <w:ilvl w:val="1"/>
          <w:numId w:val="17"/>
        </w:numPr>
        <w:spacing w:after="120"/>
      </w:pPr>
      <w:r>
        <w:rPr>
          <w:rFonts w:ascii="Arial" w:eastAsia="Arial" w:hAnsi="Arial" w:cs="Arial"/>
        </w:rPr>
        <w:t xml:space="preserve">Coordinate with supplier and logistics teams to align delivery with site readiness.</w:t>
      </w:r>
    </w:p>
    <w:p>
      <w:pPr>
        <w:numPr>
          <w:ilvl w:val="1"/>
          <w:numId w:val="17"/>
        </w:numPr>
        <w:spacing w:after="120"/>
      </w:pPr>
      <w:r>
        <w:rPr>
          <w:rFonts w:ascii="Arial" w:eastAsia="Arial" w:hAnsi="Arial" w:cs="Arial"/>
        </w:rPr>
        <w:t xml:space="preserve">Monitor storage costs and ensure proper handling.</w:t>
      </w:r>
    </w:p>
    <w:p>
      <w:pPr>
        <w:numPr>
          <w:ilvl w:val="0"/>
          <w:numId w:val="16"/>
        </w:numPr>
        <w:spacing w:after="120"/>
      </w:pPr>
      <w:r>
        <w:rPr>
          <w:rFonts w:ascii="Arial" w:eastAsia="Arial" w:hAnsi="Arial" w:cs="Arial"/>
          <w:b/>
        </w:rPr>
        <w:t xml:space="preserve">Low Risk (Equipment 123457 and 123458):</w:t>
      </w:r>
    </w:p>
    <w:p>
      <w:pPr>
        <w:numPr>
          <w:ilvl w:val="1"/>
          <w:numId w:val="18"/>
        </w:numPr>
        <w:spacing w:after="120"/>
      </w:pPr>
      <w:r>
        <w:rPr>
          <w:rFonts w:ascii="Arial" w:eastAsia="Arial" w:hAnsi="Arial" w:cs="Arial"/>
        </w:rPr>
        <w:t xml:space="preserve">Maintain regular updates with suppliers.</w:t>
      </w:r>
    </w:p>
    <w:p>
      <w:pPr>
        <w:numPr>
          <w:ilvl w:val="1"/>
          <w:numId w:val="18"/>
        </w:numPr>
        <w:spacing w:after="120"/>
      </w:pPr>
      <w:r>
        <w:rPr>
          <w:rFonts w:ascii="Arial" w:eastAsia="Arial" w:hAnsi="Arial" w:cs="Arial"/>
        </w:rPr>
        <w:t xml:space="preserve">Monitor logistics to avoid further delays.</w:t>
      </w:r>
    </w:p>
    <w:p>
      <w:pPr>
        <w:pStyle w:val="Heading2"/>
        <w:spacing w:after="120"/>
      </w:pPr>
      <w:r>
        <w:rPr>
          <w:rFonts w:ascii="Arial" w:eastAsia="Arial" w:hAnsi="Arial" w:cs="Arial"/>
        </w:rPr>
        <w:t xml:space="preserve">3. Detailed Risk Analysis by Category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A. Schedule Risk Analysis</w:t>
      </w:r>
    </w:p>
    <w:p>
      <w:pPr>
        <w:pStyle w:val="Heading4"/>
        <w:spacing w:before="120" w:after="160"/>
      </w:pPr>
      <w:r>
        <w:rPr>
          <w:rFonts w:ascii="Arial" w:eastAsia="Arial" w:hAnsi="Arial" w:cs="Arial"/>
          <w:b/>
          <w:color w:val="000000"/>
          <w:sz w:val="24"/>
        </w:rPr>
        <w:t xml:space="preserve">High Risk Items</w:t>
      </w:r>
    </w:p>
    <w:p>
      <w:pPr>
        <w:numPr>
          <w:ilvl w:val="0"/>
          <w:numId w:val="19"/>
        </w:numPr>
        <w:spacing w:after="120"/>
      </w:pPr>
      <w:r>
        <w:rPr>
          <w:rFonts w:ascii="Arial" w:eastAsia="Arial" w:hAnsi="Arial" w:cs="Arial"/>
          <w:b/>
        </w:rPr>
        <w:t xml:space="preserve">None identified.</w:t>
      </w:r>
    </w:p>
    <w:p>
      <w:pPr>
        <w:pStyle w:val="Heading4"/>
        <w:spacing w:before="120" w:after="160"/>
      </w:pPr>
      <w:r>
        <w:rPr>
          <w:rFonts w:ascii="Arial" w:eastAsia="Arial" w:hAnsi="Arial" w:cs="Arial"/>
          <w:b/>
          <w:color w:val="000000"/>
          <w:sz w:val="24"/>
        </w:rPr>
        <w:t xml:space="preserve">Medium Risk Items</w:t>
      </w:r>
    </w:p>
    <w:p>
      <w:pPr>
        <w:numPr>
          <w:ilvl w:val="0"/>
          <w:numId w:val="20"/>
        </w:numPr>
        <w:spacing w:after="120"/>
      </w:pPr>
      <w:r>
        <w:rPr>
          <w:rFonts w:ascii="Arial" w:eastAsia="Arial" w:hAnsi="Arial" w:cs="Arial"/>
          <w:b/>
        </w:rPr>
        <w:t xml:space="preserve">Equipment Code:</w:t>
      </w:r>
      <w:r>
        <w:rPr>
          <w:rFonts w:ascii="Arial" w:eastAsia="Arial" w:hAnsi="Arial" w:cs="Arial"/>
        </w:rPr>
        <w:t xml:space="preserve"> 123456</w:t>
      </w:r>
    </w:p>
    <w:p>
      <w:pPr>
        <w:numPr>
          <w:ilvl w:val="1"/>
          <w:numId w:val="21"/>
        </w:numPr>
        <w:spacing w:after="120"/>
      </w:pPr>
      <w:r>
        <w:rPr>
          <w:rFonts w:ascii="Arial" w:eastAsia="Arial" w:hAnsi="Arial" w:cs="Arial"/>
          <w:b/>
        </w:rPr>
        <w:t xml:space="preserve">Variance:</w:t>
      </w:r>
      <w:r>
        <w:rPr>
          <w:rFonts w:ascii="Arial" w:eastAsia="Arial" w:hAnsi="Arial" w:cs="Arial"/>
        </w:rPr>
        <w:t xml:space="preserve"> -31 days (EARLY)</w:t>
      </w:r>
    </w:p>
    <w:p>
      <w:pPr>
        <w:numPr>
          <w:ilvl w:val="1"/>
          <w:numId w:val="21"/>
        </w:numPr>
        <w:spacing w:after="120"/>
      </w:pPr>
      <w:r>
        <w:rPr>
          <w:rFonts w:ascii="Arial" w:eastAsia="Arial" w:hAnsi="Arial" w:cs="Arial"/>
          <w:b/>
        </w:rPr>
        <w:t xml:space="preserve">Risk %:</w:t>
      </w:r>
      <w:r>
        <w:rPr>
          <w:rFonts w:ascii="Arial" w:eastAsia="Arial" w:hAnsi="Arial" w:cs="Arial"/>
        </w:rPr>
        <w:t xml:space="preserve"> 10.44%</w:t>
      </w:r>
    </w:p>
    <w:p>
      <w:pPr>
        <w:numPr>
          <w:ilvl w:val="1"/>
          <w:numId w:val="21"/>
        </w:numPr>
        <w:spacing w:after="120"/>
      </w:pPr>
      <w:r>
        <w:rPr>
          <w:rFonts w:ascii="Arial" w:eastAsia="Arial" w:hAnsi="Arial" w:cs="Arial"/>
          <w:b/>
        </w:rPr>
        <w:t xml:space="preserve">Impact:</w:t>
      </w:r>
      <w:r>
        <w:rPr>
          <w:rFonts w:ascii="Arial" w:eastAsia="Arial" w:hAnsi="Arial" w:cs="Arial"/>
        </w:rPr>
        <w:t xml:space="preserve"> Early delivery may require storage arrangements and additional costs. Coordination with site readiness is critical.</w:t>
      </w:r>
    </w:p>
    <w:p>
      <w:pPr>
        <w:numPr>
          <w:ilvl w:val="1"/>
          <w:numId w:val="21"/>
        </w:numPr>
        <w:spacing w:after="120"/>
      </w:pPr>
      <w:r>
        <w:rPr>
          <w:rFonts w:ascii="Arial" w:eastAsia="Arial" w:hAnsi="Arial" w:cs="Arial"/>
          <w:b/>
        </w:rPr>
        <w:t xml:space="preserve">Recommended Mitigation Actions:</w:t>
      </w:r>
    </w:p>
    <w:p>
      <w:pPr>
        <w:numPr>
          <w:ilvl w:val="2"/>
          <w:numId w:val="22"/>
        </w:numPr>
        <w:spacing w:after="120"/>
      </w:pPr>
      <w:r>
        <w:rPr>
          <w:rFonts w:ascii="Arial" w:eastAsia="Arial" w:hAnsi="Arial" w:cs="Arial"/>
        </w:rPr>
        <w:t xml:space="preserve">Confirm site readiness for early delivery.</w:t>
      </w:r>
    </w:p>
    <w:p>
      <w:pPr>
        <w:numPr>
          <w:ilvl w:val="2"/>
          <w:numId w:val="22"/>
        </w:numPr>
        <w:spacing w:after="120"/>
      </w:pPr>
      <w:r>
        <w:rPr>
          <w:rFonts w:ascii="Arial" w:eastAsia="Arial" w:hAnsi="Arial" w:cs="Arial"/>
        </w:rPr>
        <w:t xml:space="preserve">Coordinate with supplier and logistics teams to adjust delivery timing if necessary.</w:t>
      </w:r>
    </w:p>
    <w:p>
      <w:pPr>
        <w:numPr>
          <w:ilvl w:val="2"/>
          <w:numId w:val="22"/>
        </w:numPr>
        <w:spacing w:after="120"/>
      </w:pPr>
      <w:r>
        <w:rPr>
          <w:rFonts w:ascii="Arial" w:eastAsia="Arial" w:hAnsi="Arial" w:cs="Arial"/>
        </w:rPr>
        <w:t xml:space="preserve">Monitor storage costs and ensure proper handling.</w:t>
      </w:r>
    </w:p>
    <w:p>
      <w:pPr>
        <w:pStyle w:val="Heading4"/>
        <w:spacing w:before="120" w:after="160"/>
      </w:pPr>
      <w:r>
        <w:rPr>
          <w:rFonts w:ascii="Arial" w:eastAsia="Arial" w:hAnsi="Arial" w:cs="Arial"/>
          <w:b/>
          <w:color w:val="000000"/>
          <w:sz w:val="24"/>
        </w:rPr>
        <w:t xml:space="preserve">Low Risk Items</w:t>
      </w:r>
    </w:p>
    <w:p>
      <w:pPr>
        <w:numPr>
          <w:ilvl w:val="0"/>
          <w:numId w:val="23"/>
        </w:numPr>
        <w:spacing w:after="120"/>
      </w:pPr>
      <w:r>
        <w:rPr>
          <w:rFonts w:ascii="Arial" w:eastAsia="Arial" w:hAnsi="Arial" w:cs="Arial"/>
          <w:b/>
        </w:rPr>
        <w:t xml:space="preserve">Equipment Code:</w:t>
      </w:r>
      <w:r>
        <w:rPr>
          <w:rFonts w:ascii="Arial" w:eastAsia="Arial" w:hAnsi="Arial" w:cs="Arial"/>
        </w:rPr>
        <w:t xml:space="preserve"> 123457</w:t>
      </w:r>
    </w:p>
    <w:p>
      <w:pPr>
        <w:numPr>
          <w:ilvl w:val="1"/>
          <w:numId w:val="24"/>
        </w:numPr>
        <w:spacing w:after="120"/>
      </w:pPr>
      <w:r>
        <w:rPr>
          <w:rFonts w:ascii="Arial" w:eastAsia="Arial" w:hAnsi="Arial" w:cs="Arial"/>
          <w:b/>
        </w:rPr>
        <w:t xml:space="preserve">Variance:</w:t>
      </w:r>
      <w:r>
        <w:rPr>
          <w:rFonts w:ascii="Arial" w:eastAsia="Arial" w:hAnsi="Arial" w:cs="Arial"/>
        </w:rPr>
        <w:t xml:space="preserve"> -5 days (EARLY)</w:t>
      </w:r>
    </w:p>
    <w:p>
      <w:pPr>
        <w:numPr>
          <w:ilvl w:val="1"/>
          <w:numId w:val="24"/>
        </w:numPr>
        <w:spacing w:after="120"/>
      </w:pPr>
      <w:r>
        <w:rPr>
          <w:rFonts w:ascii="Arial" w:eastAsia="Arial" w:hAnsi="Arial" w:cs="Arial"/>
          <w:b/>
        </w:rPr>
        <w:t xml:space="preserve">Risk %:</w:t>
      </w:r>
      <w:r>
        <w:rPr>
          <w:rFonts w:ascii="Arial" w:eastAsia="Arial" w:hAnsi="Arial" w:cs="Arial"/>
        </w:rPr>
        <w:t xml:space="preserve"> 1.66%</w:t>
      </w:r>
    </w:p>
    <w:p>
      <w:pPr>
        <w:numPr>
          <w:ilvl w:val="1"/>
          <w:numId w:val="24"/>
        </w:numPr>
        <w:spacing w:after="120"/>
      </w:pPr>
      <w:r>
        <w:rPr>
          <w:rFonts w:ascii="Arial" w:eastAsia="Arial" w:hAnsi="Arial" w:cs="Arial"/>
          <w:b/>
        </w:rPr>
        <w:t xml:space="preserve">Impact:</w:t>
      </w:r>
      <w:r>
        <w:rPr>
          <w:rFonts w:ascii="Arial" w:eastAsia="Arial" w:hAnsi="Arial" w:cs="Arial"/>
        </w:rPr>
        <w:t xml:space="preserve"> Minimal impact due to slight early delivery.</w:t>
      </w:r>
    </w:p>
    <w:p>
      <w:pPr>
        <w:numPr>
          <w:ilvl w:val="1"/>
          <w:numId w:val="24"/>
        </w:numPr>
        <w:spacing w:after="120"/>
      </w:pPr>
      <w:r>
        <w:rPr>
          <w:rFonts w:ascii="Arial" w:eastAsia="Arial" w:hAnsi="Arial" w:cs="Arial"/>
          <w:b/>
        </w:rPr>
        <w:t xml:space="preserve">Recommended Mitigation Actions:</w:t>
      </w:r>
    </w:p>
    <w:p>
      <w:pPr>
        <w:numPr>
          <w:ilvl w:val="2"/>
          <w:numId w:val="25"/>
        </w:numPr>
        <w:spacing w:after="120"/>
      </w:pPr>
      <w:r>
        <w:rPr>
          <w:rFonts w:ascii="Arial" w:eastAsia="Arial" w:hAnsi="Arial" w:cs="Arial"/>
        </w:rPr>
        <w:t xml:space="preserve">Maintain regular updates with supplier.</w:t>
      </w:r>
    </w:p>
    <w:p>
      <w:pPr>
        <w:numPr>
          <w:ilvl w:val="2"/>
          <w:numId w:val="25"/>
        </w:numPr>
        <w:spacing w:after="120"/>
      </w:pPr>
      <w:r>
        <w:rPr>
          <w:rFonts w:ascii="Arial" w:eastAsia="Arial" w:hAnsi="Arial" w:cs="Arial"/>
        </w:rPr>
        <w:t xml:space="preserve">Ensure site readiness for early delivery.</w:t>
      </w:r>
    </w:p>
    <w:p>
      <w:pPr>
        <w:numPr>
          <w:ilvl w:val="0"/>
          <w:numId w:val="23"/>
        </w:numPr>
        <w:spacing w:after="120"/>
      </w:pPr>
      <w:r>
        <w:rPr>
          <w:rFonts w:ascii="Arial" w:eastAsia="Arial" w:hAnsi="Arial" w:cs="Arial"/>
          <w:b/>
        </w:rPr>
        <w:t xml:space="preserve">Equipment Code:</w:t>
      </w:r>
      <w:r>
        <w:rPr>
          <w:rFonts w:ascii="Arial" w:eastAsia="Arial" w:hAnsi="Arial" w:cs="Arial"/>
        </w:rPr>
        <w:t xml:space="preserve"> 123458</w:t>
      </w:r>
    </w:p>
    <w:p>
      <w:pPr>
        <w:numPr>
          <w:ilvl w:val="1"/>
          <w:numId w:val="26"/>
        </w:numPr>
        <w:spacing w:after="120"/>
      </w:pPr>
      <w:r>
        <w:rPr>
          <w:rFonts w:ascii="Arial" w:eastAsia="Arial" w:hAnsi="Arial" w:cs="Arial"/>
          <w:b/>
        </w:rPr>
        <w:t xml:space="preserve">Variance:</w:t>
      </w:r>
      <w:r>
        <w:rPr>
          <w:rFonts w:ascii="Arial" w:eastAsia="Arial" w:hAnsi="Arial" w:cs="Arial"/>
        </w:rPr>
        <w:t xml:space="preserve"> 8 days (LATE)</w:t>
      </w:r>
    </w:p>
    <w:p>
      <w:pPr>
        <w:numPr>
          <w:ilvl w:val="1"/>
          <w:numId w:val="26"/>
        </w:numPr>
        <w:spacing w:after="120"/>
      </w:pPr>
      <w:r>
        <w:rPr>
          <w:rFonts w:ascii="Arial" w:eastAsia="Arial" w:hAnsi="Arial" w:cs="Arial"/>
          <w:b/>
        </w:rPr>
        <w:t xml:space="preserve">Risk %:</w:t>
      </w:r>
      <w:r>
        <w:rPr>
          <w:rFonts w:ascii="Arial" w:eastAsia="Arial" w:hAnsi="Arial" w:cs="Arial"/>
        </w:rPr>
        <w:t xml:space="preserve"> 2.64%</w:t>
      </w:r>
    </w:p>
    <w:p>
      <w:pPr>
        <w:numPr>
          <w:ilvl w:val="1"/>
          <w:numId w:val="26"/>
        </w:numPr>
        <w:spacing w:after="120"/>
      </w:pPr>
      <w:r>
        <w:rPr>
          <w:rFonts w:ascii="Arial" w:eastAsia="Arial" w:hAnsi="Arial" w:cs="Arial"/>
          <w:b/>
        </w:rPr>
        <w:t xml:space="preserve">Impact:</w:t>
      </w:r>
      <w:r>
        <w:rPr>
          <w:rFonts w:ascii="Arial" w:eastAsia="Arial" w:hAnsi="Arial" w:cs="Arial"/>
        </w:rPr>
        <w:t xml:space="preserve"> Slight delay unlikely to affect overall project timeline.</w:t>
      </w:r>
    </w:p>
    <w:p>
      <w:pPr>
        <w:numPr>
          <w:ilvl w:val="1"/>
          <w:numId w:val="26"/>
        </w:numPr>
        <w:spacing w:after="120"/>
      </w:pPr>
      <w:r>
        <w:rPr>
          <w:rFonts w:ascii="Arial" w:eastAsia="Arial" w:hAnsi="Arial" w:cs="Arial"/>
          <w:b/>
        </w:rPr>
        <w:t xml:space="preserve">Recommended Mitigation Actions:</w:t>
      </w:r>
    </w:p>
    <w:p>
      <w:pPr>
        <w:numPr>
          <w:ilvl w:val="2"/>
          <w:numId w:val="27"/>
        </w:numPr>
        <w:spacing w:after="120"/>
      </w:pPr>
      <w:r>
        <w:rPr>
          <w:rFonts w:ascii="Arial" w:eastAsia="Arial" w:hAnsi="Arial" w:cs="Arial"/>
        </w:rPr>
        <w:t xml:space="preserve">Monitor logistics closely to avoid further delays.</w:t>
      </w:r>
    </w:p>
    <w:p>
      <w:pPr>
        <w:numPr>
          <w:ilvl w:val="2"/>
          <w:numId w:val="27"/>
        </w:numPr>
        <w:spacing w:after="120"/>
      </w:pPr>
      <w:r>
        <w:rPr>
          <w:rFonts w:ascii="Arial" w:eastAsia="Arial" w:hAnsi="Arial" w:cs="Arial"/>
        </w:rPr>
        <w:t xml:space="preserve">Ensure no cascading effects on subsequent project milestones.</w:t>
      </w:r>
    </w:p>
    <w:p>
      <w:pPr>
        <w:pStyle w:val="Heading2"/>
        <w:spacing w:after="120"/>
      </w:pPr>
      <w:r>
        <w:rPr>
          <w:rFonts w:ascii="Arial" w:eastAsia="Arial" w:hAnsi="Arial" w:cs="Arial"/>
        </w:rPr>
        <w:t xml:space="preserve">4. Consolidated Recommendations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a. Medium Risk (Equipment 123456):</w:t>
      </w:r>
    </w:p>
    <w:p>
      <w:pPr>
        <w:numPr>
          <w:ilvl w:val="0"/>
          <w:numId w:val="28"/>
        </w:numPr>
        <w:spacing w:after="120"/>
      </w:pPr>
      <w:r>
        <w:rPr>
          <w:rFonts w:ascii="Arial" w:eastAsia="Arial" w:hAnsi="Arial" w:cs="Arial"/>
        </w:rPr>
        <w:t xml:space="preserve">Coordinate with supplier and logistics teams to align delivery with site readiness.</w:t>
      </w:r>
    </w:p>
    <w:p>
      <w:pPr>
        <w:numPr>
          <w:ilvl w:val="0"/>
          <w:numId w:val="28"/>
        </w:numPr>
        <w:spacing w:after="120"/>
      </w:pPr>
      <w:r>
        <w:rPr>
          <w:rFonts w:ascii="Arial" w:eastAsia="Arial" w:hAnsi="Arial" w:cs="Arial"/>
        </w:rPr>
        <w:t xml:space="preserve">Monitor storage costs and ensure proper handling.</w:t>
      </w:r>
    </w:p>
    <w:p>
      <w:pPr>
        <w:pStyle w:val="Heading3"/>
        <w:spacing w:before="120" w:after="160"/>
      </w:pPr>
      <w:r>
        <w:rPr>
          <w:rFonts w:ascii="Arial" w:eastAsia="Arial" w:hAnsi="Arial" w:cs="Arial"/>
          <w:b/>
          <w:color w:val="3A7CC1"/>
          <w:sz w:val="28"/>
        </w:rPr>
        <w:t xml:space="preserve">b. Low Risk (Equipment 123457 and 123458):</w:t>
      </w:r>
    </w:p>
    <w:p>
      <w:pPr>
        <w:numPr>
          <w:ilvl w:val="0"/>
          <w:numId w:val="29"/>
        </w:numPr>
        <w:spacing w:after="120"/>
      </w:pPr>
      <w:r>
        <w:rPr>
          <w:rFonts w:ascii="Arial" w:eastAsia="Arial" w:hAnsi="Arial" w:cs="Arial"/>
        </w:rPr>
        <w:t xml:space="preserve">Maintain regular updates with suppliers.</w:t>
      </w:r>
    </w:p>
    <w:p>
      <w:pPr>
        <w:numPr>
          <w:ilvl w:val="0"/>
          <w:numId w:val="29"/>
        </w:numPr>
        <w:spacing w:after="120"/>
      </w:pPr>
      <w:r>
        <w:rPr>
          <w:rFonts w:ascii="Arial" w:eastAsia="Arial" w:hAnsi="Arial" w:cs="Arial"/>
        </w:rPr>
        <w:t xml:space="preserve">Monitor logistics to avoid further delays.</w:t>
      </w:r>
    </w:p>
    <w:sectPr>
      <w:pgSz w:w="11907" w:h="16839"/>
      <w:pgMar w:top="1440" w:right="1440" w:bottom="1440" w:left="1440" w:header="720" w:footer="720" w:gutter="0"/>
      <w:pgBorder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0"/>
    <w:name w:val="Numbered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nsid w:val="00000002"/>
    <w:multiLevelType w:val="multilevel"/>
    <w:tmpl w:val="00000000"/>
    <w:name w:val="Bulleted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00000003"/>
    <w:multiLevelType w:val="multilevel"/>
    <w:tmpl w:val="00000000"/>
    <w:name w:val="Bulleted_2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00000004"/>
    <w:multiLevelType w:val="multilevel"/>
    <w:tmpl w:val="00000000"/>
    <w:name w:val="Bulleted_3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00000005"/>
    <w:multiLevelType w:val="multilevel"/>
    <w:tmpl w:val="00000000"/>
    <w:name w:val="Bulleted_4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00000006"/>
    <w:multiLevelType w:val="multilevel"/>
    <w:tmpl w:val="00000000"/>
    <w:name w:val="Bulleted_5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00000007"/>
    <w:multiLevelType w:val="multilevel"/>
    <w:tmpl w:val="00000000"/>
    <w:name w:val="Bulleted_6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00000008"/>
    <w:multiLevelType w:val="multilevel"/>
    <w:tmpl w:val="00000000"/>
    <w:name w:val="Bulleted_7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00000009"/>
    <w:multiLevelType w:val="multilevel"/>
    <w:tmpl w:val="00000000"/>
    <w:name w:val="Bulleted_8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0000000A"/>
    <w:multiLevelType w:val="multilevel"/>
    <w:tmpl w:val="00000000"/>
    <w:name w:val="Bulleted_9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0000000B"/>
    <w:multiLevelType w:val="multilevel"/>
    <w:tmpl w:val="00000000"/>
    <w:name w:val="Bulleted_10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0000000C"/>
    <w:multiLevelType w:val="multilevel"/>
    <w:tmpl w:val="00000000"/>
    <w:name w:val="Bulleted_11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0000000D"/>
    <w:multiLevelType w:val="multilevel"/>
    <w:tmpl w:val="00000000"/>
    <w:name w:val="Bulleted_12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0000000E"/>
    <w:multiLevelType w:val="multilevel"/>
    <w:tmpl w:val="00000000"/>
    <w:name w:val="Bulleted_13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0000000F"/>
    <w:multiLevelType w:val="multilevel"/>
    <w:tmpl w:val="00000000"/>
    <w:name w:val="Bulleted_14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00000010"/>
    <w:multiLevelType w:val="multilevel"/>
    <w:tmpl w:val="00000000"/>
    <w:name w:val="Numbered_15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6">
    <w:nsid w:val="00000011"/>
    <w:multiLevelType w:val="multilevel"/>
    <w:tmpl w:val="00000000"/>
    <w:name w:val="Bulleted_16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00000012"/>
    <w:multiLevelType w:val="multilevel"/>
    <w:tmpl w:val="00000000"/>
    <w:name w:val="Bulleted_17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>
    <w:nsid w:val="00000013"/>
    <w:multiLevelType w:val="multilevel"/>
    <w:tmpl w:val="00000000"/>
    <w:name w:val="Bulleted_18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>
    <w:nsid w:val="00000014"/>
    <w:multiLevelType w:val="multilevel"/>
    <w:tmpl w:val="00000000"/>
    <w:name w:val="Bulleted_19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>
    <w:nsid w:val="00000015"/>
    <w:multiLevelType w:val="multilevel"/>
    <w:tmpl w:val="00000000"/>
    <w:name w:val="Bulleted_20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>
    <w:nsid w:val="00000016"/>
    <w:multiLevelType w:val="multilevel"/>
    <w:tmpl w:val="00000000"/>
    <w:name w:val="Bulleted_21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tabs>
          <w:tab w:val="left" w:pos="20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>
    <w:nsid w:val="00000017"/>
    <w:multiLevelType w:val="multilevel"/>
    <w:tmpl w:val="00000000"/>
    <w:name w:val="Bulleted_22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>
    <w:nsid w:val="00000018"/>
    <w:multiLevelType w:val="multilevel"/>
    <w:tmpl w:val="00000000"/>
    <w:name w:val="Bulleted_23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>
    <w:nsid w:val="00000019"/>
    <w:multiLevelType w:val="multilevel"/>
    <w:tmpl w:val="00000000"/>
    <w:name w:val="Bulleted_24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tabs>
          <w:tab w:val="left" w:pos="20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>
    <w:nsid w:val="0000001A"/>
    <w:multiLevelType w:val="multilevel"/>
    <w:tmpl w:val="00000000"/>
    <w:name w:val="Bulleted_25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>
    <w:nsid w:val="0000001B"/>
    <w:multiLevelType w:val="multilevel"/>
    <w:tmpl w:val="00000000"/>
    <w:name w:val="Bulleted_26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tabs>
          <w:tab w:val="left" w:pos="20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>
    <w:nsid w:val="0000001C"/>
    <w:multiLevelType w:val="multilevel"/>
    <w:tmpl w:val="00000000"/>
    <w:name w:val="Bulleted_27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>
    <w:nsid w:val="0000001D"/>
    <w:multiLevelType w:val="multilevel"/>
    <w:tmpl w:val="00000000"/>
    <w:name w:val="Bulleted_28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" w:uri="http://schemas.microsoft.com/office/word" w:val="1"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uk-UA" w:bidi="ar-SA"/>
    </w:rPr>
  </w:style>
  <w:style w:type="paragraph" w:styleId="Heading1">
    <w:name w:val="Heading 1"/>
    <w:basedOn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styles" Target="styles.xml" /><Relationship Id="rId4" Type="http://schemas.openxmlformats.org/officeDocument/2006/relationships/numbering" Target="numbering.xml" /><Relationship Id="rId5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2025-05-01T01:45:58Z</dcterms:created>
  <dcterms:modified xsi:type="dcterms:W3CDTF">2025-05-01T01:45:58Z</dcterms:modified>
</cp:coreProperties>
</file>