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가온랩  |  내부 운영 자료</w:t>
      </w:r>
    </w:p>
    <w:p>
      <w:pPr>
        <w:pStyle w:val="Title"/>
      </w:pPr>
      <w:r>
        <w:t>자기계발비 신청 검토 절차</w:t>
      </w:r>
    </w:p>
    <w:p>
      <w:pPr>
        <w:spacing w:after="240"/>
      </w:pPr>
      <w:r>
        <w:t>운영자가 접수 뒤 확인할 항목을 기록한다. 이 문서는 해당 제도 또는 행사의 운영 기준을 확인하는 자료다.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문서번호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GL-LEARNING-REVIEW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작성일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2026-09-30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버전 및 상태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1.1 · 확정</w:t>
            </w:r>
          </w:p>
        </w:tc>
      </w:tr>
    </w:tbl>
    <w:p>
      <w:pPr>
        <w:pStyle w:val="Heading1"/>
      </w:pPr>
      <w:r>
        <w:t>직원이 제출할 내용</w:t>
      </w:r>
    </w:p>
    <w:p>
      <w:r>
        <w:t>신청 링크: https://intra.gaonlab.example/welfare/learning/2026-q4/apply</w:t>
      </w:r>
    </w:p>
    <w:p>
      <w:r>
        <w:t>신청 화면에 교육 과정 또는 도서명, 예상 비용, 직무 관련성을 입력한다. 필요한 경우 교육 소개 자료를 첨부한다.</w:t>
      </w:r>
    </w:p>
    <w:p>
      <w:pPr>
        <w:pStyle w:val="Heading1"/>
      </w:pPr>
      <w:r>
        <w:t>검토 절차</w:t>
      </w:r>
    </w:p>
    <w:p>
      <w:r>
        <w:t>피플운영팀은 신청 요건과 예산을 확인한 뒤 결과를 별도로 안내한다. 신청만으로 지원이 확정되지 않는다.</w:t>
      </w:r>
    </w:p>
    <w:p>
      <w:r>
        <w:t>승인된 건은 결제 증빙을 제출한 뒤 정산한다. 운영자의 내부 검토 항목과 예산 잔액은 전사 공지에 포함하지 않는다.</w:t>
      </w:r>
    </w:p>
    <w:sectPr w:rsidR="00FC693F" w:rsidRPr="0006063C" w:rsidSect="00034616">
      <w:footerReference w:type="default" r:id="rId9"/>
      <w:pgSz w:w="12240" w:h="15840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sz w:val="16"/>
      </w:rPr>
      <w:t>가온랩 피플운영·컬처팀  |  테스트용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