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Dashboard 1 — Executive Portfolio Decision View</w:t>
      </w:r>
    </w:p>
    <w:p>
      <w:pPr>
        <w:jc w:val="center"/>
      </w:pPr>
      <w:r>
        <w:rPr>
          <w:i/>
          <w:sz w:val="21"/>
        </w:rPr>
        <w:t>PPM Decision Intelligence | Dashboard Specification &amp; QA Record</w:t>
      </w:r>
    </w:p>
    <w:p>
      <w:r>
        <w:rPr>
          <w:b/>
        </w:rPr>
        <w:t xml:space="preserve">Purpose. </w:t>
      </w:r>
      <w:r>
        <w:t>Provide executives with a portfolio-level view of financial exposure, delivery performance, resource-capacity pressure, and projects requiring prioritized intervention.</w:t>
      </w:r>
    </w:p>
    <w:p>
      <w:pPr>
        <w:jc w:val="center"/>
      </w:pPr>
      <w:r>
        <w:rPr>
          <w:sz w:val="16"/>
        </w:rPr>
        <w:drawing>
          <wp:inline xmlns:a="http://schemas.openxmlformats.org/drawingml/2006/main" xmlns:pic="http://schemas.openxmlformats.org/drawingml/2006/picture">
            <wp:extent cx="7086600" cy="4050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01_executive_portfol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05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Certified December 2026 executive dashboard.</w:t>
      </w:r>
    </w:p>
    <w:p>
      <w:pPr>
        <w:pStyle w:val="Heading1"/>
      </w:pPr>
      <w:r>
        <w:t>1. Dashboard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Component</w:t>
            </w:r>
          </w:p>
        </w:tc>
        <w:tc>
          <w:tcPr>
            <w:tcW w:type="dxa" w:w="5184"/>
          </w:tcPr>
          <w:p>
            <w:r>
              <w:t>Business purpose</w:t>
            </w:r>
          </w:p>
        </w:tc>
      </w:tr>
      <w:tr>
        <w:tc>
          <w:tcPr>
            <w:tcW w:type="dxa" w:w="5184"/>
          </w:tcPr>
          <w:p>
            <w:r>
              <w:t>Portfolio Budget</w:t>
            </w:r>
          </w:p>
        </w:tc>
        <w:tc>
          <w:tcPr>
            <w:tcW w:type="dxa" w:w="5184"/>
          </w:tcPr>
          <w:p>
            <w:r>
              <w:t>Quantify total approved investment exposure.</w:t>
            </w:r>
          </w:p>
        </w:tc>
      </w:tr>
      <w:tr>
        <w:tc>
          <w:tcPr>
            <w:tcW w:type="dxa" w:w="5184"/>
          </w:tcPr>
          <w:p>
            <w:r>
              <w:t>Forecast Cost</w:t>
            </w:r>
          </w:p>
        </w:tc>
        <w:tc>
          <w:tcPr>
            <w:tcW w:type="dxa" w:w="5184"/>
          </w:tcPr>
          <w:p>
            <w:r>
              <w:t>Show expected portfolio financial outcome.</w:t>
            </w:r>
          </w:p>
        </w:tc>
      </w:tr>
      <w:tr>
        <w:tc>
          <w:tcPr>
            <w:tcW w:type="dxa" w:w="5184"/>
          </w:tcPr>
          <w:p>
            <w:r>
              <w:t>CPI</w:t>
            </w:r>
          </w:p>
        </w:tc>
        <w:tc>
          <w:tcPr>
            <w:tcW w:type="dxa" w:w="5184"/>
          </w:tcPr>
          <w:p>
            <w:r>
              <w:t>Assess portfolio cost efficiency.</w:t>
            </w:r>
          </w:p>
        </w:tc>
      </w:tr>
      <w:tr>
        <w:tc>
          <w:tcPr>
            <w:tcW w:type="dxa" w:w="5184"/>
          </w:tcPr>
          <w:p>
            <w:r>
              <w:t>SPI</w:t>
            </w:r>
          </w:p>
        </w:tc>
        <w:tc>
          <w:tcPr>
            <w:tcW w:type="dxa" w:w="5184"/>
          </w:tcPr>
          <w:p>
            <w:r>
              <w:t>Assess portfolio schedule efficiency.</w:t>
            </w:r>
          </w:p>
        </w:tc>
      </w:tr>
      <w:tr>
        <w:tc>
          <w:tcPr>
            <w:tcW w:type="dxa" w:w="5184"/>
          </w:tcPr>
          <w:p>
            <w:r>
              <w:t>Projects at Risk</w:t>
            </w:r>
          </w:p>
        </w:tc>
        <w:tc>
          <w:tcPr>
            <w:tcW w:type="dxa" w:w="5184"/>
          </w:tcPr>
          <w:p>
            <w:r>
              <w:t>Quantify the At Risk/Critical project population.</w:t>
            </w:r>
          </w:p>
        </w:tc>
      </w:tr>
      <w:tr>
        <w:tc>
          <w:tcPr>
            <w:tcW w:type="dxa" w:w="5184"/>
          </w:tcPr>
          <w:p>
            <w:r>
              <w:t>Portfolio Budget Concentration</w:t>
            </w:r>
          </w:p>
        </w:tc>
        <w:tc>
          <w:tcPr>
            <w:tcW w:type="dxa" w:w="5184"/>
          </w:tcPr>
          <w:p>
            <w:r>
              <w:t>Identify the largest financial exposures.</w:t>
            </w:r>
          </w:p>
        </w:tc>
      </w:tr>
      <w:tr>
        <w:tc>
          <w:tcPr>
            <w:tcW w:type="dxa" w:w="5184"/>
          </w:tcPr>
          <w:p>
            <w:r>
              <w:t>Delivery Risk Concentration</w:t>
            </w:r>
          </w:p>
        </w:tc>
        <w:tc>
          <w:tcPr>
            <w:tcW w:type="dxa" w:w="5184"/>
          </w:tcPr>
          <w:p>
            <w:r>
              <w:t>Identify projects with the greatest forecast schedule delay.</w:t>
            </w:r>
          </w:p>
        </w:tc>
      </w:tr>
      <w:tr>
        <w:tc>
          <w:tcPr>
            <w:tcW w:type="dxa" w:w="5184"/>
          </w:tcPr>
          <w:p>
            <w:r>
              <w:t>Role Capacity Pressure</w:t>
            </w:r>
          </w:p>
        </w:tc>
        <w:tc>
          <w:tcPr>
            <w:tcW w:type="dxa" w:w="5184"/>
          </w:tcPr>
          <w:p>
            <w:r>
              <w:t>Identify constrained delivery capabilities.</w:t>
            </w:r>
          </w:p>
        </w:tc>
      </w:tr>
      <w:tr>
        <w:tc>
          <w:tcPr>
            <w:tcW w:type="dxa" w:w="5184"/>
          </w:tcPr>
          <w:p>
            <w:r>
              <w:t>High-Value Projects at Risk</w:t>
            </w:r>
          </w:p>
        </w:tc>
        <w:tc>
          <w:tcPr>
            <w:tcW w:type="dxa" w:w="5184"/>
          </w:tcPr>
          <w:p>
            <w:r>
              <w:t>Prioritize strategically important projects with schedule underperformance and material financial exposure.</w:t>
            </w:r>
          </w:p>
        </w:tc>
      </w:tr>
    </w:tbl>
    <w:p>
      <w:pPr>
        <w:pStyle w:val="Heading1"/>
      </w:pPr>
      <w:r>
        <w:t>2. Analytical Data Sources &amp; Grain</w:t>
      </w:r>
    </w:p>
    <w:p>
      <w:r>
        <w:rPr>
          <w:b/>
        </w:rPr>
        <w:t xml:space="preserve">Project Performance — </w:t>
      </w:r>
      <w:r>
        <w:t>one row per Project × Reporting Month. Drives KPI 01–05 and VIZ 01, VIZ 02, and VIZ 04.</w:t>
      </w:r>
    </w:p>
    <w:p>
      <w:r>
        <w:rPr>
          <w:b/>
        </w:rPr>
        <w:t xml:space="preserve">Resource Capacity — </w:t>
      </w:r>
      <w:r>
        <w:t>one row per Resource Role × Reporting Month. Drives VIZ 03.</w:t>
      </w:r>
    </w:p>
    <w:p>
      <w:r>
        <w:rPr>
          <w:b/>
        </w:rPr>
        <w:t xml:space="preserve">Modeling decision. </w:t>
      </w:r>
      <w:r>
        <w:t>The sources are not physically joined. Their grains are different, and a direct join without a valid project-role allocation key could create many-to-many duplication. A common reporting-period field synchronizes the dashboard while preserving each dataset's analytical grain.</w:t>
      </w:r>
    </w:p>
    <w:p>
      <w:pPr>
        <w:pStyle w:val="Heading1"/>
      </w:pPr>
      <w:r>
        <w:t>3. Tableau Business Logic</w:t>
      </w:r>
    </w:p>
    <w:p>
      <w:r>
        <w:rPr>
          <w:b/>
        </w:rPr>
        <w:t>Projects at Risk</w:t>
      </w:r>
      <w:r>
        <w:t xml:space="preserve"> — Counts distinct projects whose overall health is At Risk or Critical.</w:t>
      </w:r>
    </w:p>
    <w:p>
      <w:pPr/>
      <w:r>
        <w:rPr>
          <w:rFonts w:ascii="Consolas" w:hAnsi="Consolas"/>
          <w:sz w:val="17"/>
        </w:rPr>
        <w:t>COUNTD(</w:t>
        <w:br/>
        <w:t xml:space="preserve">    IF [Health Status] = "At Risk"</w:t>
        <w:br/>
        <w:t xml:space="preserve">    OR [Health Status] = "Critical"</w:t>
        <w:br/>
        <w:t xml:space="preserve">    THEN [Project Id]</w:t>
        <w:br/>
        <w:t xml:space="preserve">    END</w:t>
        <w:br/>
        <w:t>)</w:t>
      </w:r>
    </w:p>
    <w:p>
      <w:r>
        <w:rPr>
          <w:b/>
        </w:rPr>
        <w:t>Executive Zone Label</w:t>
      </w:r>
      <w:r>
        <w:t xml:space="preserve"> — Labels projects in the defined executive-attention zone.</w:t>
      </w:r>
    </w:p>
    <w:p>
      <w:pPr/>
      <w:r>
        <w:rPr>
          <w:rFonts w:ascii="Consolas" w:hAnsi="Consolas"/>
          <w:sz w:val="17"/>
        </w:rPr>
        <w:t>IF [Strategic Importance Score] &gt;= 80</w:t>
        <w:br/>
        <w:t>AND [Spi] &lt; 0.90</w:t>
        <w:br/>
        <w:t>THEN [Project Name]</w:t>
        <w:br/>
        <w:t>END</w:t>
      </w:r>
    </w:p>
    <w:p>
      <w:r>
        <w:rPr>
          <w:b/>
        </w:rPr>
        <w:t>Forecast Overrun</w:t>
      </w:r>
      <w:r>
        <w:t xml:space="preserve"> — Optional supporting calculation for forecast-versus-approved-budget analysis.</w:t>
      </w:r>
    </w:p>
    <w:p>
      <w:pPr/>
      <w:r>
        <w:rPr>
          <w:rFonts w:ascii="Consolas" w:hAnsi="Consolas"/>
          <w:sz w:val="17"/>
        </w:rPr>
        <w:t>SUM([Forecast Cost]) - SUM([Approved Budget])</w:t>
      </w:r>
    </w:p>
    <w:p>
      <w:pPr>
        <w:pStyle w:val="Heading1"/>
      </w:pPr>
      <w:r>
        <w:t>4. Reporting-Period Filter Architecture</w:t>
      </w:r>
    </w:p>
    <w:p>
      <w:pPr/>
      <w:r>
        <w:t>Visible control: Reporting Period (Single Value Dropdown).</w:t>
      </w:r>
    </w:p>
    <w:p>
      <w:pPr/>
      <w:r>
        <w:t>Primary field: Period Start Date.</w:t>
      </w:r>
    </w:p>
    <w:p>
      <w:pPr/>
      <w:r>
        <w:t>Scope: all worksheets using related data sources.</w:t>
      </w:r>
    </w:p>
    <w:p>
      <w:pPr/>
      <w:r>
        <w:t>One visible control synchronizes Project Performance and Resource Capacity without physically joining the two datasets.</w:t>
      </w:r>
    </w:p>
    <w:p>
      <w:pPr/>
      <w:r>
        <w:t>QA defect caught during testing: VIZ 03 initially retained an obsolete December-only local filter. When cross-data-source filtering was enabled, the two filters conflicted and blanked the resource-capacity view for other months. Removing the redundant local filter restored synchronized behavior.</w:t>
      </w:r>
    </w:p>
    <w:p>
      <w:pPr>
        <w:pStyle w:val="Heading1"/>
      </w:pPr>
      <w:r>
        <w:t>5. December 2026 Regression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Control</w:t>
            </w:r>
          </w:p>
        </w:tc>
        <w:tc>
          <w:tcPr>
            <w:tcW w:type="dxa" w:w="5184"/>
          </w:tcPr>
          <w:p>
            <w:r>
              <w:t>Certified value</w:t>
            </w:r>
          </w:p>
        </w:tc>
      </w:tr>
      <w:tr>
        <w:tc>
          <w:tcPr>
            <w:tcW w:type="dxa" w:w="5184"/>
          </w:tcPr>
          <w:p>
            <w:r>
              <w:t>Portfolio Budget</w:t>
            </w:r>
          </w:p>
        </w:tc>
        <w:tc>
          <w:tcPr>
            <w:tcW w:type="dxa" w:w="5184"/>
          </w:tcPr>
          <w:p>
            <w:r>
              <w:t>$817.1M</w:t>
            </w:r>
          </w:p>
        </w:tc>
      </w:tr>
      <w:tr>
        <w:tc>
          <w:tcPr>
            <w:tcW w:type="dxa" w:w="5184"/>
          </w:tcPr>
          <w:p>
            <w:r>
              <w:t>Forecast Cost</w:t>
            </w:r>
          </w:p>
        </w:tc>
        <w:tc>
          <w:tcPr>
            <w:tcW w:type="dxa" w:w="5184"/>
          </w:tcPr>
          <w:p>
            <w:r>
              <w:t>$858.2M</w:t>
            </w:r>
          </w:p>
        </w:tc>
      </w:tr>
      <w:tr>
        <w:tc>
          <w:tcPr>
            <w:tcW w:type="dxa" w:w="5184"/>
          </w:tcPr>
          <w:p>
            <w:r>
              <w:t>Average CPI</w:t>
            </w:r>
          </w:p>
        </w:tc>
        <w:tc>
          <w:tcPr>
            <w:tcW w:type="dxa" w:w="5184"/>
          </w:tcPr>
          <w:p>
            <w:r>
              <w:t>0.97</w:t>
            </w:r>
          </w:p>
        </w:tc>
      </w:tr>
      <w:tr>
        <w:tc>
          <w:tcPr>
            <w:tcW w:type="dxa" w:w="5184"/>
          </w:tcPr>
          <w:p>
            <w:r>
              <w:t>Average SPI</w:t>
            </w:r>
          </w:p>
        </w:tc>
        <w:tc>
          <w:tcPr>
            <w:tcW w:type="dxa" w:w="5184"/>
          </w:tcPr>
          <w:p>
            <w:r>
              <w:t>0.95</w:t>
            </w:r>
          </w:p>
        </w:tc>
      </w:tr>
      <w:tr>
        <w:tc>
          <w:tcPr>
            <w:tcW w:type="dxa" w:w="5184"/>
          </w:tcPr>
          <w:p>
            <w:r>
              <w:t>Projects At Risk</w:t>
            </w:r>
          </w:p>
        </w:tc>
        <w:tc>
          <w:tcPr>
            <w:tcW w:type="dxa" w:w="5184"/>
          </w:tcPr>
          <w:p>
            <w:r>
              <w:t>16 (10.7% of portfolio)</w:t>
            </w:r>
          </w:p>
        </w:tc>
      </w:tr>
      <w:tr>
        <w:tc>
          <w:tcPr>
            <w:tcW w:type="dxa" w:w="5184"/>
          </w:tcPr>
          <w:p>
            <w:r>
              <w:t>Largest Budget Exposure</w:t>
            </w:r>
          </w:p>
        </w:tc>
        <w:tc>
          <w:tcPr>
            <w:tcW w:type="dxa" w:w="5184"/>
          </w:tcPr>
          <w:p>
            <w:r>
              <w:t>Fusion Process Automation — ~$39.7M</w:t>
            </w:r>
          </w:p>
        </w:tc>
      </w:tr>
      <w:tr>
        <w:tc>
          <w:tcPr>
            <w:tcW w:type="dxa" w:w="5184"/>
          </w:tcPr>
          <w:p>
            <w:r>
              <w:t>Largest Schedule Delay</w:t>
            </w:r>
          </w:p>
        </w:tc>
        <w:tc>
          <w:tcPr>
            <w:tcW w:type="dxa" w:w="5184"/>
          </w:tcPr>
          <w:p>
            <w:r>
              <w:t>Wave Process Automation — 129 days</w:t>
            </w:r>
          </w:p>
        </w:tc>
      </w:tr>
      <w:tr>
        <w:tc>
          <w:tcPr>
            <w:tcW w:type="dxa" w:w="5184"/>
          </w:tcPr>
          <w:p>
            <w:r>
              <w:t>Highest Role Utilization</w:t>
            </w:r>
          </w:p>
        </w:tc>
        <w:tc>
          <w:tcPr>
            <w:tcW w:type="dxa" w:w="5184"/>
          </w:tcPr>
          <w:p>
            <w:r>
              <w:t>Data Engineer — 118.7%</w:t>
            </w:r>
          </w:p>
        </w:tc>
      </w:tr>
      <w:tr>
        <w:tc>
          <w:tcPr>
            <w:tcW w:type="dxa" w:w="5184"/>
          </w:tcPr>
          <w:p>
            <w:r>
              <w:t>Executive Attention Zone</w:t>
            </w:r>
          </w:p>
        </w:tc>
        <w:tc>
          <w:tcPr>
            <w:tcW w:type="dxa" w:w="5184"/>
          </w:tcPr>
          <w:p>
            <w:r>
              <w:t>Rise Digital Commerce</w:t>
            </w:r>
          </w:p>
        </w:tc>
      </w:tr>
    </w:tbl>
    <w:p>
      <w:pPr>
        <w:pStyle w:val="Heading1"/>
      </w:pPr>
      <w:r>
        <w:t>6. QA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Test</w:t>
            </w:r>
          </w:p>
        </w:tc>
        <w:tc>
          <w:tcPr>
            <w:tcW w:type="dxa" w:w="3456"/>
          </w:tcPr>
          <w:p>
            <w:r>
              <w:t>Validation</w:t>
            </w:r>
          </w:p>
        </w:tc>
        <w:tc>
          <w:tcPr>
            <w:tcW w:type="dxa" w:w="3456"/>
          </w:tcPr>
          <w:p>
            <w:r>
              <w:t>Result</w:t>
            </w:r>
          </w:p>
        </w:tc>
      </w:tr>
      <w:tr>
        <w:tc>
          <w:tcPr>
            <w:tcW w:type="dxa" w:w="3456"/>
          </w:tcPr>
          <w:p>
            <w:r>
              <w:t>QA-01</w:t>
            </w:r>
          </w:p>
        </w:tc>
        <w:tc>
          <w:tcPr>
            <w:tcW w:type="dxa" w:w="3456"/>
          </w:tcPr>
          <w:p>
            <w:r>
              <w:t>Reporting-period synchronization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QA-02</w:t>
            </w:r>
          </w:p>
        </w:tc>
        <w:tc>
          <w:tcPr>
            <w:tcW w:type="dxa" w:w="3456"/>
          </w:tcPr>
          <w:p>
            <w:r>
              <w:t>KPI reconciliation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QA-03</w:t>
            </w:r>
          </w:p>
        </w:tc>
        <w:tc>
          <w:tcPr>
            <w:tcW w:type="dxa" w:w="3456"/>
          </w:tcPr>
          <w:p>
            <w:r>
              <w:t>Budget ranking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QA-04</w:t>
            </w:r>
          </w:p>
        </w:tc>
        <w:tc>
          <w:tcPr>
            <w:tcW w:type="dxa" w:w="3456"/>
          </w:tcPr>
          <w:p>
            <w:r>
              <w:t>Delivery-risk ranking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QA-05</w:t>
            </w:r>
          </w:p>
        </w:tc>
        <w:tc>
          <w:tcPr>
            <w:tcW w:type="dxa" w:w="3456"/>
          </w:tcPr>
          <w:p>
            <w:r>
              <w:t>Capacity integrity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QA-06</w:t>
            </w:r>
          </w:p>
        </w:tc>
        <w:tc>
          <w:tcPr>
            <w:tcW w:type="dxa" w:w="3456"/>
          </w:tcPr>
          <w:p>
            <w:r>
              <w:t>Executive-priority logic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QA-07</w:t>
            </w:r>
          </w:p>
        </w:tc>
        <w:tc>
          <w:tcPr>
            <w:tcW w:type="dxa" w:w="3456"/>
          </w:tcPr>
          <w:p>
            <w:r>
              <w:t>Interaction / edge-case stress test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</w:tbl>
    <w:p>
      <w:r>
        <w:rPr>
          <w:b/>
        </w:rPr>
        <w:t>Certification result: 7/7 tests passed.</w:t>
      </w:r>
    </w:p>
    <w:p>
      <w:pPr>
        <w:pStyle w:val="Heading1"/>
      </w:pPr>
      <w:r>
        <w:t>7. Executive Findings</w:t>
      </w:r>
    </w:p>
    <w:p>
      <w:pPr>
        <w:pStyle w:val="ListBullet"/>
      </w:pPr>
      <w:r>
        <w:t>Financial: forecast cost exceeds approved portfolio budget.</w:t>
      </w:r>
    </w:p>
    <w:p>
      <w:pPr>
        <w:pStyle w:val="ListBullet"/>
      </w:pPr>
      <w:r>
        <w:t>Delivery: schedule performance is weaker than cost performance in the December 2026 snapshot.</w:t>
      </w:r>
    </w:p>
    <w:p>
      <w:pPr>
        <w:pStyle w:val="ListBullet"/>
      </w:pPr>
      <w:r>
        <w:t>Risk: 16 of 150 projects are At Risk/Critical.</w:t>
      </w:r>
    </w:p>
    <w:p>
      <w:pPr>
        <w:pStyle w:val="ListBullet"/>
      </w:pPr>
      <w:r>
        <w:t>Capacity: multiple specialized delivery roles operate above available capacity.</w:t>
      </w:r>
    </w:p>
    <w:p>
      <w:pPr>
        <w:pStyle w:val="ListBullet"/>
      </w:pPr>
      <w:r>
        <w:t>Prioritization: Rise Digital Commerce occupies the defined high-strategic-value / low-SPI intervention zone and carries meaningful financial exposure.</w:t>
      </w:r>
    </w:p>
    <w:p>
      <w:pPr>
        <w:pStyle w:val="ListBullet"/>
      </w:pPr>
      <w:r>
        <w:t>Interpretive boundary: portfolio-level capacity pressure coincides with concentrated delivery risk, but the current data grain does not establish project-level resource causality.</w:t>
      </w:r>
    </w:p>
    <w:p>
      <w:pPr>
        <w:pStyle w:val="Heading1"/>
      </w:pPr>
      <w:r>
        <w:t>8. Design Decisions</w:t>
      </w:r>
    </w:p>
    <w:p>
      <w:pPr>
        <w:pStyle w:val="ListBullet"/>
      </w:pPr>
      <w:r>
        <w:t>Fixed 1200 × 800 dashboard designed for practical laptop viewing.</w:t>
      </w:r>
    </w:p>
    <w:p>
      <w:pPr>
        <w:pStyle w:val="ListBullet"/>
      </w:pPr>
      <w:r>
        <w:t>Five-card KPI strip plus four analytical views; no additional insight panel was added because available real estate was intentionally protected for readability.</w:t>
      </w:r>
    </w:p>
    <w:p>
      <w:pPr>
        <w:pStyle w:val="ListBullet"/>
      </w:pPr>
      <w:r>
        <w:t>Color is semantic rather than decorative: neutral information, attention, and intervention states are visually distinguished.</w:t>
      </w:r>
    </w:p>
    <w:p>
      <w:pPr>
        <w:pStyle w:val="ListBullet"/>
      </w:pPr>
      <w:r>
        <w:t>Dashboard 1 is frozen after QA certification; future changes should be regression-tested against the December 2026 controls above.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