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6698C"/>
          <w:sz w:val="18"/>
        </w:rPr>
        <w:t>PPM DECISION INTELLIGENCE</w:t>
      </w:r>
    </w:p>
    <w:p>
      <w:pPr>
        <w:pStyle w:val="Title"/>
        <w:jc w:val="center"/>
      </w:pPr>
      <w:r>
        <w:t>Dashboard 2 — Portfolio Risk &amp; Intervention</w:t>
      </w:r>
    </w:p>
    <w:p>
      <w:pPr>
        <w:jc w:val="center"/>
      </w:pPr>
      <w:r>
        <w:rPr>
          <w:b/>
          <w:sz w:val="24"/>
        </w:rPr>
        <w:t>Specification &amp; QA Record</w:t>
      </w:r>
    </w:p>
    <w:p>
      <w:pPr>
        <w:jc w:val="center"/>
      </w:pPr>
      <w:r>
        <w:rPr>
          <w:i/>
          <w:sz w:val="19"/>
        </w:rPr>
        <w:t>Decision Intelligence | Risk Severity, Concentration, Drivers &amp; Intervention Priorities</w:t>
      </w:r>
    </w:p>
    <w:p>
      <w:r>
        <w:drawing>
          <wp:inline xmlns:a="http://schemas.openxmlformats.org/drawingml/2006/main" xmlns:pic="http://schemas.openxmlformats.org/drawingml/2006/picture">
            <wp:extent cx="7269480" cy="39938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02_portfolio_risk_interven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3993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Certified reference state: Reporting Period = December 2026.</w:t>
      </w:r>
    </w:p>
    <w:p>
      <w:pPr>
        <w:pStyle w:val="Heading1"/>
      </w:pPr>
      <w:r>
        <w:t>1. Purpose and Executive Decision</w:t>
      </w:r>
    </w:p>
    <w:p>
      <w:r>
        <w:t>Dashboard 2 converts portfolio risk records into an executive intervention view. It answers: What unresolved risks exist, how severe are they, where are they concentrated, what types of risk are driving exposure, and which individual risks merit intervention?</w:t>
      </w:r>
    </w:p>
    <w:p>
      <w:r>
        <w:t>Narrative flow: Scale → Severity → Concentration → Drivers → Intervention. The dashboard is intentionally complementary to Dashboard 1: Dashboard 1 identifies where leadership should pay attention; Dashboard 2 explains the risk exposure behind that attention.</w:t>
      </w:r>
    </w:p>
    <w:p>
      <w:pPr>
        <w:pStyle w:val="Heading1"/>
      </w:pPr>
      <w:r>
        <w:t>2. Data Scope and Grain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5184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51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Primary source</w:t>
            </w:r>
          </w:p>
        </w:tc>
        <w:tc>
          <w:tcPr>
            <w:tcW w:type="dxa" w:w="51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tableau_risk_analysis.csv</w:t>
            </w:r>
          </w:p>
        </w:tc>
      </w:tr>
      <w:tr>
        <w:tc>
          <w:tcPr>
            <w:tcW w:type="dxa" w:w="51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Source grain</w:t>
            </w:r>
          </w:p>
        </w:tc>
        <w:tc>
          <w:tcPr>
            <w:tcW w:type="dxa" w:w="51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One row per individual risk item</w:t>
            </w:r>
          </w:p>
        </w:tc>
      </w:tr>
      <w:tr>
        <w:tc>
          <w:tcPr>
            <w:tcW w:type="dxa" w:w="51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Reporting coverage</w:t>
            </w:r>
          </w:p>
        </w:tc>
        <w:tc>
          <w:tcPr>
            <w:tcW w:type="dxa" w:w="51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January 2025 through December 2026</w:t>
            </w:r>
          </w:p>
        </w:tc>
      </w:tr>
      <w:tr>
        <w:tc>
          <w:tcPr>
            <w:tcW w:type="dxa" w:w="51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December 2026 source population</w:t>
            </w:r>
          </w:p>
        </w:tc>
        <w:tc>
          <w:tcPr>
            <w:tcW w:type="dxa" w:w="51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44 risk items across 37 represented projects</w:t>
            </w:r>
          </w:p>
        </w:tc>
      </w:tr>
      <w:tr>
        <w:tc>
          <w:tcPr>
            <w:tcW w:type="dxa" w:w="51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Unresolved definition</w:t>
            </w:r>
          </w:p>
        </w:tc>
        <w:tc>
          <w:tcPr>
            <w:tcW w:type="dxa" w:w="51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Risk Status = Open or Mitigating; Closed is excluded</w:t>
            </w:r>
          </w:p>
        </w:tc>
      </w:tr>
      <w:tr>
        <w:tc>
          <w:tcPr>
            <w:tcW w:type="dxa" w:w="51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Unresolved December population</w:t>
            </w:r>
          </w:p>
        </w:tc>
        <w:tc>
          <w:tcPr>
            <w:tcW w:type="dxa" w:w="51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32 risk items across 27 exposed projects</w:t>
            </w:r>
          </w:p>
        </w:tc>
      </w:tr>
    </w:tbl>
    <w:p>
      <w:pPr>
        <w:pStyle w:val="SmallNote"/>
      </w:pPr>
      <w:r>
        <w:t>Core scoring model: Probability Score × Impact Score = Risk Score. Probability and Impact use a 1–5 scoring system. Risk Score is semi-quantitative and is not a monetary exposure measure.</w:t>
      </w:r>
    </w:p>
    <w:p>
      <w:pPr>
        <w:pStyle w:val="Heading1"/>
      </w:pPr>
      <w:r>
        <w:t>3. Certified KPI Strip — December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KPI</w:t>
            </w:r>
          </w:p>
        </w:tc>
        <w:tc>
          <w:tcPr>
            <w:tcW w:type="dxa" w:w="3456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Certified Value</w:t>
            </w:r>
          </w:p>
        </w:tc>
        <w:tc>
          <w:tcPr>
            <w:tcW w:type="dxa" w:w="3456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Business Meaning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Open Risks</w:t>
            </w:r>
          </w:p>
        </w:tc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Distinct unresolved risk items (Open + Mitigating).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 / Critical Risks</w:t>
            </w:r>
          </w:p>
        </w:tc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Distinct unresolved risks with High or Critical severity.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Projects Exposed</w:t>
            </w:r>
          </w:p>
        </w:tc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27</w:t>
            </w:r>
          </w:p>
        </w:tc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Distinct projects with at least one unresolved risk.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Severe Risk Share</w:t>
            </w:r>
          </w:p>
        </w:tc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50.0%</w:t>
            </w:r>
          </w:p>
        </w:tc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High/Critical unresolved risks as a share of all unresolved risks.</w:t>
            </w:r>
          </w:p>
        </w:tc>
      </w:tr>
    </w:tbl>
    <w:p>
      <w:pPr>
        <w:pStyle w:val="Heading1"/>
      </w:pPr>
      <w:r>
        <w:t>4. Tableau KPI Logic</w:t>
      </w:r>
    </w:p>
    <w:p>
      <w:r>
        <w:rPr>
          <w:b/>
        </w:rPr>
        <w:t xml:space="preserve">KPI 06 — Open Risks: </w:t>
      </w:r>
      <w:r>
        <w:rPr>
          <w:rFonts w:ascii="Consolas" w:hAnsi="Consolas"/>
          <w:sz w:val="16"/>
        </w:rPr>
        <w:t>COUNTD(IF [Risk Status] &lt;&gt; "Closed" THEN [Risk Id] END)</w:t>
      </w:r>
    </w:p>
    <w:p>
      <w:r>
        <w:rPr>
          <w:b/>
        </w:rPr>
        <w:t xml:space="preserve">KPI 07 — High / Critical Risks: </w:t>
      </w:r>
      <w:r>
        <w:rPr>
          <w:rFonts w:ascii="Consolas" w:hAnsi="Consolas"/>
          <w:sz w:val="16"/>
        </w:rPr>
        <w:t>COUNTD(IF [Risk Status] &lt;&gt; "Closed" AND ([Risk Severity] = "High" OR [Risk Severity] = "Critical") THEN [Risk Id] END)</w:t>
      </w:r>
    </w:p>
    <w:p>
      <w:r>
        <w:rPr>
          <w:b/>
        </w:rPr>
        <w:t xml:space="preserve">KPI 08 — Projects Exposed: </w:t>
      </w:r>
      <w:r>
        <w:rPr>
          <w:rFonts w:ascii="Consolas" w:hAnsi="Consolas"/>
          <w:sz w:val="16"/>
        </w:rPr>
        <w:t>COUNTD(IF [Risk Status] &lt;&gt; "Closed" THEN [Project Id] END)</w:t>
      </w:r>
    </w:p>
    <w:p>
      <w:r>
        <w:rPr>
          <w:b/>
        </w:rPr>
        <w:t xml:space="preserve">KPI 09 — Severe Risk Share: </w:t>
      </w:r>
      <w:r>
        <w:rPr>
          <w:rFonts w:ascii="Consolas" w:hAnsi="Consolas"/>
          <w:sz w:val="16"/>
        </w:rPr>
        <w:t>COUNTD(IF [Risk Status] &lt;&gt; "Closed" AND ([Risk Severity] = "High" OR [Risk Severity] = "Critical") THEN [Risk Id] END) / COUNTD(IF [Risk Status] &lt;&gt; "Closed" THEN [Risk Id] END)</w:t>
      </w:r>
    </w:p>
    <w:p>
      <w:pPr>
        <w:pStyle w:val="Heading1"/>
      </w:pPr>
      <w:r>
        <w:t>5. Visualization Specifications</w:t>
      </w:r>
    </w:p>
    <w:p>
      <w:pPr>
        <w:pStyle w:val="Heading2"/>
      </w:pPr>
      <w:r>
        <w:t>VIZ 05 — Distribution of Unresolved Risks by Severity</w:t>
      </w:r>
    </w:p>
    <w:p>
      <w:r>
        <w:t>Purpose: establish the severity profile of unresolved exposure. Horizontal bars use semantic severity colors and display both count and share. December 2026 controls: Critical 8 (25.0%), High 8 (25.0%), Moderate 13 (40.6%), Low 3 (9.4%). Counts reconcile to 32; Critical + High reconcile to 16 and 50.0%.</w:t>
      </w:r>
    </w:p>
    <w:p>
      <w:r>
        <w:rPr>
          <w:b/>
        </w:rPr>
        <w:t xml:space="preserve">Share calculation: </w:t>
      </w:r>
      <w:r>
        <w:rPr>
          <w:rFonts w:ascii="Consolas" w:hAnsi="Consolas"/>
          <w:sz w:val="16"/>
        </w:rPr>
        <w:t>COUNTD([Risk Id]) / TOTAL(COUNTD([Risk Id]))</w:t>
      </w:r>
    </w:p>
    <w:p>
      <w:pPr>
        <w:pStyle w:val="Heading2"/>
      </w:pPr>
      <w:r>
        <w:t>VIZ 06 — Top 10 Projects by Cumulative Unresolved Risk Score</w:t>
      </w:r>
    </w:p>
    <w:p>
      <w:r>
        <w:t>Purpose: prioritize projects carrying the greatest cumulative unresolved risk burden. Bar length represents Open Risk Burden; color represents Max Open Risk Score. December 2026 leader: Rise Digital Commerce = 61, with 3 unresolved risks and a maximum individual Risk Score of 25.</w:t>
      </w:r>
    </w:p>
    <w:p>
      <w:r>
        <w:rPr>
          <w:b/>
        </w:rPr>
        <w:t xml:space="preserve">Open Risk Burden: </w:t>
      </w:r>
      <w:r>
        <w:rPr>
          <w:rFonts w:ascii="Consolas" w:hAnsi="Consolas"/>
          <w:sz w:val="16"/>
        </w:rPr>
        <w:t>SUM(IF [Risk Status] &lt;&gt; "Closed" THEN [Risk Score] END)</w:t>
      </w:r>
    </w:p>
    <w:p>
      <w:pPr>
        <w:pStyle w:val="SmallNote"/>
      </w:pPr>
      <w:r>
        <w:t>Interpretive boundary: Open Risk Burden is a prioritization index created by summing semi-quantitative Risk Scores. It must not be described as monetary risk exposure.</w:t>
      </w:r>
    </w:p>
    <w:p>
      <w:r>
        <w:t>Top-N implementation: Risk Status and Risk Analysis Period Start Date are context filters. Project Name is then filtered to Top 10 by SUM(Risk Score). Raw Risk Status/Severity must not be placed on Marks in a way that changes the view grain; the certified view is one bar per project.</w:t>
      </w:r>
    </w:p>
    <w:p>
      <w:pPr>
        <w:pStyle w:val="Heading2"/>
      </w:pPr>
      <w:r>
        <w:t>VIZ 07 — Distribution of Unresolved Risks by Risk Type</w:t>
      </w:r>
    </w:p>
    <w:p>
      <w:r>
        <w:t>Purpose: reveal the principal drivers of unresolved risk. December 2026: Resource 9 (28.1%), Schedule 6 (18.8%), Financial 6 (18.8%), Vendor 3 (9.4%), Technical 3 (9.4%), Compliance 3 (9.4%), Scope 1 (3.1%), Change Management 1 (3.1%). Counts reconcile to 32.</w:t>
      </w:r>
    </w:p>
    <w:p>
      <w:pPr>
        <w:pStyle w:val="Heading2"/>
      </w:pPr>
      <w:r>
        <w:t>VIZ 08 — Priority Risk Intervention Matrix</w:t>
      </w:r>
    </w:p>
    <w:p>
      <w:r>
        <w:t>Purpose: locate individual unresolved risks by Probability × Impact while preserving executive context. Risk Id is on Detail, producing one underlying mark per unresolved risk. Risk Severity controls color; Strategic Alignment Score controls bubble size. Risks with Risk Score ≥ 20 receive a visible Risk Id label.</w:t>
      </w:r>
    </w:p>
    <w:p>
      <w:r>
        <w:t>Stack Marks is OFF. Turning stacking on numerically displaced marks and distorted the Impact axis. Exact Probability/Impact coordinates take precedence over visually separating overlapping risks. Overlaps remain discoverable through hover.</w:t>
      </w:r>
    </w:p>
    <w:p>
      <w:r>
        <w:t>Axis treatment: the underlying scoring model remains 1–5. The displayed range includes boundary padding (the certified screenshot shows space through 6) so bubbles centered at score 5 are not clipped. This padding is a rendering choice, not an additional score value.</w:t>
      </w:r>
    </w:p>
    <w:p>
      <w:pPr>
        <w:pStyle w:val="Heading1"/>
      </w:pPr>
      <w:r>
        <w:t>6. Reporting-Period and Filter Architecture</w:t>
      </w:r>
    </w:p>
    <w:p>
      <w:r>
        <w:t>Dashboard 2 is governed exclusively by Risk Analysis. A single Reporting Period control, built from Risk Analysis → Period Start Date, applies to all Dashboard 2 worksheets using that data source. The certified architecture does not use Project Performance as a date source and does not rely on ‘All Using Related Data Sources’ for Dashboard 2.</w:t>
      </w:r>
    </w:p>
    <w:p>
      <w:pPr>
        <w:pStyle w:val="Heading1"/>
      </w:pPr>
      <w:r>
        <w:t>7. Defect Record — Cross-Data-Source Filter Contamination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Stage</w:t>
            </w:r>
          </w:p>
        </w:tc>
        <w:tc>
          <w:tcPr>
            <w:tcW w:type="dxa" w:w="5184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Record</w:t>
            </w:r>
          </w:p>
        </w:tc>
      </w:tr>
      <w:tr>
        <w:tc>
          <w:tcPr>
            <w:tcW w:type="dxa" w:w="51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Observed defect</w:t>
            </w:r>
          </w:p>
        </w:tc>
        <w:tc>
          <w:tcPr>
            <w:tcW w:type="dxa" w:w="51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After period switching and return to Dec 2026: 32 | 328 | 146 | 55.8% instead of 32 | 16 | 27 | 50.0%.</w:t>
            </w:r>
          </w:p>
        </w:tc>
      </w:tr>
      <w:tr>
        <w:tc>
          <w:tcPr>
            <w:tcW w:type="dxa" w:w="51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Root cause</w:t>
            </w:r>
          </w:p>
        </w:tc>
        <w:tc>
          <w:tcPr>
            <w:tcW w:type="dxa" w:w="51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Project Performance Period Start Date filter had contaminated Risk Analysis worksheets.</w:t>
            </w:r>
          </w:p>
        </w:tc>
      </w:tr>
      <w:tr>
        <w:tc>
          <w:tcPr>
            <w:tcW w:type="dxa" w:w="51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Diagnostic evidence</w:t>
            </w:r>
          </w:p>
        </w:tc>
        <w:tc>
          <w:tcPr>
            <w:tcW w:type="dxa" w:w="51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Tableau warned that Project Performance fields could not be used because there was no relationship to the primary data source.</w:t>
            </w:r>
          </w:p>
        </w:tc>
      </w:tr>
      <w:tr>
        <w:tc>
          <w:tcPr>
            <w:tcW w:type="dxa" w:w="51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Repair</w:t>
            </w:r>
          </w:p>
        </w:tc>
        <w:tc>
          <w:tcPr>
            <w:tcW w:type="dxa" w:w="51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Removed foreign date filters; added Risk Analysis Period Start Date to every Dashboard 2 worksheet; rebuilt the dashboard control from Risk Analysis.</w:t>
            </w:r>
          </w:p>
        </w:tc>
      </w:tr>
      <w:tr>
        <w:tc>
          <w:tcPr>
            <w:tcW w:type="dxa" w:w="51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Regression control</w:t>
            </w:r>
          </w:p>
        </w:tc>
        <w:tc>
          <w:tcPr>
            <w:tcW w:type="dxa" w:w="51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Switch across multiple periods and return to Dec 2026; certified values must restore exactly.</w:t>
            </w:r>
          </w:p>
        </w:tc>
      </w:tr>
      <w:tr>
        <w:tc>
          <w:tcPr>
            <w:tcW w:type="dxa" w:w="51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Lesson</w:t>
            </w:r>
          </w:p>
        </w:tc>
        <w:tc>
          <w:tcPr>
            <w:tcW w:type="dxa" w:w="51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visually similar date field is not sufficient. Data-source lineage must be verified explicitly in multi-source Tableau workbooks.</w:t>
            </w:r>
          </w:p>
        </w:tc>
      </w:tr>
    </w:tbl>
    <w:p>
      <w:pPr>
        <w:pStyle w:val="Heading1"/>
      </w:pPr>
      <w:r>
        <w:t>8. QA Certification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Test</w:t>
            </w:r>
          </w:p>
        </w:tc>
        <w:tc>
          <w:tcPr>
            <w:tcW w:type="dxa" w:w="3456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Result</w:t>
            </w:r>
          </w:p>
        </w:tc>
        <w:tc>
          <w:tcPr>
            <w:tcW w:type="dxa" w:w="3456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Acceptance Evidence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11.1 KPI Regression</w:t>
            </w:r>
          </w:p>
        </w:tc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Dec 2026 = 32 | 16 | 27 | 50.0%.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11.2 Severity Reconciliation</w:t>
            </w:r>
          </w:p>
        </w:tc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8 + 8 + 13 + 3 = 32; severe = 16 = 50.0%.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11.3 Category Reconciliation</w:t>
            </w:r>
          </w:p>
        </w:tc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Category counts total 32; Resource = 9 / 32 = 28.1%.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11.4 Top-N Integrity</w:t>
            </w:r>
          </w:p>
        </w:tc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10 project bars; Rise Digital Commerce = 61; one mark per project.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11.5 Intervention Matrix</w:t>
            </w:r>
          </w:p>
        </w:tc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32 underlying unresolved-risk marks; 1–5 score geometry preserved; Stack Marks Off.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11.6 Period Stress Test</w:t>
            </w:r>
          </w:p>
        </w:tc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KPIs and VIZ 05–08 respond correctly across multiple reporting periods.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11.7 Return-to-December</w:t>
            </w:r>
          </w:p>
        </w:tc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Certified December state restores exactly after period switching.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11.8 Interaction Test</w:t>
            </w:r>
          </w:p>
        </w:tc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Selections/hover do not introduce unintended population changes.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11.9 Presentation Test</w:t>
            </w:r>
          </w:p>
        </w:tc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34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Full dashboard remains usable on 1200×800 laptop-first canvas without scrolling.</w:t>
            </w:r>
          </w:p>
        </w:tc>
      </w:tr>
    </w:tbl>
    <w:p>
      <w:pPr>
        <w:pStyle w:val="Heading1"/>
      </w:pPr>
      <w:r>
        <w:t>9. Design Decisions</w:t>
      </w:r>
    </w:p>
    <w:p>
      <w:r>
        <w:t>The dashboard uses a fixed 1200 × 800 laptop-first canvas. Generic ‘VIZ’ headers were removed to reclaim vertical space; descriptive chart titles carry the semantic burden instead. No narrative insight box or additional KPIs/charts were added. The severity legend is kept compact within the matrix area.</w:t>
      </w:r>
    </w:p>
    <w:p>
      <w:r>
        <w:t>The layout deliberately supports a left-to-right executive scan: severity profile and risk drivers explain the portfolio population, project burden identifies concentration, and the intervention matrix brings the reader down to individual risks requiring attention.</w:t>
      </w:r>
    </w:p>
    <w:p>
      <w:pPr>
        <w:pStyle w:val="Heading1"/>
      </w:pPr>
      <w:r>
        <w:t>10. Executive Findings — Certified December 2026 View</w:t>
      </w:r>
    </w:p>
    <w:p>
      <w:pPr>
        <w:pStyle w:val="ListBullet"/>
      </w:pPr>
      <w:r>
        <w:t>Half of unresolved portfolio risks are High or Critical (16 of 32).</w:t>
      </w:r>
    </w:p>
    <w:p>
      <w:pPr>
        <w:pStyle w:val="ListBullet"/>
      </w:pPr>
      <w:r>
        <w:t>Resource risk is the largest unresolved category, representing 9 of 32 risks (28.1%).</w:t>
      </w:r>
    </w:p>
    <w:p>
      <w:pPr>
        <w:pStyle w:val="ListBullet"/>
      </w:pPr>
      <w:r>
        <w:t>Rise Digital Commerce carries the highest cumulative unresolved Risk Score at 61 and includes an individual risk scored at 25.</w:t>
      </w:r>
    </w:p>
    <w:p>
      <w:pPr>
        <w:pStyle w:val="ListBullet"/>
      </w:pPr>
      <w:r>
        <w:t>Twenty-seven projects are exposed to at least one unresolved risk, showing that risk is distributed broadly even though burden is concentrated in a smaller set of projects.</w:t>
      </w:r>
    </w:p>
    <w:p>
      <w:pPr>
        <w:pStyle w:val="Heading1"/>
      </w:pPr>
      <w:r>
        <w:t>11. Interpretation and Governance Boundary</w:t>
      </w:r>
    </w:p>
    <w:p>
      <w:r>
        <w:t>The dashboard supports prioritization and intervention; it does not prove causality. For example, resource capacity pressure elsewhere in the portfolio may corroborate Resource-category risks, but the dashboard does not establish that capacity pressure caused a specific risk. Professional judgment and underlying risk records remain necessary before management action.</w:t>
      </w:r>
    </w:p>
    <w:p>
      <w:pPr>
        <w:pStyle w:val="Heading1"/>
      </w:pPr>
      <w:r>
        <w:t>12. Certification Status</w:t>
      </w:r>
    </w:p>
    <w:p>
      <w:r>
        <w:rPr>
          <w:b/>
          <w:color w:val="1E6E46"/>
          <w:sz w:val="22"/>
        </w:rPr>
        <w:t>STATUS: CERTIFIED AND FROZEN — 9/9 QA TESTS PASSED</w:t>
      </w:r>
    </w:p>
    <w:p>
      <w:r>
        <w:t>Canonical screenshot: dashboard_02_portfolio_risk_intervention.png</w:t>
        <w:br/>
        <w:t>Recommended repository locations:</w:t>
        <w:br/>
        <w:t>• assets/dashboards/dashboard_02_portfolio_risk_intervention.png</w:t>
        <w:br/>
        <w:t>• docs/dashboard-specs/dashboard_02_portfolio_risk_intervention_spec.docx</w:t>
      </w:r>
    </w:p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PPM Decision Intelligence | Dashboard 2 Specification &amp; QA Record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