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sz w:val="20"/>
        </w:rPr>
        <w:t>PPM DECISION INTELLIGENCE</w:t>
      </w:r>
    </w:p>
    <w:p>
      <w:pPr>
        <w:pStyle w:val="Title"/>
        <w:jc w:val="center"/>
      </w:pPr>
      <w:r>
        <w:t>Dashboard 4 — Project Performance &amp; Forecast Control</w:t>
      </w:r>
    </w:p>
    <w:p>
      <w:pPr>
        <w:jc w:val="center"/>
      </w:pPr>
      <w:r>
        <w:rPr>
          <w:b/>
          <w:sz w:val="26"/>
        </w:rPr>
        <w:t>Specification &amp; QA Record</w:t>
      </w:r>
    </w:p>
    <w:p>
      <w:pPr>
        <w:jc w:val="center"/>
      </w:pPr>
      <w:r>
        <w:t>Decision Intelligence | Financial Variance, Delivery Slippage &amp; Corrective Action</w:t>
      </w:r>
    </w:p>
    <w:p>
      <w:pPr>
        <w:pStyle w:val="SmallNote"/>
        <w:jc w:val="center"/>
      </w:pPr>
      <w:r>
        <w:t>Certified reference state: Reporting Period = December 2026.</w:t>
      </w:r>
    </w:p>
    <w:p>
      <w:pPr>
        <w:pStyle w:val="Heading1"/>
      </w:pPr>
      <w:r>
        <w:t>1. Purpose and Executive Decision</w:t>
      </w:r>
    </w:p>
    <w:p>
      <w:r>
        <w:t>Dashboard 4 identifies projects moving away from their current financial and delivery commitments and focuses leadership attention on corrective action. It complements the executive portfolio view by moving from broad attention signals to the specific financial and schedule drift that requires control.</w:t>
      </w:r>
    </w:p>
    <w:p>
      <w:r>
        <w:t>Central decision question: Which projects are moving away from their financial and delivery commitments, and where is corrective action required?</w:t>
      </w:r>
    </w:p>
    <w:p>
      <w:r>
        <w:t>Narrative flow: Forecast position → Financial drivers → Delivery drivers → Combined drift.</w:t>
      </w:r>
    </w:p>
    <w:p>
      <w:pPr>
        <w:pStyle w:val="Heading1"/>
      </w:pPr>
      <w:r>
        <w:t>2. Data Scope and Grain</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D9EAF7"/>
          </w:tcPr>
          <w:p>
            <w:r/>
            <w:r>
              <w:rPr>
                <w:rFonts w:ascii="Aptos" w:hAnsi="Aptos"/>
                <w:b/>
                <w:sz w:val="17"/>
              </w:rPr>
              <w:t>Item</w:t>
            </w:r>
          </w:p>
        </w:tc>
        <w:tc>
          <w:tcPr>
            <w:tcW w:type="dxa" w:w="8352"/>
            <w:vAlign w:val="center"/>
            <w:shd w:fill="D9EAF7"/>
          </w:tcPr>
          <w:p>
            <w:r/>
            <w:r>
              <w:rPr>
                <w:rFonts w:ascii="Aptos" w:hAnsi="Aptos"/>
                <w:b/>
                <w:sz w:val="17"/>
              </w:rPr>
              <w:t>Certified definition</w:t>
            </w:r>
          </w:p>
        </w:tc>
      </w:tr>
      <w:tr>
        <w:tc>
          <w:tcPr>
            <w:tcW w:type="dxa" w:w="2880"/>
            <w:vAlign w:val="center"/>
          </w:tcPr>
          <w:p>
            <w:r/>
            <w:r>
              <w:rPr>
                <w:rFonts w:ascii="Aptos" w:hAnsi="Aptos"/>
                <w:b w:val="0"/>
                <w:sz w:val="17"/>
              </w:rPr>
              <w:t>Primary Tableau source</w:t>
            </w:r>
          </w:p>
        </w:tc>
        <w:tc>
          <w:tcPr>
            <w:tcW w:type="dxa" w:w="8352"/>
            <w:vAlign w:val="center"/>
          </w:tcPr>
          <w:p>
            <w:r/>
            <w:r>
              <w:rPr>
                <w:rFonts w:ascii="Aptos" w:hAnsi="Aptos"/>
                <w:b w:val="0"/>
                <w:sz w:val="17"/>
              </w:rPr>
              <w:t>tableau_project_performance.csv</w:t>
            </w:r>
          </w:p>
        </w:tc>
      </w:tr>
      <w:tr>
        <w:tc>
          <w:tcPr>
            <w:tcW w:type="dxa" w:w="2880"/>
            <w:vAlign w:val="center"/>
          </w:tcPr>
          <w:p>
            <w:r/>
            <w:r>
              <w:rPr>
                <w:rFonts w:ascii="Aptos" w:hAnsi="Aptos"/>
                <w:b w:val="0"/>
                <w:sz w:val="17"/>
              </w:rPr>
              <w:t>Source grain</w:t>
            </w:r>
          </w:p>
        </w:tc>
        <w:tc>
          <w:tcPr>
            <w:tcW w:type="dxa" w:w="8352"/>
            <w:vAlign w:val="center"/>
          </w:tcPr>
          <w:p>
            <w:r/>
            <w:r>
              <w:rPr>
                <w:rFonts w:ascii="Aptos" w:hAnsi="Aptos"/>
                <w:b w:val="0"/>
                <w:sz w:val="17"/>
              </w:rPr>
              <w:t>One row per Project × Reporting Month</w:t>
            </w:r>
          </w:p>
        </w:tc>
      </w:tr>
      <w:tr>
        <w:tc>
          <w:tcPr>
            <w:tcW w:type="dxa" w:w="2880"/>
            <w:vAlign w:val="center"/>
          </w:tcPr>
          <w:p>
            <w:r/>
            <w:r>
              <w:rPr>
                <w:rFonts w:ascii="Aptos" w:hAnsi="Aptos"/>
                <w:b w:val="0"/>
                <w:sz w:val="17"/>
              </w:rPr>
              <w:t>Coverage</w:t>
            </w:r>
          </w:p>
        </w:tc>
        <w:tc>
          <w:tcPr>
            <w:tcW w:type="dxa" w:w="8352"/>
            <w:vAlign w:val="center"/>
          </w:tcPr>
          <w:p>
            <w:r/>
            <w:r>
              <w:rPr>
                <w:rFonts w:ascii="Aptos" w:hAnsi="Aptos"/>
                <w:b w:val="0"/>
                <w:sz w:val="17"/>
              </w:rPr>
              <w:t>150 projects across 24 monthly periods, January 2025–December 2026</w:t>
            </w:r>
          </w:p>
        </w:tc>
      </w:tr>
      <w:tr>
        <w:tc>
          <w:tcPr>
            <w:tcW w:type="dxa" w:w="2880"/>
            <w:vAlign w:val="center"/>
          </w:tcPr>
          <w:p>
            <w:r/>
            <w:r>
              <w:rPr>
                <w:rFonts w:ascii="Aptos" w:hAnsi="Aptos"/>
                <w:b w:val="0"/>
                <w:sz w:val="17"/>
              </w:rPr>
              <w:t>Operational budget baseline</w:t>
            </w:r>
          </w:p>
        </w:tc>
        <w:tc>
          <w:tcPr>
            <w:tcW w:type="dxa" w:w="8352"/>
            <w:vAlign w:val="center"/>
          </w:tcPr>
          <w:p>
            <w:r/>
            <w:r>
              <w:rPr>
                <w:rFonts w:ascii="Aptos" w:hAnsi="Aptos"/>
                <w:b w:val="0"/>
                <w:sz w:val="17"/>
              </w:rPr>
              <w:t>Current Budget</w:t>
            </w:r>
          </w:p>
        </w:tc>
      </w:tr>
      <w:tr>
        <w:tc>
          <w:tcPr>
            <w:tcW w:type="dxa" w:w="2880"/>
            <w:vAlign w:val="center"/>
          </w:tcPr>
          <w:p>
            <w:r/>
            <w:r>
              <w:rPr>
                <w:rFonts w:ascii="Aptos" w:hAnsi="Aptos"/>
                <w:b w:val="0"/>
                <w:sz w:val="17"/>
              </w:rPr>
              <w:t>Strategic/original budget baseline</w:t>
            </w:r>
          </w:p>
        </w:tc>
        <w:tc>
          <w:tcPr>
            <w:tcW w:type="dxa" w:w="8352"/>
            <w:vAlign w:val="center"/>
          </w:tcPr>
          <w:p>
            <w:r/>
            <w:r>
              <w:rPr>
                <w:rFonts w:ascii="Aptos" w:hAnsi="Aptos"/>
                <w:b w:val="0"/>
                <w:sz w:val="17"/>
              </w:rPr>
              <w:t>Approved Budget (retained for the executive portfolio view, not used as Dashboard 4's operational variance baseline)</w:t>
            </w:r>
          </w:p>
        </w:tc>
      </w:tr>
    </w:tbl>
    <w:p/>
    <w:p>
      <w:r>
        <w:t>Dashboard 4 deliberately uses Current Budget as the operational control baseline. Forecast Overrun is therefore defined as Forecast Cost minus Current Budget; positive values indicate an adverse forecast position.</w:t>
      </w:r>
    </w:p>
    <w:p>
      <w:pPr>
        <w:pStyle w:val="Heading1"/>
      </w:pPr>
      <w:r>
        <w:t>3. Certified KPI Strip — December 2026</w:t>
      </w:r>
    </w:p>
    <w:tbl>
      <w:tblPr>
        <w:tblStyle w:val="TableGrid"/>
        <w:tblW w:type="auto" w:w="0"/>
        <w:jc w:val="center"/>
        <w:tblLook w:firstColumn="1" w:firstRow="1" w:lastColumn="0" w:lastRow="0" w:noHBand="0" w:noVBand="1" w:val="04A0"/>
      </w:tblPr>
      <w:tblGrid>
        <w:gridCol w:w="3408"/>
        <w:gridCol w:w="3408"/>
        <w:gridCol w:w="3408"/>
      </w:tblGrid>
      <w:tr>
        <w:tc>
          <w:tcPr>
            <w:tcW w:type="dxa" w:w="3168"/>
            <w:vAlign w:val="center"/>
            <w:shd w:fill="D9EAF7"/>
          </w:tcPr>
          <w:p>
            <w:r/>
            <w:r>
              <w:rPr>
                <w:rFonts w:ascii="Aptos" w:hAnsi="Aptos"/>
                <w:b/>
                <w:sz w:val="17"/>
              </w:rPr>
              <w:t>KPI</w:t>
            </w:r>
          </w:p>
        </w:tc>
        <w:tc>
          <w:tcPr>
            <w:tcW w:type="dxa" w:w="2448"/>
            <w:vAlign w:val="center"/>
            <w:shd w:fill="D9EAF7"/>
          </w:tcPr>
          <w:p>
            <w:r/>
            <w:r>
              <w:rPr>
                <w:rFonts w:ascii="Aptos" w:hAnsi="Aptos"/>
                <w:b/>
                <w:sz w:val="17"/>
              </w:rPr>
              <w:t>Certified value</w:t>
            </w:r>
          </w:p>
        </w:tc>
        <w:tc>
          <w:tcPr>
            <w:tcW w:type="dxa" w:w="5616"/>
            <w:vAlign w:val="center"/>
            <w:shd w:fill="D9EAF7"/>
          </w:tcPr>
          <w:p>
            <w:r/>
            <w:r>
              <w:rPr>
                <w:rFonts w:ascii="Aptos" w:hAnsi="Aptos"/>
                <w:b/>
                <w:sz w:val="17"/>
              </w:rPr>
              <w:t>Decision meaning</w:t>
            </w:r>
          </w:p>
        </w:tc>
      </w:tr>
      <w:tr>
        <w:tc>
          <w:tcPr>
            <w:tcW w:type="dxa" w:w="3168"/>
            <w:vAlign w:val="center"/>
          </w:tcPr>
          <w:p>
            <w:r/>
            <w:r>
              <w:rPr>
                <w:rFonts w:ascii="Aptos" w:hAnsi="Aptos"/>
                <w:b w:val="0"/>
                <w:sz w:val="17"/>
              </w:rPr>
              <w:t>KPI 14 — Forecast Cost</w:t>
            </w:r>
          </w:p>
        </w:tc>
        <w:tc>
          <w:tcPr>
            <w:tcW w:type="dxa" w:w="2448"/>
            <w:vAlign w:val="center"/>
          </w:tcPr>
          <w:p>
            <w:r/>
            <w:r>
              <w:rPr>
                <w:rFonts w:ascii="Aptos" w:hAnsi="Aptos"/>
                <w:b w:val="0"/>
                <w:sz w:val="17"/>
              </w:rPr>
              <w:t>$858.2M</w:t>
            </w:r>
          </w:p>
        </w:tc>
        <w:tc>
          <w:tcPr>
            <w:tcW w:type="dxa" w:w="5616"/>
            <w:vAlign w:val="center"/>
          </w:tcPr>
          <w:p>
            <w:r/>
            <w:r>
              <w:rPr>
                <w:rFonts w:ascii="Aptos" w:hAnsi="Aptos"/>
                <w:b w:val="0"/>
                <w:sz w:val="17"/>
              </w:rPr>
              <w:t>Current forecast cost for the selected reporting period.</w:t>
            </w:r>
          </w:p>
        </w:tc>
      </w:tr>
      <w:tr>
        <w:tc>
          <w:tcPr>
            <w:tcW w:type="dxa" w:w="3168"/>
            <w:vAlign w:val="center"/>
          </w:tcPr>
          <w:p>
            <w:r/>
            <w:r>
              <w:rPr>
                <w:rFonts w:ascii="Aptos" w:hAnsi="Aptos"/>
                <w:b w:val="0"/>
                <w:sz w:val="17"/>
              </w:rPr>
              <w:t>KPI 15 — Forecast Overrun</w:t>
            </w:r>
          </w:p>
        </w:tc>
        <w:tc>
          <w:tcPr>
            <w:tcW w:type="dxa" w:w="2448"/>
            <w:vAlign w:val="center"/>
          </w:tcPr>
          <w:p>
            <w:r/>
            <w:r>
              <w:rPr>
                <w:rFonts w:ascii="Aptos" w:hAnsi="Aptos"/>
                <w:b w:val="0"/>
                <w:sz w:val="17"/>
              </w:rPr>
              <w:t>$33.1M</w:t>
            </w:r>
          </w:p>
        </w:tc>
        <w:tc>
          <w:tcPr>
            <w:tcW w:type="dxa" w:w="5616"/>
            <w:vAlign w:val="center"/>
          </w:tcPr>
          <w:p>
            <w:r/>
            <w:r>
              <w:rPr>
                <w:rFonts w:ascii="Aptos" w:hAnsi="Aptos"/>
                <w:b w:val="0"/>
                <w:sz w:val="17"/>
              </w:rPr>
              <w:t>Portfolio forecast cost above current budget.</w:t>
            </w:r>
          </w:p>
        </w:tc>
      </w:tr>
      <w:tr>
        <w:tc>
          <w:tcPr>
            <w:tcW w:type="dxa" w:w="3168"/>
            <w:vAlign w:val="center"/>
          </w:tcPr>
          <w:p>
            <w:r/>
            <w:r>
              <w:rPr>
                <w:rFonts w:ascii="Aptos" w:hAnsi="Aptos"/>
                <w:b w:val="0"/>
                <w:sz w:val="17"/>
              </w:rPr>
              <w:t>KPI 16 — Projects Forecast Over Budget</w:t>
            </w:r>
          </w:p>
        </w:tc>
        <w:tc>
          <w:tcPr>
            <w:tcW w:type="dxa" w:w="2448"/>
            <w:vAlign w:val="center"/>
          </w:tcPr>
          <w:p>
            <w:r/>
            <w:r>
              <w:rPr>
                <w:rFonts w:ascii="Aptos" w:hAnsi="Aptos"/>
                <w:b w:val="0"/>
                <w:sz w:val="17"/>
              </w:rPr>
              <w:t>100 / 150 | 66.7%</w:t>
            </w:r>
          </w:p>
        </w:tc>
        <w:tc>
          <w:tcPr>
            <w:tcW w:type="dxa" w:w="5616"/>
            <w:vAlign w:val="center"/>
          </w:tcPr>
          <w:p>
            <w:r/>
            <w:r>
              <w:rPr>
                <w:rFonts w:ascii="Aptos" w:hAnsi="Aptos"/>
                <w:b w:val="0"/>
                <w:sz w:val="17"/>
              </w:rPr>
              <w:t>Breadth of financial forecast pressure.</w:t>
            </w:r>
          </w:p>
        </w:tc>
      </w:tr>
      <w:tr>
        <w:tc>
          <w:tcPr>
            <w:tcW w:type="dxa" w:w="3168"/>
            <w:vAlign w:val="center"/>
          </w:tcPr>
          <w:p>
            <w:r/>
            <w:r>
              <w:rPr>
                <w:rFonts w:ascii="Aptos" w:hAnsi="Aptos"/>
                <w:b w:val="0"/>
                <w:sz w:val="17"/>
              </w:rPr>
              <w:t>KPI 17 — Projects Delayed</w:t>
            </w:r>
          </w:p>
        </w:tc>
        <w:tc>
          <w:tcPr>
            <w:tcW w:type="dxa" w:w="2448"/>
            <w:vAlign w:val="center"/>
          </w:tcPr>
          <w:p>
            <w:r/>
            <w:r>
              <w:rPr>
                <w:rFonts w:ascii="Aptos" w:hAnsi="Aptos"/>
                <w:b w:val="0"/>
                <w:sz w:val="17"/>
              </w:rPr>
              <w:t>94 / 150 | 62.7%</w:t>
            </w:r>
          </w:p>
        </w:tc>
        <w:tc>
          <w:tcPr>
            <w:tcW w:type="dxa" w:w="5616"/>
            <w:vAlign w:val="center"/>
          </w:tcPr>
          <w:p>
            <w:r/>
            <w:r>
              <w:rPr>
                <w:rFonts w:ascii="Aptos" w:hAnsi="Aptos"/>
                <w:b w:val="0"/>
                <w:sz w:val="17"/>
              </w:rPr>
              <w:t>Breadth of schedule delay across the portfolio.</w:t>
            </w:r>
          </w:p>
        </w:tc>
      </w:tr>
    </w:tbl>
    <w:p/>
    <w:p>
      <w:r>
        <w:t>December reconciliation: $858.2M Forecast Cost − $825.1M Current Budget = $33.1M Forecast Overrun.</w:t>
      </w:r>
    </w:p>
    <w:p>
      <w:pPr>
        <w:pStyle w:val="Heading1"/>
      </w:pPr>
      <w:r>
        <w:t>4. Tableau KPI Logic</w:t>
      </w:r>
    </w:p>
    <w:p>
      <w:r>
        <w:t>KPI 14 — Forecast Cost: SUM([Forecast Cost])</w:t>
      </w:r>
    </w:p>
    <w:p>
      <w:r>
        <w:t>KPI 15 — Forecast Overrun: SUM([Forecast Cost]) - SUM([Current Budget])</w:t>
      </w:r>
    </w:p>
    <w:p>
      <w:r>
        <w:t>KPI 16 — Projects Forecast Over Budget Flag: IF [Forecast Cost] &gt; [Current Budget] THEN 1 ELSE 0 END</w:t>
      </w:r>
    </w:p>
    <w:p>
      <w:r>
        <w:t>KPI 16 numerator: COUNTD(IF [Projects Forecast Over Budget Flag] = 1 THEN [Project Id] END)</w:t>
      </w:r>
    </w:p>
    <w:p>
      <w:r>
        <w:t>KPI 17 — Projects Delayed Flag: IF [Schedule Delay Days] &gt; 0 THEN 1 ELSE 0 END</w:t>
      </w:r>
    </w:p>
    <w:p>
      <w:r>
        <w:t>KPI 17 numerator: COUNTD(IF [Projects Delayed Flag] = 1 THEN [Project Id] END)</w:t>
      </w:r>
    </w:p>
    <w:p>
      <w:r>
        <w:t>Total projects denominator: COUNTD([Project Id])</w:t>
      </w:r>
    </w:p>
    <w:p>
      <w:pPr>
        <w:pStyle w:val="SmallNote"/>
      </w:pPr>
      <w:r>
        <w:t>Projects Delayed is intentionally based on Schedule Delay Days &gt; 0. It must not be confused with the separate Overdue Milestones measure, which identifies a different delivery condition.</w:t>
      </w:r>
    </w:p>
    <w:p>
      <w:pPr>
        <w:pStyle w:val="Heading1"/>
      </w:pPr>
      <w:r>
        <w:t>5. Visualization Specifications</w:t>
      </w:r>
    </w:p>
    <w:p>
      <w:pPr>
        <w:pStyle w:val="Heading2"/>
      </w:pPr>
      <w:r>
        <w:t>VIZ 13 — Projects Driving Forecast Overrun</w:t>
      </w:r>
    </w:p>
    <w:p>
      <w:r>
        <w:t>Purpose: identify the projects contributing the largest positive forecast overrun against Current Budget. The view is ranked descending and limited to the Top 10 within the selected reporting period. December 2026 leader: Fusion Process Automation, approximately $2.8M over current budget.</w:t>
      </w:r>
    </w:p>
    <w:p>
      <w:r>
        <w:t>Positive Forecast Overrun: IF SUM([Forecast Cost]) &gt; SUM([Current Budget]) THEN SUM([Forecast Cost]) - SUM([Current Budget]) END</w:t>
      </w:r>
    </w:p>
    <w:p>
      <w:pPr>
        <w:pStyle w:val="Heading2"/>
      </w:pPr>
      <w:r>
        <w:t>VIZ 14 — Projects with Greatest Schedule Delay</w:t>
      </w:r>
    </w:p>
    <w:p>
      <w:r>
        <w:t>Purpose: identify the projects with the largest positive schedule delay. The view is ranked descending and limited to the Top 10 within the selected reporting period. December 2026 leader: Wave Process Automation, 129 days.</w:t>
      </w:r>
    </w:p>
    <w:p>
      <w:r>
        <w:t>Positive Schedule Delay: IF SUM([Schedule Delay Days]) &gt; 0 THEN SUM([Schedule Delay Days]) END</w:t>
      </w:r>
    </w:p>
    <w:p>
      <w:pPr>
        <w:pStyle w:val="Heading2"/>
      </w:pPr>
      <w:r>
        <w:t>VIZ 15 — Financial vs Delivery Drift Matrix</w:t>
      </w:r>
    </w:p>
    <w:p>
      <w:r>
        <w:t>Purpose: combine financial and delivery drift in one intervention-oriented view. Forecast Overrun is plotted against Schedule Delay Days, with one mark per project. Current Budget controls mark size and Health Status provides the status classification. Zero reference lines create four interpretable quadrants.</w:t>
      </w:r>
    </w:p>
    <w:p>
      <w:r>
        <w:t>The upper-right quadrant represents projects that are both forecast over current budget and delayed. A QA diagnostic identified 71 of 150 projects (47.3%) in this combined-pressure condition for December 2026.</w:t>
      </w:r>
    </w:p>
    <w:p>
      <w:r>
        <w:t>Combined Pressure diagnostic: IF [Forecast Cost] &gt; [Current Budget] AND [Schedule Delay Days] &gt; 0 THEN "Combined Pressure" ELSE "Other" END</w:t>
      </w:r>
    </w:p>
    <w:p>
      <w:pPr>
        <w:pStyle w:val="SmallNote"/>
      </w:pPr>
      <w:r>
        <w:t>Co-occurrence is not evidence of causality: the matrix shows simultaneous financial and schedule pressure, not that one condition caused the other.</w:t>
      </w:r>
    </w:p>
    <w:p>
      <w:pPr>
        <w:pStyle w:val="Heading2"/>
      </w:pPr>
      <w:r>
        <w:t>VIZ 16 — Portfolio Forecast Overrun Trend (Supporting Analysis)</w:t>
      </w:r>
    </w:p>
    <w:p>
      <w:r>
        <w:t>Purpose: show how portfolio forecast exposure changes over time. The certified series contains 24 monthly observations from January 2025 through December 2026. Forecast Overrun moves from $36.4M in January 2025 to $33.1M in December 2026, a $3.3M (approximately 9.1%) lower endpoint.</w:t>
      </w:r>
    </w:p>
    <w:p>
      <w:r>
        <w:t>Defensible interpretation: portfolio forecast exposure improved modestly between the two endpoints, while remaining materially above current budget at the end of the reporting period. The full line may fluctuate, so endpoint improvement should not be described as a continuously improving trend.</w:t>
      </w:r>
    </w:p>
    <w:p>
      <w:pPr>
        <w:pStyle w:val="SmallNote"/>
      </w:pPr>
      <w:r>
        <w:t>VIZ 16 was intentionally removed from the final 1200 × 800 dashboard. Compressing both the drift matrix and the trend materially reduced readability: VIZ 15 ceased to read as a scatter plot and VIZ 16 visually flattened. The trend remains a certified supporting worksheet for case documentation and deeper analysis.</w:t>
      </w:r>
    </w:p>
    <w:p>
      <w:pPr>
        <w:pStyle w:val="Heading1"/>
      </w:pPr>
      <w:r>
        <w:t>6. Reporting-Period Parameter Architecture</w:t>
      </w:r>
    </w:p>
    <w:p>
      <w:r>
        <w:t>Dashboard 4 reuses the proven single-parameter architecture established for the resource-capacity dashboard. The same Selected Reporting Period drives two intentional temporal behaviors.</w:t>
      </w:r>
    </w:p>
    <w:p>
      <w:r>
        <w:t>Selected Period Only: [Period Start Date] = [Selected Reporting Period]</w:t>
      </w:r>
    </w:p>
    <w:p>
      <w:r>
        <w:t>Show Through Selected Period: [Period Start Date] &lt;= [Selected Reporting Period]</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D9EAF7"/>
          </w:tcPr>
          <w:p>
            <w:r/>
            <w:r>
              <w:rPr>
                <w:rFonts w:ascii="Aptos" w:hAnsi="Aptos"/>
                <w:b/>
                <w:sz w:val="17"/>
              </w:rPr>
              <w:t>Behavior</w:t>
            </w:r>
          </w:p>
        </w:tc>
        <w:tc>
          <w:tcPr>
            <w:tcW w:type="dxa" w:w="3600"/>
            <w:vAlign w:val="center"/>
            <w:shd w:fill="D9EAF7"/>
          </w:tcPr>
          <w:p>
            <w:r/>
            <w:r>
              <w:rPr>
                <w:rFonts w:ascii="Aptos" w:hAnsi="Aptos"/>
                <w:b/>
                <w:sz w:val="17"/>
              </w:rPr>
              <w:t>Applied to</w:t>
            </w:r>
          </w:p>
        </w:tc>
        <w:tc>
          <w:tcPr>
            <w:tcW w:type="dxa" w:w="4752"/>
            <w:vAlign w:val="center"/>
            <w:shd w:fill="D9EAF7"/>
          </w:tcPr>
          <w:p>
            <w:r/>
            <w:r>
              <w:rPr>
                <w:rFonts w:ascii="Aptos" w:hAnsi="Aptos"/>
                <w:b/>
                <w:sz w:val="17"/>
              </w:rPr>
              <w:t>Purpose</w:t>
            </w:r>
          </w:p>
        </w:tc>
      </w:tr>
      <w:tr>
        <w:tc>
          <w:tcPr>
            <w:tcW w:type="dxa" w:w="2880"/>
            <w:vAlign w:val="center"/>
          </w:tcPr>
          <w:p>
            <w:r/>
            <w:r>
              <w:rPr>
                <w:rFonts w:ascii="Aptos" w:hAnsi="Aptos"/>
                <w:b w:val="0"/>
                <w:sz w:val="17"/>
              </w:rPr>
              <w:t>Selected Period Only</w:t>
            </w:r>
          </w:p>
        </w:tc>
        <w:tc>
          <w:tcPr>
            <w:tcW w:type="dxa" w:w="3600"/>
            <w:vAlign w:val="center"/>
          </w:tcPr>
          <w:p>
            <w:r/>
            <w:r>
              <w:rPr>
                <w:rFonts w:ascii="Aptos" w:hAnsi="Aptos"/>
                <w:b w:val="0"/>
                <w:sz w:val="17"/>
              </w:rPr>
              <w:t>KPI 14–17; VIZ 13–15</w:t>
            </w:r>
          </w:p>
        </w:tc>
        <w:tc>
          <w:tcPr>
            <w:tcW w:type="dxa" w:w="4752"/>
            <w:vAlign w:val="center"/>
          </w:tcPr>
          <w:p>
            <w:r/>
            <w:r>
              <w:rPr>
                <w:rFonts w:ascii="Aptos" w:hAnsi="Aptos"/>
                <w:b w:val="0"/>
                <w:sz w:val="17"/>
              </w:rPr>
              <w:t>Show the selected month's portfolio snapshot.</w:t>
            </w:r>
          </w:p>
        </w:tc>
      </w:tr>
      <w:tr>
        <w:tc>
          <w:tcPr>
            <w:tcW w:type="dxa" w:w="2880"/>
            <w:vAlign w:val="center"/>
          </w:tcPr>
          <w:p>
            <w:r/>
            <w:r>
              <w:rPr>
                <w:rFonts w:ascii="Aptos" w:hAnsi="Aptos"/>
                <w:b w:val="0"/>
                <w:sz w:val="17"/>
              </w:rPr>
              <w:t>Show Through Selected Period</w:t>
            </w:r>
          </w:p>
        </w:tc>
        <w:tc>
          <w:tcPr>
            <w:tcW w:type="dxa" w:w="3600"/>
            <w:vAlign w:val="center"/>
          </w:tcPr>
          <w:p>
            <w:r/>
            <w:r>
              <w:rPr>
                <w:rFonts w:ascii="Aptos" w:hAnsi="Aptos"/>
                <w:b w:val="0"/>
                <w:sz w:val="17"/>
              </w:rPr>
              <w:t>VIZ 16 supporting worksheet</w:t>
            </w:r>
          </w:p>
        </w:tc>
        <w:tc>
          <w:tcPr>
            <w:tcW w:type="dxa" w:w="4752"/>
            <w:vAlign w:val="center"/>
          </w:tcPr>
          <w:p>
            <w:r/>
            <w:r>
              <w:rPr>
                <w:rFonts w:ascii="Aptos" w:hAnsi="Aptos"/>
                <w:b w:val="0"/>
                <w:sz w:val="17"/>
              </w:rPr>
              <w:t>Show history from January 2025 through the selected month.</w:t>
            </w:r>
          </w:p>
        </w:tc>
      </w:tr>
    </w:tbl>
    <w:p/>
    <w:p>
      <w:r>
        <w:t>Stress testing an earlier reporting period, returning to December 2026, and full December regression all passed.</w:t>
      </w:r>
    </w:p>
    <w:p>
      <w:pPr>
        <w:pStyle w:val="Heading1"/>
      </w:pPr>
      <w:r>
        <w:t>7. QA Defect — Duplicate Forecast Overrun Calculations</w:t>
      </w:r>
    </w:p>
    <w:p>
      <w:r>
        <w:t>During VIZ 16 reconciliation, December 2026 initially displayed $44.1M rather than the certified $33.1M. Controlled checks confirmed that raw December measures were $825.1M Current Budget and $858.2M Forecast Cost, which necessarily reconcile to $33.1M.</w:t>
      </w:r>
    </w:p>
    <w:p>
      <w:r>
        <w:t>Root cause: two similarly named calculated fields were active — one correctly named Forecast Overrun and a second misspelled version using a single 'r'. Different worksheets/tests were referencing different calculations.</w:t>
      </w:r>
    </w:p>
    <w:p>
      <w:r>
        <w:t>Resolution: the duplicate/misspelled field was deleted, worksheet references were corrected, and the surviving calculation was standardized. December 2026 then reconciled to $33.1M.</w:t>
      </w:r>
    </w:p>
    <w:p>
      <w:pPr>
        <w:pStyle w:val="SmallNote"/>
      </w:pPr>
      <w:r>
        <w:t>Governance control: before certification, remove obsolete calculations, spelling variants, duplicate fields, and temporary QA fields or prefix them clearly. Near-duplicate calculated-field names are a material dashboard governance risk.</w:t>
      </w:r>
    </w:p>
    <w:p>
      <w:pPr>
        <w:pStyle w:val="Heading1"/>
      </w:pPr>
      <w:r>
        <w:t>8. QA Certification Record</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D9EAF7"/>
          </w:tcPr>
          <w:p>
            <w:r/>
            <w:r>
              <w:rPr>
                <w:rFonts w:ascii="Aptos" w:hAnsi="Aptos"/>
                <w:b/>
                <w:sz w:val="17"/>
              </w:rPr>
              <w:t>Test</w:t>
            </w:r>
          </w:p>
        </w:tc>
        <w:tc>
          <w:tcPr>
            <w:tcW w:type="dxa" w:w="6768"/>
            <w:vAlign w:val="center"/>
            <w:shd w:fill="D9EAF7"/>
          </w:tcPr>
          <w:p>
            <w:r/>
            <w:r>
              <w:rPr>
                <w:rFonts w:ascii="Aptos" w:hAnsi="Aptos"/>
                <w:b/>
                <w:sz w:val="17"/>
              </w:rPr>
              <w:t>Expected / control</w:t>
            </w:r>
          </w:p>
        </w:tc>
        <w:tc>
          <w:tcPr>
            <w:tcW w:type="dxa" w:w="1440"/>
            <w:vAlign w:val="center"/>
            <w:shd w:fill="D9EAF7"/>
          </w:tcPr>
          <w:p>
            <w:r/>
            <w:r>
              <w:rPr>
                <w:rFonts w:ascii="Aptos" w:hAnsi="Aptos"/>
                <w:b/>
                <w:sz w:val="17"/>
              </w:rPr>
              <w:t>Result</w:t>
            </w:r>
          </w:p>
        </w:tc>
      </w:tr>
      <w:tr>
        <w:tc>
          <w:tcPr>
            <w:tcW w:type="dxa" w:w="2880"/>
            <w:vAlign w:val="center"/>
          </w:tcPr>
          <w:p>
            <w:r/>
            <w:r>
              <w:rPr>
                <w:rFonts w:ascii="Aptos" w:hAnsi="Aptos"/>
                <w:b w:val="0"/>
                <w:sz w:val="17"/>
              </w:rPr>
              <w:t>KPI 14</w:t>
            </w:r>
          </w:p>
        </w:tc>
        <w:tc>
          <w:tcPr>
            <w:tcW w:type="dxa" w:w="6768"/>
            <w:vAlign w:val="center"/>
          </w:tcPr>
          <w:p>
            <w:r/>
            <w:r>
              <w:rPr>
                <w:rFonts w:ascii="Aptos" w:hAnsi="Aptos"/>
                <w:b w:val="0"/>
                <w:sz w:val="17"/>
              </w:rPr>
              <w:t>Forecast Cost = $858.2M</w:t>
            </w:r>
          </w:p>
        </w:tc>
        <w:tc>
          <w:tcPr>
            <w:tcW w:type="dxa" w:w="1440"/>
            <w:vAlign w:val="center"/>
          </w:tcPr>
          <w:p>
            <w:r/>
            <w:r>
              <w:rPr>
                <w:rFonts w:ascii="Aptos" w:hAnsi="Aptos"/>
                <w:b w:val="0"/>
                <w:sz w:val="17"/>
              </w:rPr>
              <w:t>PASS</w:t>
            </w:r>
          </w:p>
        </w:tc>
      </w:tr>
      <w:tr>
        <w:tc>
          <w:tcPr>
            <w:tcW w:type="dxa" w:w="2880"/>
            <w:vAlign w:val="center"/>
          </w:tcPr>
          <w:p>
            <w:r/>
            <w:r>
              <w:rPr>
                <w:rFonts w:ascii="Aptos" w:hAnsi="Aptos"/>
                <w:b w:val="0"/>
                <w:sz w:val="17"/>
              </w:rPr>
              <w:t>KPI 15</w:t>
            </w:r>
          </w:p>
        </w:tc>
        <w:tc>
          <w:tcPr>
            <w:tcW w:type="dxa" w:w="6768"/>
            <w:vAlign w:val="center"/>
          </w:tcPr>
          <w:p>
            <w:r/>
            <w:r>
              <w:rPr>
                <w:rFonts w:ascii="Aptos" w:hAnsi="Aptos"/>
                <w:b w:val="0"/>
                <w:sz w:val="17"/>
              </w:rPr>
              <w:t>Forecast Overrun = $33.1M</w:t>
            </w:r>
          </w:p>
        </w:tc>
        <w:tc>
          <w:tcPr>
            <w:tcW w:type="dxa" w:w="1440"/>
            <w:vAlign w:val="center"/>
          </w:tcPr>
          <w:p>
            <w:r/>
            <w:r>
              <w:rPr>
                <w:rFonts w:ascii="Aptos" w:hAnsi="Aptos"/>
                <w:b w:val="0"/>
                <w:sz w:val="17"/>
              </w:rPr>
              <w:t>PASS</w:t>
            </w:r>
          </w:p>
        </w:tc>
      </w:tr>
      <w:tr>
        <w:tc>
          <w:tcPr>
            <w:tcW w:type="dxa" w:w="2880"/>
            <w:vAlign w:val="center"/>
          </w:tcPr>
          <w:p>
            <w:r/>
            <w:r>
              <w:rPr>
                <w:rFonts w:ascii="Aptos" w:hAnsi="Aptos"/>
                <w:b w:val="0"/>
                <w:sz w:val="17"/>
              </w:rPr>
              <w:t>KPI 16</w:t>
            </w:r>
          </w:p>
        </w:tc>
        <w:tc>
          <w:tcPr>
            <w:tcW w:type="dxa" w:w="6768"/>
            <w:vAlign w:val="center"/>
          </w:tcPr>
          <w:p>
            <w:r/>
            <w:r>
              <w:rPr>
                <w:rFonts w:ascii="Aptos" w:hAnsi="Aptos"/>
                <w:b w:val="0"/>
                <w:sz w:val="17"/>
              </w:rPr>
              <w:t>100 / 150 | 66.7%</w:t>
            </w:r>
          </w:p>
        </w:tc>
        <w:tc>
          <w:tcPr>
            <w:tcW w:type="dxa" w:w="1440"/>
            <w:vAlign w:val="center"/>
          </w:tcPr>
          <w:p>
            <w:r/>
            <w:r>
              <w:rPr>
                <w:rFonts w:ascii="Aptos" w:hAnsi="Aptos"/>
                <w:b w:val="0"/>
                <w:sz w:val="17"/>
              </w:rPr>
              <w:t>PASS</w:t>
            </w:r>
          </w:p>
        </w:tc>
      </w:tr>
      <w:tr>
        <w:tc>
          <w:tcPr>
            <w:tcW w:type="dxa" w:w="2880"/>
            <w:vAlign w:val="center"/>
          </w:tcPr>
          <w:p>
            <w:r/>
            <w:r>
              <w:rPr>
                <w:rFonts w:ascii="Aptos" w:hAnsi="Aptos"/>
                <w:b w:val="0"/>
                <w:sz w:val="17"/>
              </w:rPr>
              <w:t>KPI 17</w:t>
            </w:r>
          </w:p>
        </w:tc>
        <w:tc>
          <w:tcPr>
            <w:tcW w:type="dxa" w:w="6768"/>
            <w:vAlign w:val="center"/>
          </w:tcPr>
          <w:p>
            <w:r/>
            <w:r>
              <w:rPr>
                <w:rFonts w:ascii="Aptos" w:hAnsi="Aptos"/>
                <w:b w:val="0"/>
                <w:sz w:val="17"/>
              </w:rPr>
              <w:t>94 / 150 | 62.7%</w:t>
            </w:r>
          </w:p>
        </w:tc>
        <w:tc>
          <w:tcPr>
            <w:tcW w:type="dxa" w:w="1440"/>
            <w:vAlign w:val="center"/>
          </w:tcPr>
          <w:p>
            <w:r/>
            <w:r>
              <w:rPr>
                <w:rFonts w:ascii="Aptos" w:hAnsi="Aptos"/>
                <w:b w:val="0"/>
                <w:sz w:val="17"/>
              </w:rPr>
              <w:t>PASS</w:t>
            </w:r>
          </w:p>
        </w:tc>
      </w:tr>
      <w:tr>
        <w:tc>
          <w:tcPr>
            <w:tcW w:type="dxa" w:w="2880"/>
            <w:vAlign w:val="center"/>
          </w:tcPr>
          <w:p>
            <w:r/>
            <w:r>
              <w:rPr>
                <w:rFonts w:ascii="Aptos" w:hAnsi="Aptos"/>
                <w:b w:val="0"/>
                <w:sz w:val="17"/>
              </w:rPr>
              <w:t>VIZ 13</w:t>
            </w:r>
          </w:p>
        </w:tc>
        <w:tc>
          <w:tcPr>
            <w:tcW w:type="dxa" w:w="6768"/>
            <w:vAlign w:val="center"/>
          </w:tcPr>
          <w:p>
            <w:r/>
            <w:r>
              <w:rPr>
                <w:rFonts w:ascii="Aptos" w:hAnsi="Aptos"/>
                <w:b w:val="0"/>
                <w:sz w:val="17"/>
              </w:rPr>
              <w:t>Fusion Process Automation ≈ $2.8M</w:t>
            </w:r>
          </w:p>
        </w:tc>
        <w:tc>
          <w:tcPr>
            <w:tcW w:type="dxa" w:w="1440"/>
            <w:vAlign w:val="center"/>
          </w:tcPr>
          <w:p>
            <w:r/>
            <w:r>
              <w:rPr>
                <w:rFonts w:ascii="Aptos" w:hAnsi="Aptos"/>
                <w:b w:val="0"/>
                <w:sz w:val="17"/>
              </w:rPr>
              <w:t>PASS</w:t>
            </w:r>
          </w:p>
        </w:tc>
      </w:tr>
      <w:tr>
        <w:tc>
          <w:tcPr>
            <w:tcW w:type="dxa" w:w="2880"/>
            <w:vAlign w:val="center"/>
          </w:tcPr>
          <w:p>
            <w:r/>
            <w:r>
              <w:rPr>
                <w:rFonts w:ascii="Aptos" w:hAnsi="Aptos"/>
                <w:b w:val="0"/>
                <w:sz w:val="17"/>
              </w:rPr>
              <w:t>VIZ 14</w:t>
            </w:r>
          </w:p>
        </w:tc>
        <w:tc>
          <w:tcPr>
            <w:tcW w:type="dxa" w:w="6768"/>
            <w:vAlign w:val="center"/>
          </w:tcPr>
          <w:p>
            <w:r/>
            <w:r>
              <w:rPr>
                <w:rFonts w:ascii="Aptos" w:hAnsi="Aptos"/>
                <w:b w:val="0"/>
                <w:sz w:val="17"/>
              </w:rPr>
              <w:t>Wave Process Automation = 129 days</w:t>
            </w:r>
          </w:p>
        </w:tc>
        <w:tc>
          <w:tcPr>
            <w:tcW w:type="dxa" w:w="1440"/>
            <w:vAlign w:val="center"/>
          </w:tcPr>
          <w:p>
            <w:r/>
            <w:r>
              <w:rPr>
                <w:rFonts w:ascii="Aptos" w:hAnsi="Aptos"/>
                <w:b w:val="0"/>
                <w:sz w:val="17"/>
              </w:rPr>
              <w:t>PASS</w:t>
            </w:r>
          </w:p>
        </w:tc>
      </w:tr>
      <w:tr>
        <w:tc>
          <w:tcPr>
            <w:tcW w:type="dxa" w:w="2880"/>
            <w:vAlign w:val="center"/>
          </w:tcPr>
          <w:p>
            <w:r/>
            <w:r>
              <w:rPr>
                <w:rFonts w:ascii="Aptos" w:hAnsi="Aptos"/>
                <w:b w:val="0"/>
                <w:sz w:val="17"/>
              </w:rPr>
              <w:t>VIZ 15</w:t>
            </w:r>
          </w:p>
        </w:tc>
        <w:tc>
          <w:tcPr>
            <w:tcW w:type="dxa" w:w="6768"/>
            <w:vAlign w:val="center"/>
          </w:tcPr>
          <w:p>
            <w:r/>
            <w:r>
              <w:rPr>
                <w:rFonts w:ascii="Aptos" w:hAnsi="Aptos"/>
                <w:b w:val="0"/>
                <w:sz w:val="17"/>
              </w:rPr>
              <w:t>150 marks; zero reference lines; four readable quadrants</w:t>
            </w:r>
          </w:p>
        </w:tc>
        <w:tc>
          <w:tcPr>
            <w:tcW w:type="dxa" w:w="1440"/>
            <w:vAlign w:val="center"/>
          </w:tcPr>
          <w:p>
            <w:r/>
            <w:r>
              <w:rPr>
                <w:rFonts w:ascii="Aptos" w:hAnsi="Aptos"/>
                <w:b w:val="0"/>
                <w:sz w:val="17"/>
              </w:rPr>
              <w:t>PASS</w:t>
            </w:r>
          </w:p>
        </w:tc>
      </w:tr>
      <w:tr>
        <w:tc>
          <w:tcPr>
            <w:tcW w:type="dxa" w:w="2880"/>
            <w:vAlign w:val="center"/>
          </w:tcPr>
          <w:p>
            <w:r/>
            <w:r>
              <w:rPr>
                <w:rFonts w:ascii="Aptos" w:hAnsi="Aptos"/>
                <w:b w:val="0"/>
                <w:sz w:val="17"/>
              </w:rPr>
              <w:t>VIZ 15 diagnostic</w:t>
            </w:r>
          </w:p>
        </w:tc>
        <w:tc>
          <w:tcPr>
            <w:tcW w:type="dxa" w:w="6768"/>
            <w:vAlign w:val="center"/>
          </w:tcPr>
          <w:p>
            <w:r/>
            <w:r>
              <w:rPr>
                <w:rFonts w:ascii="Aptos" w:hAnsi="Aptos"/>
                <w:b w:val="0"/>
                <w:sz w:val="17"/>
              </w:rPr>
              <w:t>Combined Pressure = 71 projects (47.3%)</w:t>
            </w:r>
          </w:p>
        </w:tc>
        <w:tc>
          <w:tcPr>
            <w:tcW w:type="dxa" w:w="1440"/>
            <w:vAlign w:val="center"/>
          </w:tcPr>
          <w:p>
            <w:r/>
            <w:r>
              <w:rPr>
                <w:rFonts w:ascii="Aptos" w:hAnsi="Aptos"/>
                <w:b w:val="0"/>
                <w:sz w:val="17"/>
              </w:rPr>
              <w:t>PASS</w:t>
            </w:r>
          </w:p>
        </w:tc>
      </w:tr>
      <w:tr>
        <w:tc>
          <w:tcPr>
            <w:tcW w:type="dxa" w:w="2880"/>
            <w:vAlign w:val="center"/>
          </w:tcPr>
          <w:p>
            <w:r/>
            <w:r>
              <w:rPr>
                <w:rFonts w:ascii="Aptos" w:hAnsi="Aptos"/>
                <w:b w:val="0"/>
                <w:sz w:val="17"/>
              </w:rPr>
              <w:t>Reporting-period stress test</w:t>
            </w:r>
          </w:p>
        </w:tc>
        <w:tc>
          <w:tcPr>
            <w:tcW w:type="dxa" w:w="6768"/>
            <w:vAlign w:val="center"/>
          </w:tcPr>
          <w:p>
            <w:r/>
            <w:r>
              <w:rPr>
                <w:rFonts w:ascii="Aptos" w:hAnsi="Aptos"/>
                <w:b w:val="0"/>
                <w:sz w:val="17"/>
              </w:rPr>
              <w:t>Earlier period changes snapshot views correctly</w:t>
            </w:r>
          </w:p>
        </w:tc>
        <w:tc>
          <w:tcPr>
            <w:tcW w:type="dxa" w:w="1440"/>
            <w:vAlign w:val="center"/>
          </w:tcPr>
          <w:p>
            <w:r/>
            <w:r>
              <w:rPr>
                <w:rFonts w:ascii="Aptos" w:hAnsi="Aptos"/>
                <w:b w:val="0"/>
                <w:sz w:val="17"/>
              </w:rPr>
              <w:t>PASS</w:t>
            </w:r>
          </w:p>
        </w:tc>
      </w:tr>
      <w:tr>
        <w:tc>
          <w:tcPr>
            <w:tcW w:type="dxa" w:w="2880"/>
            <w:vAlign w:val="center"/>
          </w:tcPr>
          <w:p>
            <w:r/>
            <w:r>
              <w:rPr>
                <w:rFonts w:ascii="Aptos" w:hAnsi="Aptos"/>
                <w:b w:val="0"/>
                <w:sz w:val="17"/>
              </w:rPr>
              <w:t>Return-to-December regression</w:t>
            </w:r>
          </w:p>
        </w:tc>
        <w:tc>
          <w:tcPr>
            <w:tcW w:type="dxa" w:w="6768"/>
            <w:vAlign w:val="center"/>
          </w:tcPr>
          <w:p>
            <w:r/>
            <w:r>
              <w:rPr>
                <w:rFonts w:ascii="Aptos" w:hAnsi="Aptos"/>
                <w:b w:val="0"/>
                <w:sz w:val="17"/>
              </w:rPr>
              <w:t>Certified December controls fully restored</w:t>
            </w:r>
          </w:p>
        </w:tc>
        <w:tc>
          <w:tcPr>
            <w:tcW w:type="dxa" w:w="1440"/>
            <w:vAlign w:val="center"/>
          </w:tcPr>
          <w:p>
            <w:r/>
            <w:r>
              <w:rPr>
                <w:rFonts w:ascii="Aptos" w:hAnsi="Aptos"/>
                <w:b w:val="0"/>
                <w:sz w:val="17"/>
              </w:rPr>
              <w:t>PASS</w:t>
            </w:r>
          </w:p>
        </w:tc>
      </w:tr>
      <w:tr>
        <w:tc>
          <w:tcPr>
            <w:tcW w:type="dxa" w:w="2880"/>
            <w:vAlign w:val="center"/>
          </w:tcPr>
          <w:p>
            <w:r/>
            <w:r>
              <w:rPr>
                <w:rFonts w:ascii="Aptos" w:hAnsi="Aptos"/>
                <w:b w:val="0"/>
                <w:sz w:val="17"/>
              </w:rPr>
              <w:t>VIZ 16 reconciliation</w:t>
            </w:r>
          </w:p>
        </w:tc>
        <w:tc>
          <w:tcPr>
            <w:tcW w:type="dxa" w:w="6768"/>
            <w:vAlign w:val="center"/>
          </w:tcPr>
          <w:p>
            <w:r/>
            <w:r>
              <w:rPr>
                <w:rFonts w:ascii="Aptos" w:hAnsi="Aptos"/>
                <w:b w:val="0"/>
                <w:sz w:val="17"/>
              </w:rPr>
              <w:t>December endpoint = $33.1M; 24-month chronology</w:t>
            </w:r>
          </w:p>
        </w:tc>
        <w:tc>
          <w:tcPr>
            <w:tcW w:type="dxa" w:w="1440"/>
            <w:vAlign w:val="center"/>
          </w:tcPr>
          <w:p>
            <w:r/>
            <w:r>
              <w:rPr>
                <w:rFonts w:ascii="Aptos" w:hAnsi="Aptos"/>
                <w:b w:val="0"/>
                <w:sz w:val="17"/>
              </w:rPr>
              <w:t>PASS</w:t>
            </w:r>
          </w:p>
        </w:tc>
      </w:tr>
      <w:tr>
        <w:tc>
          <w:tcPr>
            <w:tcW w:type="dxa" w:w="2880"/>
            <w:vAlign w:val="center"/>
          </w:tcPr>
          <w:p>
            <w:r/>
            <w:r>
              <w:rPr>
                <w:rFonts w:ascii="Aptos" w:hAnsi="Aptos"/>
                <w:b w:val="0"/>
                <w:sz w:val="17"/>
              </w:rPr>
              <w:t>Dashboard usability</w:t>
            </w:r>
          </w:p>
        </w:tc>
        <w:tc>
          <w:tcPr>
            <w:tcW w:type="dxa" w:w="6768"/>
            <w:vAlign w:val="center"/>
          </w:tcPr>
          <w:p>
            <w:r/>
            <w:r>
              <w:rPr>
                <w:rFonts w:ascii="Aptos" w:hAnsi="Aptos"/>
                <w:b w:val="0"/>
                <w:sz w:val="17"/>
              </w:rPr>
              <w:t>1200 × 800 layout readable without squeezing core scatter plot</w:t>
            </w:r>
          </w:p>
        </w:tc>
        <w:tc>
          <w:tcPr>
            <w:tcW w:type="dxa" w:w="1440"/>
            <w:vAlign w:val="center"/>
          </w:tcPr>
          <w:p>
            <w:r/>
            <w:r>
              <w:rPr>
                <w:rFonts w:ascii="Aptos" w:hAnsi="Aptos"/>
                <w:b w:val="0"/>
                <w:sz w:val="17"/>
              </w:rPr>
              <w:t>PASS</w:t>
            </w:r>
          </w:p>
        </w:tc>
      </w:tr>
    </w:tbl>
    <w:p/>
    <w:p>
      <w:pPr>
        <w:pStyle w:val="Heading1"/>
      </w:pPr>
      <w:r>
        <w:t>9. Executive Findings — December 2026</w:t>
      </w:r>
    </w:p>
    <w:p>
      <w:pPr>
        <w:pStyle w:val="ListBullet"/>
      </w:pPr>
      <w:r>
        <w:t>The portfolio is forecast at $858.2M against $825.1M of current budget, producing a $33.1M forecast overrun.</w:t>
      </w:r>
    </w:p>
    <w:p>
      <w:pPr>
        <w:pStyle w:val="ListBullet"/>
      </w:pPr>
      <w:r>
        <w:t>Financial forecast pressure is broad: 100 of 150 projects (66.7%) are forecast above current budget.</w:t>
      </w:r>
    </w:p>
    <w:p>
      <w:pPr>
        <w:pStyle w:val="ListBullet"/>
      </w:pPr>
      <w:r>
        <w:t>Delivery pressure is also broad: 94 of 150 projects (62.7%) have positive schedule delay.</w:t>
      </w:r>
    </w:p>
    <w:p>
      <w:pPr>
        <w:pStyle w:val="ListBullet"/>
      </w:pPr>
      <w:r>
        <w:t>Fusion Process Automation is the largest individual forecast-overrun driver at approximately $2.8M.</w:t>
      </w:r>
    </w:p>
    <w:p>
      <w:pPr>
        <w:pStyle w:val="ListBullet"/>
      </w:pPr>
      <w:r>
        <w:t>Wave Process Automation has the greatest schedule delay at 129 days.</w:t>
      </w:r>
    </w:p>
    <w:p>
      <w:pPr>
        <w:pStyle w:val="ListBullet"/>
      </w:pPr>
      <w:r>
        <w:t>Seventy-one projects (47.3%) are simultaneously forecast over budget and delayed, making the drift matrix the primary corrective-action view.</w:t>
      </w:r>
    </w:p>
    <w:p>
      <w:pPr>
        <w:pStyle w:val="ListBullet"/>
      </w:pPr>
      <w:r>
        <w:t>The portfolio forecast-overrun endpoint improved modestly from $36.4M in January 2025 to $33.1M in December 2026, but exposure remains material.</w:t>
      </w:r>
    </w:p>
    <w:p>
      <w:pPr>
        <w:pStyle w:val="Heading1"/>
      </w:pPr>
      <w:r>
        <w:t>10. Design and Governance Decisions</w:t>
      </w:r>
    </w:p>
    <w:p>
      <w:r>
        <w:t>The final dashboard uses a fixed 1200 × 800 laptop-first canvas. The Reporting Period control is positioned in the header area; four KPIs occupy one row; VIZ 13 and VIZ 14 share the next row; and VIZ 15 receives the remaining full-width analytical space.</w:t>
      </w:r>
    </w:p>
    <w:p>
      <w:r>
        <w:t>VIZ 16 is intentionally excluded from the main dashboard because forcing four analytical views onto the canvas degraded both the scatter plot and the trend. This is a deliberate information-architecture decision: preserve the highest-value intervention view on the dashboard and retain the trend as supporting evidence.</w:t>
      </w:r>
    </w:p>
    <w:p>
      <w:r>
        <w:t>No additional KPIs or charts are added after certification. The dashboard is designed to answer a bounded decision question rather than maximize the number of visible metrics.</w:t>
      </w:r>
    </w:p>
    <w:p>
      <w:pPr>
        <w:pStyle w:val="Heading1"/>
      </w:pPr>
      <w:r>
        <w:t>11. Certification Status</w:t>
      </w:r>
    </w:p>
    <w:p>
      <w:r>
        <w:rPr>
          <w:b/>
        </w:rPr>
        <w:t>STATUS: CERTIFIED AND FROZEN — DASHBOARD 4 QA PASSED</w:t>
      </w:r>
    </w:p>
    <w:p>
      <w:r>
        <w:t>Canonical screenshot filename: dashboard_04_project_performance_forecast_control.png</w:t>
        <w:br/>
        <w:t>Recommended repository locations:</w:t>
        <w:br/>
        <w:t>• assets/dashboards/dashboard_04_project_performance_forecast_control.png</w:t>
        <w:br/>
        <w:t>• docs/dashboard-specs/dashboard_04_project_performance_forecast_control_spec.docx</w:t>
      </w:r>
    </w:p>
    <w:p>
      <w:r>
        <w:t>Freeze rule: future changes require a documented reason, regression against the December 2026 controls, and re-certification of the reporting-period behavior.</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PPM Decision Intelligence | Dashboard 4 Specification &amp; QA Record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